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7200"/>
        <w:gridCol w:w="4635"/>
        <w:tblGridChange w:id="0">
          <w:tblGrid>
            <w:gridCol w:w="2565"/>
            <w:gridCol w:w="7200"/>
            <w:gridCol w:w="463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 componente</w:t>
            </w:r>
          </w:p>
        </w:tc>
        <w:tc>
          <w:tcPr>
            <w:gridSpan w:val="2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Tarjetas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34343"/>
                <w:sz w:val="20"/>
                <w:szCs w:val="20"/>
                <w:rtl w:val="0"/>
              </w:rPr>
              <w:t xml:space="preserve">Recuperación de la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Texto descriptivo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Sobre la indización, se debe tener en cuenta que: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indización automatizada emplea programas que, mediante frecuencias estadísticas y algoritmos lingüísticos, establecen de qué tratan temáticamente los recursos de información recibidos.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 indización híbrida se vale de tecnologías que pueden sugerir los temas del recurso de información, a la vez que hay validaciones humanas sobre los encabezamientos o descriptores dentro del proceso de catalogación y clasificación.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Aunque la organización temática de los recursos de información no ha sido modificada sustancialmente, han surgido nuevas normas y lenguajes de indización, también denominadas sistemas para la organización del conocimiento.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Tajeta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lenguajes de indización tradicionales (encabezamientos de materia, tesauros) se han enriquecido con nuevas estructuras como tesauros y taxonomías digitales que han emigrado al espacio web y mapas tópicos, ontologías y folksonomías emergidas del mismo contexto digital.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-457196</wp:posOffset>
          </wp:positionV>
          <wp:extent cx="10128885" cy="139065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