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Taller práctico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Enhebrado máquina recubridora, ajuste de tensión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Máquina recubridora (</w:t>
      </w:r>
      <w:r w:rsidDel="00000000" w:rsidR="00000000" w:rsidRPr="00000000">
        <w:rPr>
          <w:b w:val="1"/>
          <w:color w:val="ff0000"/>
          <w:rtl w:val="0"/>
        </w:rPr>
        <w:t xml:space="preserve">collarín</w:t>
      </w:r>
      <w:r w:rsidDel="00000000" w:rsidR="00000000" w:rsidRPr="00000000">
        <w:rPr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widowControl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Enhebrado máquina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inicia de abajo hacia arriba con el primer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looper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de adentro llamado “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looper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inferior”.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sigue con el segundo tensor, llamado “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looper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recubridor”. Este no tiene ojo como los demás y solo se posiciona encima de este.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continúa con el tercer tensor para enhebrar la aguja de la derecha.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enhebra el cuarto tensor, que es la aguja del centro.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pasa a la parte de arriba, al quinto tensor de la máquina, para enhebrar el último hilo de la aguja.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Finalmente, se pasa el hilo por el orificio de las 3 agujas de adelante hacia atrás, dejando el hilo por debajo y atrás del pie prensatela.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cose para formar la cadeneta.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ff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 las agujas derecha e izquierda y el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looper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inferior se puede hacer recubierto sencillo, con la aguja del centro y el recubridor puntada de adorno.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2430780" cy="1959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95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Puntada tensionada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Para esta puntada todas las agujas y el recubridor están perfectamente tensionados, tanto arriba como abajo, y la tela no se ve recogida.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114300" distR="114300">
            <wp:extent cx="1447800" cy="1447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Puntada floja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Uno de los tensores que intervienen en las agujas está suelto, dando la apariencia de puntada floja.</w:t>
      </w:r>
    </w:p>
    <w:p w:rsidR="00000000" w:rsidDel="00000000" w:rsidP="00000000" w:rsidRDefault="00000000" w:rsidRPr="00000000" w14:paraId="0000001A">
      <w:pPr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</w:rPr>
        <w:drawing>
          <wp:inline distB="0" distT="0" distL="114300" distR="114300">
            <wp:extent cx="1447800" cy="1365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EHmPRikpU3Qp55VF/Jx5oCcTA==">AMUW2mUpjSMKNIMYMUnXDd50mBSzlBNhXobvrdGCpfws4ILsPnDDeS+5yDwRHOlTqWiKBnhDbHCjQt0C5a1nCInVBEECtFPHLxgK343yRi4vQdTdxR7OuBLsk4BSTynOxUKmQn8jWjVi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2021-04-28T16:08:00Z</dcterms:created>
</cp:coreProperties>
</file>