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40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jc w:val="center"/>
        <w:rPr>
          <w:b w:val="1"/>
          <w:sz w:val="20"/>
          <w:szCs w:val="20"/>
        </w:rPr>
      </w:pPr>
      <w:r w:rsidDel="00000000" w:rsidR="00000000" w:rsidRPr="00000000">
        <w:rPr>
          <w:rtl w:val="0"/>
        </w:rPr>
      </w:r>
    </w:p>
    <w:tbl>
      <w:tblPr>
        <w:tblStyle w:val="Table1"/>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PROGRAMA DE FORMACIÓN</w:t>
            </w:r>
          </w:p>
        </w:tc>
        <w:tc>
          <w:tcPr>
            <w:shd w:fill="edf2f8" w:val="clear"/>
            <w:vAlign w:val="center"/>
          </w:tcPr>
          <w:p w:rsidR="00000000" w:rsidDel="00000000" w:rsidP="00000000" w:rsidRDefault="00000000" w:rsidRPr="00000000" w14:paraId="0000000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Evaluación solicitudes financieras bajo la normatividad SARLAFT</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2694"/>
        <w:gridCol w:w="2126"/>
        <w:gridCol w:w="3163"/>
        <w:tblGridChange w:id="0">
          <w:tblGrid>
            <w:gridCol w:w="1979"/>
            <w:gridCol w:w="2694"/>
            <w:gridCol w:w="2126"/>
            <w:gridCol w:w="3163"/>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6">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COMPETENCIA</w:t>
            </w:r>
          </w:p>
        </w:tc>
        <w:tc>
          <w:tcPr>
            <w:shd w:fill="edf2f8" w:val="clear"/>
            <w:vAlign w:val="center"/>
          </w:tcPr>
          <w:p w:rsidR="00000000" w:rsidDel="00000000" w:rsidP="00000000" w:rsidRDefault="00000000" w:rsidRPr="00000000" w14:paraId="00000007">
            <w:pPr>
              <w:rPr>
                <w:rFonts w:ascii="Arial" w:cs="Arial" w:eastAsia="Arial" w:hAnsi="Arial"/>
                <w:color w:val="000000"/>
                <w:sz w:val="20"/>
                <w:szCs w:val="20"/>
                <w:u w:val="single"/>
              </w:rPr>
            </w:pPr>
            <w:r w:rsidDel="00000000" w:rsidR="00000000" w:rsidRPr="00000000">
              <w:rPr>
                <w:rFonts w:ascii="Arial" w:cs="Arial" w:eastAsia="Arial" w:hAnsi="Arial"/>
                <w:color w:val="000000"/>
                <w:sz w:val="20"/>
                <w:szCs w:val="20"/>
                <w:rtl w:val="0"/>
              </w:rPr>
              <w:t xml:space="preserve">210301088 - Evaluar solicitudes financieras de acuerdo con tipo de producto y manual técnico.</w:t>
            </w:r>
            <w:r w:rsidDel="00000000" w:rsidR="00000000" w:rsidRPr="00000000">
              <w:rPr>
                <w:rtl w:val="0"/>
              </w:rPr>
            </w:r>
          </w:p>
        </w:tc>
        <w:tc>
          <w:tcPr>
            <w:shd w:fill="edf2f8" w:val="clear"/>
            <w:vAlign w:val="center"/>
          </w:tcPr>
          <w:p w:rsidR="00000000" w:rsidDel="00000000" w:rsidP="00000000" w:rsidRDefault="00000000" w:rsidRPr="00000000" w14:paraId="0000000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RESULTADOS DE APRENDIZAJE</w:t>
            </w:r>
          </w:p>
        </w:tc>
        <w:tc>
          <w:tcPr>
            <w:shd w:fill="edf2f8" w:val="clear"/>
            <w:vAlign w:val="center"/>
          </w:tcPr>
          <w:p w:rsidR="00000000" w:rsidDel="00000000" w:rsidP="00000000" w:rsidRDefault="00000000" w:rsidRPr="00000000" w14:paraId="0000000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210301088-03- Revisar que la información entregada por el cliente esté de acuerdo con la normatividad.</w:t>
            </w:r>
          </w:p>
          <w:p w:rsidR="00000000" w:rsidDel="00000000" w:rsidP="00000000" w:rsidRDefault="00000000" w:rsidRPr="00000000" w14:paraId="0000000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210301088-04- Ajustar el proceso de revisión de gestión de la información de acuerdo con la normatividad SARLAFT.</w:t>
            </w:r>
          </w:p>
          <w:p w:rsidR="00000000" w:rsidDel="00000000" w:rsidP="00000000" w:rsidRDefault="00000000" w:rsidRPr="00000000" w14:paraId="0000000B">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0D">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DEL COMPONENTE FORMATIVO</w:t>
            </w:r>
          </w:p>
        </w:tc>
        <w:tc>
          <w:tcPr>
            <w:shd w:fill="edf2f8" w:val="clear"/>
            <w:vAlign w:val="center"/>
          </w:tcPr>
          <w:p w:rsidR="00000000" w:rsidDel="00000000" w:rsidP="00000000" w:rsidRDefault="00000000" w:rsidRPr="00000000" w14:paraId="0000000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CF03</w:t>
            </w:r>
          </w:p>
        </w:tc>
      </w:tr>
      <w:tr>
        <w:trPr>
          <w:cantSplit w:val="0"/>
          <w:trHeight w:val="340" w:hRule="atLeast"/>
          <w:tblHeader w:val="0"/>
        </w:trPr>
        <w:tc>
          <w:tcPr>
            <w:shd w:fill="edf2f8" w:val="clear"/>
            <w:vAlign w:val="center"/>
          </w:tcPr>
          <w:p w:rsidR="00000000" w:rsidDel="00000000" w:rsidP="00000000" w:rsidRDefault="00000000" w:rsidRPr="00000000" w14:paraId="0000000F">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 DEL COMPONENTE FORMATIVO</w:t>
            </w:r>
          </w:p>
        </w:tc>
        <w:tc>
          <w:tcPr>
            <w:shd w:fill="edf2f8" w:val="clear"/>
            <w:vAlign w:val="center"/>
          </w:tcPr>
          <w:p w:rsidR="00000000" w:rsidDel="00000000" w:rsidP="00000000" w:rsidRDefault="00000000" w:rsidRPr="00000000" w14:paraId="0000001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Gestión SARLAFT</w:t>
            </w:r>
          </w:p>
        </w:tc>
      </w:tr>
      <w:tr>
        <w:trPr>
          <w:cantSplit w:val="0"/>
          <w:trHeight w:val="340" w:hRule="atLeast"/>
          <w:tblHeader w:val="0"/>
        </w:trPr>
        <w:tc>
          <w:tcPr>
            <w:shd w:fill="edf2f8" w:val="clear"/>
            <w:vAlign w:val="center"/>
          </w:tcPr>
          <w:p w:rsidR="00000000" w:rsidDel="00000000" w:rsidP="00000000" w:rsidRDefault="00000000" w:rsidRPr="00000000" w14:paraId="00000011">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BREVE DESCRIPCIÓN</w:t>
            </w:r>
          </w:p>
        </w:tc>
        <w:tc>
          <w:tcPr>
            <w:shd w:fill="edf2f8" w:val="clear"/>
            <w:vAlign w:val="center"/>
          </w:tcPr>
          <w:p w:rsidR="00000000" w:rsidDel="00000000" w:rsidP="00000000" w:rsidRDefault="00000000" w:rsidRPr="00000000" w14:paraId="00000012">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las organizaciones de hoy día, es importante la aplicación de la normatividad vigente, más aún en las entidades de carácter financiero, constructoras, cooperativas, entre otras.</w:t>
            </w:r>
          </w:p>
          <w:p w:rsidR="00000000" w:rsidDel="00000000" w:rsidP="00000000" w:rsidRDefault="00000000" w:rsidRPr="00000000" w14:paraId="0000001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 Administración de Riesgos de Lavado de Activos y Financiación del Terrorismo, SARLAFT, debe tomarse no solo como  requisito, sino como una alternativa de mejora para la empresa y sus agentes relacionados, ya que permitirá mejorar los procesos administrativos y evitar sanciones por incumplimiento.</w:t>
            </w:r>
          </w:p>
          <w:p w:rsidR="00000000" w:rsidDel="00000000" w:rsidP="00000000" w:rsidRDefault="00000000" w:rsidRPr="00000000" w14:paraId="00000014">
            <w:pPr>
              <w:jc w:val="both"/>
              <w:rPr>
                <w:rFonts w:ascii="Arial" w:cs="Arial" w:eastAsia="Arial" w:hAnsi="Arial"/>
                <w:color w:val="000000"/>
                <w:sz w:val="20"/>
                <w:szCs w:val="20"/>
              </w:rPr>
            </w:pPr>
            <w:r w:rsidDel="00000000" w:rsidR="00000000" w:rsidRPr="00000000">
              <w:rPr>
                <w:rtl w:val="0"/>
              </w:rPr>
            </w:r>
          </w:p>
        </w:tc>
      </w:tr>
      <w:tr>
        <w:trPr>
          <w:cantSplit w:val="0"/>
          <w:trHeight w:val="340" w:hRule="atLeast"/>
          <w:tblHeader w:val="0"/>
        </w:trPr>
        <w:tc>
          <w:tcPr>
            <w:shd w:fill="edf2f8" w:val="clear"/>
            <w:vAlign w:val="center"/>
          </w:tcPr>
          <w:p w:rsidR="00000000" w:rsidDel="00000000" w:rsidP="00000000" w:rsidRDefault="00000000" w:rsidRPr="00000000" w14:paraId="0000001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PALABRAS CLAVE</w:t>
            </w:r>
          </w:p>
        </w:tc>
        <w:tc>
          <w:tcPr>
            <w:shd w:fill="edf2f8" w:val="clear"/>
            <w:vAlign w:val="center"/>
          </w:tcPr>
          <w:p w:rsidR="00000000" w:rsidDel="00000000" w:rsidP="00000000" w:rsidRDefault="00000000" w:rsidRPr="00000000" w14:paraId="0000001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finanzas, riesgo, lavado de activos</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edf2f8" w:val="clear"/>
            <w:vAlign w:val="center"/>
          </w:tcPr>
          <w:p w:rsidR="00000000" w:rsidDel="00000000" w:rsidP="00000000" w:rsidRDefault="00000000" w:rsidRPr="00000000" w14:paraId="00000018">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ÁREA OCUPACIONAL</w:t>
            </w:r>
          </w:p>
        </w:tc>
        <w:tc>
          <w:tcPr>
            <w:shd w:fill="edf2f8" w:val="clear"/>
            <w:vAlign w:val="center"/>
          </w:tcPr>
          <w:p w:rsidR="00000000" w:rsidDel="00000000" w:rsidP="00000000" w:rsidRDefault="00000000" w:rsidRPr="00000000" w14:paraId="00000019">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1 - Finanzas y administración</w:t>
            </w:r>
          </w:p>
          <w:p w:rsidR="00000000" w:rsidDel="00000000" w:rsidP="00000000" w:rsidRDefault="00000000" w:rsidRPr="00000000" w14:paraId="0000001B">
            <w:pPr>
              <w:rPr>
                <w:rFonts w:ascii="Arial" w:cs="Arial" w:eastAsia="Arial" w:hAnsi="Arial"/>
                <w:color w:val="000000"/>
                <w:sz w:val="20"/>
                <w:szCs w:val="20"/>
              </w:rPr>
            </w:pPr>
            <w:r w:rsidDel="00000000" w:rsidR="00000000" w:rsidRPr="00000000">
              <w:rPr>
                <w:rtl w:val="0"/>
              </w:rPr>
            </w:r>
          </w:p>
        </w:tc>
      </w:tr>
      <w:tr>
        <w:trPr>
          <w:cantSplit w:val="0"/>
          <w:trHeight w:val="465" w:hRule="atLeast"/>
          <w:tblHeader w:val="0"/>
        </w:trPr>
        <w:tc>
          <w:tcPr>
            <w:shd w:fill="edf2f8" w:val="clear"/>
            <w:vAlign w:val="center"/>
          </w:tcPr>
          <w:p w:rsidR="00000000" w:rsidDel="00000000" w:rsidP="00000000" w:rsidRDefault="00000000" w:rsidRPr="00000000" w14:paraId="0000001C">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IDIOMA</w:t>
            </w:r>
          </w:p>
        </w:tc>
        <w:tc>
          <w:tcPr>
            <w:shd w:fill="edf2f8" w:val="clear"/>
            <w:vAlign w:val="center"/>
          </w:tcPr>
          <w:p w:rsidR="00000000" w:rsidDel="00000000" w:rsidP="00000000" w:rsidRDefault="00000000" w:rsidRPr="00000000" w14:paraId="0000001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Español </w:t>
            </w:r>
          </w:p>
        </w:tc>
      </w:tr>
    </w:tbl>
    <w:p w:rsidR="00000000" w:rsidDel="00000000" w:rsidP="00000000" w:rsidRDefault="00000000" w:rsidRPr="00000000" w14:paraId="0000001E">
      <w:pPr>
        <w:jc w:val="both"/>
        <w:rPr>
          <w:sz w:val="20"/>
          <w:szCs w:val="20"/>
        </w:rPr>
      </w:pP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rtl w:val="0"/>
        </w:rPr>
      </w:r>
    </w:p>
    <w:p w:rsidR="00000000" w:rsidDel="00000000" w:rsidP="00000000" w:rsidRDefault="00000000" w:rsidRPr="00000000" w14:paraId="00000020">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350"/>
        </w:tabs>
        <w:rPr>
          <w:b w:val="1"/>
          <w:sz w:val="20"/>
          <w:szCs w:val="20"/>
        </w:rPr>
      </w:pPr>
      <w:r w:rsidDel="00000000" w:rsidR="00000000" w:rsidRPr="00000000">
        <w:rPr>
          <w:b w:val="1"/>
          <w:sz w:val="20"/>
          <w:szCs w:val="20"/>
          <w:rtl w:val="0"/>
        </w:rPr>
        <w:t xml:space="preserve">1. Revisión y aprobación de información </w:t>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1.1. El oficial de cumplimiento</w:t>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1.2. Documentación y estructura</w:t>
      </w:r>
    </w:p>
    <w:p w:rsidR="00000000" w:rsidDel="00000000" w:rsidP="00000000" w:rsidRDefault="00000000" w:rsidRPr="00000000" w14:paraId="00000025">
      <w:pPr>
        <w:rPr>
          <w:sz w:val="20"/>
          <w:szCs w:val="20"/>
        </w:rPr>
      </w:pPr>
      <w:r w:rsidDel="00000000" w:rsidR="00000000" w:rsidRPr="00000000">
        <w:rPr>
          <w:sz w:val="20"/>
          <w:szCs w:val="20"/>
          <w:rtl w:val="0"/>
        </w:rPr>
        <w:t xml:space="preserve">1.3. Indagación del proceso de afiliación </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1.4. Cumplimiento de requisitos </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1.5. Sanciones </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pos="9350"/>
        </w:tabs>
        <w:rPr>
          <w:b w:val="1"/>
          <w:sz w:val="20"/>
          <w:szCs w:val="20"/>
        </w:rPr>
      </w:pPr>
      <w:r w:rsidDel="00000000" w:rsidR="00000000" w:rsidRPr="00000000">
        <w:rPr>
          <w:b w:val="1"/>
          <w:sz w:val="20"/>
          <w:szCs w:val="20"/>
          <w:rtl w:val="0"/>
        </w:rPr>
        <w:t xml:space="preserve">2. Informe </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2.1. Informe de vinculación</w:t>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sz w:val="20"/>
          <w:szCs w:val="20"/>
          <w:rtl w:val="0"/>
        </w:rPr>
        <w:t xml:space="preserve">2.2. UIAF</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pos="9350"/>
        </w:tabs>
        <w:rPr>
          <w:sz w:val="20"/>
          <w:szCs w:val="20"/>
        </w:rPr>
      </w:pPr>
      <w:r w:rsidDel="00000000" w:rsidR="00000000" w:rsidRPr="00000000">
        <w:rPr>
          <w:rtl w:val="0"/>
        </w:rPr>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A continuación, se presenta un video que hará una breve introducción del presente componente formativo:</w:t>
      </w:r>
    </w:p>
    <w:p w:rsidR="00000000" w:rsidDel="00000000" w:rsidP="00000000" w:rsidRDefault="00000000" w:rsidRPr="00000000" w14:paraId="00000033">
      <w:pPr>
        <w:ind w:left="283" w:firstLine="0"/>
        <w:rPr>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4">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35">
            <w:pPr>
              <w:ind w:left="283" w:firstLine="0"/>
              <w:jc w:val="center"/>
              <w:rPr>
                <w:color w:val="ffffff"/>
                <w:sz w:val="20"/>
                <w:szCs w:val="20"/>
              </w:rPr>
            </w:pPr>
            <w:r w:rsidDel="00000000" w:rsidR="00000000" w:rsidRPr="00000000">
              <w:rPr>
                <w:color w:val="ffffff"/>
                <w:sz w:val="20"/>
                <w:szCs w:val="20"/>
                <w:rtl w:val="0"/>
              </w:rPr>
              <w:t xml:space="preserve">Animación 2D</w:t>
            </w:r>
          </w:p>
          <w:p w:rsidR="00000000" w:rsidDel="00000000" w:rsidP="00000000" w:rsidRDefault="00000000" w:rsidRPr="00000000" w14:paraId="00000036">
            <w:pPr>
              <w:jc w:val="center"/>
              <w:rPr>
                <w:color w:val="ffffff"/>
                <w:sz w:val="20"/>
                <w:szCs w:val="20"/>
              </w:rPr>
            </w:pPr>
            <w:sdt>
              <w:sdtPr>
                <w:tag w:val="goog_rdk_0"/>
              </w:sdtPr>
              <w:sdtContent>
                <w:commentRangeStart w:id="0"/>
              </w:sdtContent>
            </w:sdt>
            <w:r w:rsidDel="00000000" w:rsidR="00000000" w:rsidRPr="00000000">
              <w:rPr>
                <w:color w:val="ffffff"/>
                <w:sz w:val="20"/>
                <w:szCs w:val="20"/>
                <w:rtl w:val="0"/>
              </w:rPr>
              <w:t xml:space="preserve">CF03_1_Introduccion</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la elaboración de este componente, se abordaron varios autores conocidos en gestión SARLAFT,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las </w:t>
      </w:r>
      <w:r w:rsidDel="00000000" w:rsidR="00000000" w:rsidRPr="00000000">
        <w:rPr>
          <w:color w:val="000000"/>
          <w:sz w:val="20"/>
          <w:szCs w:val="20"/>
          <w:rtl w:val="0"/>
        </w:rPr>
        <w:t xml:space="preserve">solicitudes financieras bajo la normatividad SARLAFT</w:t>
      </w:r>
      <w:r w:rsidDel="00000000" w:rsidR="00000000" w:rsidRPr="00000000">
        <w:rPr>
          <w:sz w:val="20"/>
          <w:szCs w:val="20"/>
          <w:rtl w:val="0"/>
        </w:rPr>
        <w:t xml:space="preserve">.</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3B">
      <w:pPr>
        <w:numPr>
          <w:ilvl w:val="0"/>
          <w:numId w:val="3"/>
        </w:numPr>
        <w:ind w:left="720" w:hanging="360"/>
        <w:rPr>
          <w:b w:val="1"/>
          <w:sz w:val="20"/>
          <w:szCs w:val="20"/>
        </w:rPr>
      </w:pPr>
      <w:r w:rsidDel="00000000" w:rsidR="00000000" w:rsidRPr="00000000">
        <w:rPr>
          <w:b w:val="1"/>
          <w:sz w:val="20"/>
          <w:szCs w:val="20"/>
          <w:rtl w:val="0"/>
        </w:rPr>
        <w:t xml:space="preserve">Revisión y aprobación de información </w:t>
      </w:r>
    </w:p>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jc w:val="both"/>
        <w:rPr>
          <w:b w:val="1"/>
          <w:sz w:val="20"/>
          <w:szCs w:val="20"/>
        </w:rPr>
      </w:pPr>
      <w:r w:rsidDel="00000000" w:rsidR="00000000" w:rsidRPr="00000000">
        <w:rPr>
          <w:sz w:val="20"/>
          <w:szCs w:val="20"/>
          <w:rtl w:val="0"/>
        </w:rPr>
        <w:t xml:space="preserve">El objetivo de este sistema es describir los parámetros de control para evitar que las entidades sean utilizadas como mecanismos de actividades ilícitas. Es por ello que se deben tener en cuenta ciertos elementos en recursos humanos e infraestructura, para que la gestión del sistema sea óptima, como:</w:t>
      </w:r>
      <w:r w:rsidDel="00000000" w:rsidR="00000000" w:rsidRPr="00000000">
        <w:rPr>
          <w:rtl w:val="0"/>
        </w:rPr>
      </w:r>
    </w:p>
    <w:p w:rsidR="00000000" w:rsidDel="00000000" w:rsidP="00000000" w:rsidRDefault="00000000" w:rsidRPr="00000000" w14:paraId="0000003E">
      <w:pPr>
        <w:ind w:left="284" w:firstLine="0"/>
        <w:rPr>
          <w:b w:val="1"/>
          <w:sz w:val="20"/>
          <w:szCs w:val="20"/>
        </w:rPr>
      </w:pPr>
      <w:r w:rsidDel="00000000" w:rsidR="00000000" w:rsidRPr="00000000">
        <w:rPr>
          <w:rtl w:val="0"/>
        </w:rPr>
      </w:r>
    </w:p>
    <w:p w:rsidR="00000000" w:rsidDel="00000000" w:rsidP="00000000" w:rsidRDefault="00000000" w:rsidRPr="00000000" w14:paraId="0000003F">
      <w:pPr>
        <w:numPr>
          <w:ilvl w:val="1"/>
          <w:numId w:val="7"/>
        </w:numPr>
        <w:pBdr>
          <w:top w:space="0" w:sz="0" w:val="nil"/>
          <w:left w:space="0" w:sz="0" w:val="nil"/>
          <w:bottom w:space="0" w:sz="0" w:val="nil"/>
          <w:right w:space="0" w:sz="0" w:val="nil"/>
          <w:between w:space="0" w:sz="0" w:val="nil"/>
        </w:pBdr>
        <w:ind w:left="644" w:hanging="360"/>
        <w:rPr>
          <w:b w:val="1"/>
          <w:sz w:val="20"/>
          <w:szCs w:val="20"/>
        </w:rPr>
      </w:pPr>
      <w:r w:rsidDel="00000000" w:rsidR="00000000" w:rsidRPr="00000000">
        <w:rPr>
          <w:b w:val="1"/>
          <w:sz w:val="20"/>
          <w:szCs w:val="20"/>
          <w:rtl w:val="0"/>
        </w:rPr>
        <w:t xml:space="preserve">El oficial de cumplimiento</w:t>
      </w:r>
    </w:p>
    <w:p w:rsidR="00000000" w:rsidDel="00000000" w:rsidP="00000000" w:rsidRDefault="00000000" w:rsidRPr="00000000" w14:paraId="00000040">
      <w:pPr>
        <w:rPr>
          <w:b w:val="1"/>
          <w:sz w:val="20"/>
          <w:szCs w:val="20"/>
        </w:rPr>
      </w:pPr>
      <w:r w:rsidDel="00000000" w:rsidR="00000000" w:rsidRPr="00000000">
        <w:rPr>
          <w:rtl w:val="0"/>
        </w:rPr>
      </w:r>
    </w:p>
    <w:p w:rsidR="00000000" w:rsidDel="00000000" w:rsidP="00000000" w:rsidRDefault="00000000" w:rsidRPr="00000000" w14:paraId="00000041">
      <w:pPr>
        <w:jc w:val="both"/>
        <w:rPr>
          <w:sz w:val="20"/>
          <w:szCs w:val="20"/>
        </w:rPr>
      </w:pPr>
      <w:sdt>
        <w:sdtPr>
          <w:tag w:val="goog_rdk_1"/>
        </w:sdtPr>
        <w:sdtContent>
          <w:commentRangeStart w:id="1"/>
        </w:sdtContent>
      </w:sdt>
      <w:r w:rsidDel="00000000" w:rsidR="00000000" w:rsidRPr="00000000">
        <w:rPr>
          <w:sz w:val="20"/>
          <w:szCs w:val="20"/>
          <w:rtl w:val="0"/>
        </w:rPr>
        <w:t xml:space="preserve">Dentro del Sistema de Administración de Riesgos de Lavado de Activos y Financiación del Terrorismo, existe un responsable (persona), quién vigilará y ejecutará labores del llamado Oficial de Cumplimiento, el cual tendrá como responsabilidades: </w:t>
      </w:r>
    </w:p>
    <w:p w:rsidR="00000000" w:rsidDel="00000000" w:rsidP="00000000" w:rsidRDefault="00000000" w:rsidRPr="00000000" w14:paraId="00000042">
      <w:pPr>
        <w:numPr>
          <w:ilvl w:val="0"/>
          <w:numId w:val="5"/>
        </w:numPr>
        <w:ind w:left="720" w:hanging="360"/>
        <w:jc w:val="both"/>
        <w:rPr>
          <w:sz w:val="20"/>
          <w:szCs w:val="20"/>
        </w:rPr>
      </w:pPr>
      <w:r w:rsidDel="00000000" w:rsidR="00000000" w:rsidRPr="00000000">
        <w:rPr>
          <w:sz w:val="20"/>
          <w:szCs w:val="20"/>
          <w:rtl w:val="0"/>
        </w:rPr>
        <w:t xml:space="preserve">Implementar el sistema. </w:t>
      </w:r>
    </w:p>
    <w:p w:rsidR="00000000" w:rsidDel="00000000" w:rsidP="00000000" w:rsidRDefault="00000000" w:rsidRPr="00000000" w14:paraId="00000043">
      <w:pPr>
        <w:numPr>
          <w:ilvl w:val="0"/>
          <w:numId w:val="5"/>
        </w:numPr>
        <w:ind w:left="720" w:hanging="360"/>
        <w:jc w:val="both"/>
        <w:rPr>
          <w:sz w:val="20"/>
          <w:szCs w:val="20"/>
        </w:rPr>
      </w:pPr>
      <w:r w:rsidDel="00000000" w:rsidR="00000000" w:rsidRPr="00000000">
        <w:rPr>
          <w:sz w:val="20"/>
          <w:szCs w:val="20"/>
          <w:rtl w:val="0"/>
        </w:rPr>
        <w:t xml:space="preserve">Vigilar el funcionamiento adecuado. </w:t>
      </w:r>
    </w:p>
    <w:p w:rsidR="00000000" w:rsidDel="00000000" w:rsidP="00000000" w:rsidRDefault="00000000" w:rsidRPr="00000000" w14:paraId="00000044">
      <w:pPr>
        <w:numPr>
          <w:ilvl w:val="0"/>
          <w:numId w:val="5"/>
        </w:numPr>
        <w:ind w:left="720" w:hanging="360"/>
        <w:jc w:val="both"/>
        <w:rPr>
          <w:sz w:val="20"/>
          <w:szCs w:val="20"/>
        </w:rPr>
      </w:pPr>
      <w:r w:rsidDel="00000000" w:rsidR="00000000" w:rsidRPr="00000000">
        <w:rPr>
          <w:sz w:val="20"/>
          <w:szCs w:val="20"/>
          <w:rtl w:val="0"/>
        </w:rPr>
        <w:t xml:space="preserve">Garantizar una cultura de prevención en el lavado de activos y la financiación del terrorismo, al interior de la organización.</w:t>
      </w:r>
    </w:p>
    <w:p w:rsidR="00000000" w:rsidDel="00000000" w:rsidP="00000000" w:rsidRDefault="00000000" w:rsidRPr="00000000" w14:paraId="00000045">
      <w:pPr>
        <w:numPr>
          <w:ilvl w:val="0"/>
          <w:numId w:val="5"/>
        </w:numPr>
        <w:ind w:left="720" w:hanging="360"/>
        <w:jc w:val="both"/>
        <w:rPr>
          <w:sz w:val="20"/>
          <w:szCs w:val="20"/>
        </w:rPr>
      </w:pPr>
      <w:r w:rsidDel="00000000" w:rsidR="00000000" w:rsidRPr="00000000">
        <w:rPr>
          <w:sz w:val="20"/>
          <w:szCs w:val="20"/>
          <w:rtl w:val="0"/>
        </w:rPr>
        <w:t xml:space="preserve">Cumplir con las políticas de la organización.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6">
      <w:pPr>
        <w:ind w:left="720" w:firstLine="0"/>
        <w:jc w:val="both"/>
        <w:rPr>
          <w:sz w:val="20"/>
          <w:szCs w:val="20"/>
        </w:rPr>
      </w:pPr>
      <w:r w:rsidDel="00000000" w:rsidR="00000000" w:rsidRPr="00000000">
        <w:rPr>
          <w:sz w:val="20"/>
          <w:szCs w:val="20"/>
        </w:rPr>
        <w:drawing>
          <wp:inline distB="114300" distT="114300" distL="114300" distR="114300">
            <wp:extent cx="1595438" cy="2415948"/>
            <wp:effectExtent b="0" l="0" r="0" t="0"/>
            <wp:docPr id="56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595438" cy="241594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sz w:val="20"/>
          <w:szCs w:val="20"/>
        </w:rPr>
      </w:pPr>
      <w:r w:rsidDel="00000000" w:rsidR="00000000" w:rsidRPr="00000000">
        <w:rPr>
          <w:sz w:val="20"/>
          <w:szCs w:val="20"/>
          <w:rtl w:val="0"/>
        </w:rPr>
        <w:t xml:space="preserve">La función principal del Oficial de cumplimiento es la de administrar los riesgos de la entidad a la cual pertenece para lograr prevenir el lavado de activos y la financiación del terrorismo, y debe cumplir con unas características específicas expuestas en la siguiente gráfica:  </w:t>
      </w:r>
    </w:p>
    <w:p w:rsidR="00000000" w:rsidDel="00000000" w:rsidP="00000000" w:rsidRDefault="00000000" w:rsidRPr="00000000" w14:paraId="00000049">
      <w:pPr>
        <w:jc w:val="both"/>
        <w:rPr>
          <w:sz w:val="20"/>
          <w:szCs w:val="20"/>
        </w:rPr>
      </w:pPr>
      <w:r w:rsidDel="00000000" w:rsidR="00000000" w:rsidRPr="00000000">
        <w:rPr>
          <w:rtl w:val="0"/>
        </w:rPr>
      </w:r>
    </w:p>
    <w:p w:rsidR="00000000" w:rsidDel="00000000" w:rsidP="00000000" w:rsidRDefault="00000000" w:rsidRPr="00000000" w14:paraId="0000004A">
      <w:pPr>
        <w:ind w:left="283" w:firstLine="0"/>
        <w:rPr>
          <w:sz w:val="20"/>
          <w:szCs w:val="20"/>
        </w:rPr>
      </w:pPr>
      <w:r w:rsidDel="00000000" w:rsidR="00000000" w:rsidRPr="00000000">
        <w:rPr>
          <w:rtl w:val="0"/>
        </w:rPr>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4B">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4C">
            <w:pPr>
              <w:ind w:left="283" w:firstLine="0"/>
              <w:jc w:val="center"/>
              <w:rPr>
                <w:color w:val="ffffff"/>
                <w:sz w:val="20"/>
                <w:szCs w:val="20"/>
              </w:rPr>
            </w:pPr>
            <w:r w:rsidDel="00000000" w:rsidR="00000000" w:rsidRPr="00000000">
              <w:rPr>
                <w:color w:val="ffffff"/>
                <w:sz w:val="20"/>
                <w:szCs w:val="20"/>
                <w:rtl w:val="0"/>
              </w:rPr>
              <w:t xml:space="preserve">Pestañas</w:t>
            </w:r>
          </w:p>
          <w:p w:rsidR="00000000" w:rsidDel="00000000" w:rsidP="00000000" w:rsidRDefault="00000000" w:rsidRPr="00000000" w14:paraId="0000004D">
            <w:pPr>
              <w:jc w:val="center"/>
              <w:rPr>
                <w:color w:val="ffffff"/>
                <w:sz w:val="20"/>
                <w:szCs w:val="20"/>
              </w:rPr>
            </w:pPr>
            <w:sdt>
              <w:sdtPr>
                <w:tag w:val="goog_rdk_2"/>
              </w:sdtPr>
              <w:sdtContent>
                <w:commentRangeStart w:id="2"/>
              </w:sdtContent>
            </w:sdt>
            <w:r w:rsidDel="00000000" w:rsidR="00000000" w:rsidRPr="00000000">
              <w:rPr>
                <w:color w:val="ffffff"/>
                <w:sz w:val="20"/>
                <w:szCs w:val="20"/>
                <w:rtl w:val="0"/>
              </w:rPr>
              <w:t xml:space="preserve">CF03_1_1_Oficial</w:t>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El oficial de cumplimiento, aparte de sus características y funciones, posee habilidades y actitudes que son encaminadas al desarrollo de sus funciones para el buen cumplimiento del sistema. Algunas de estas habilidades son: </w:t>
      </w:r>
    </w:p>
    <w:p w:rsidR="00000000" w:rsidDel="00000000" w:rsidP="00000000" w:rsidRDefault="00000000" w:rsidRPr="00000000" w14:paraId="00000051">
      <w:pPr>
        <w:numPr>
          <w:ilvl w:val="0"/>
          <w:numId w:val="8"/>
        </w:numPr>
        <w:pBdr>
          <w:top w:space="0" w:sz="0" w:val="nil"/>
          <w:left w:space="0" w:sz="0" w:val="nil"/>
          <w:bottom w:space="0" w:sz="0" w:val="nil"/>
          <w:right w:space="0" w:sz="0" w:val="nil"/>
          <w:between w:space="0" w:sz="0" w:val="nil"/>
        </w:pBdr>
        <w:ind w:left="720" w:hanging="360"/>
        <w:jc w:val="both"/>
        <w:rPr>
          <w:sz w:val="20"/>
          <w:szCs w:val="20"/>
        </w:rPr>
      </w:pPr>
      <w:sdt>
        <w:sdtPr>
          <w:tag w:val="goog_rdk_3"/>
        </w:sdtPr>
        <w:sdtContent>
          <w:commentRangeStart w:id="3"/>
        </w:sdtContent>
      </w:sdt>
      <w:r w:rsidDel="00000000" w:rsidR="00000000" w:rsidRPr="00000000">
        <w:rPr>
          <w:sz w:val="20"/>
          <w:szCs w:val="20"/>
          <w:rtl w:val="0"/>
        </w:rPr>
        <w:t xml:space="preserve">Manejar los asuntos confidenciales y la información sensible. Además de esto, es una persona comprometida con la organización en la prevención de LA/FT. Cabe destacar que la información detectada para ser reportada se considera información de inteligencia, por lo cual es reservada.</w:t>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Esta persona cuenta con una buena comunicación con todo el personal interior de la organización, facilitando el camino a una buena cultura organizacional y un buen gobierno corporativo.</w:t>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Actúa de manera honesta, respetuosa y transparente, rechazando cualquier acto ilícito frente a cualquier operación de la entidad.</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jc w:val="both"/>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sz w:val="20"/>
          <w:szCs w:val="20"/>
        </w:rPr>
      </w:pPr>
      <w:sdt>
        <w:sdtPr>
          <w:tag w:val="goog_rdk_4"/>
        </w:sdtPr>
        <w:sdtContent>
          <w:commentRangeStart w:id="4"/>
        </w:sdtContent>
      </w:sdt>
      <w:r w:rsidDel="00000000" w:rsidR="00000000" w:rsidRPr="00000000">
        <w:rPr>
          <w:sz w:val="20"/>
          <w:szCs w:val="20"/>
          <w:rtl w:val="0"/>
        </w:rPr>
        <w:t xml:space="preserve">Para que el oficial de cumplimiento se desempeñe de manera efectiva, debe tener liderazgo y una buena relación con todas las áreas de la entidad.</w:t>
      </w:r>
    </w:p>
    <w:p w:rsidR="00000000" w:rsidDel="00000000" w:rsidP="00000000" w:rsidRDefault="00000000" w:rsidRPr="00000000" w14:paraId="00000057">
      <w:pPr>
        <w:rPr>
          <w:sz w:val="20"/>
          <w:szCs w:val="20"/>
        </w:rPr>
      </w:pPr>
      <w:r w:rsidDel="00000000" w:rsidR="00000000" w:rsidRPr="00000000">
        <w:rPr>
          <w:sz w:val="20"/>
          <w:szCs w:val="20"/>
        </w:rPr>
        <w:drawing>
          <wp:inline distB="114300" distT="114300" distL="114300" distR="114300">
            <wp:extent cx="3481388" cy="2047547"/>
            <wp:effectExtent b="0" l="0" r="0" t="0"/>
            <wp:docPr id="56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81388" cy="204754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8">
      <w:pPr>
        <w:rPr>
          <w:sz w:val="20"/>
          <w:szCs w:val="20"/>
        </w:rPr>
      </w:pPr>
      <w:r w:rsidDel="00000000" w:rsidR="00000000" w:rsidRPr="00000000">
        <w:rPr>
          <w:rtl w:val="0"/>
        </w:rPr>
      </w:r>
    </w:p>
    <w:p w:rsidR="00000000" w:rsidDel="00000000" w:rsidP="00000000" w:rsidRDefault="00000000" w:rsidRPr="00000000" w14:paraId="00000059">
      <w:pPr>
        <w:spacing w:line="240" w:lineRule="auto"/>
        <w:jc w:val="center"/>
        <w:rPr>
          <w:sz w:val="20"/>
          <w:szCs w:val="20"/>
        </w:rPr>
      </w:pPr>
      <w:r w:rsidDel="00000000" w:rsidR="00000000" w:rsidRPr="00000000">
        <w:rPr>
          <w:rtl w:val="0"/>
        </w:rPr>
      </w:r>
    </w:p>
    <w:p w:rsidR="00000000" w:rsidDel="00000000" w:rsidP="00000000" w:rsidRDefault="00000000" w:rsidRPr="00000000" w14:paraId="0000005A">
      <w:pPr>
        <w:spacing w:after="120" w:lineRule="auto"/>
        <w:jc w:val="both"/>
        <w:rPr>
          <w:sz w:val="20"/>
          <w:szCs w:val="20"/>
        </w:rPr>
      </w:pPr>
      <w:r w:rsidDel="00000000" w:rsidR="00000000" w:rsidRPr="00000000">
        <w:rPr>
          <w:rtl w:val="0"/>
        </w:rPr>
      </w:r>
    </w:p>
    <w:tbl>
      <w:tblPr>
        <w:tblStyle w:val="Table7"/>
        <w:tblW w:w="9962.0" w:type="dxa"/>
        <w:jc w:val="left"/>
        <w:tblInd w:w="0.0" w:type="dxa"/>
        <w:tblLayout w:type="fixed"/>
        <w:tblLook w:val="0400"/>
      </w:tblPr>
      <w:tblGrid>
        <w:gridCol w:w="9962"/>
        <w:tblGridChange w:id="0">
          <w:tblGrid>
            <w:gridCol w:w="9962"/>
          </w:tblGrid>
        </w:tblGridChange>
      </w:tblGrid>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B">
            <w:pPr>
              <w:spacing w:after="12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Importancia del oficial de </w:t>
            </w:r>
            <w:sdt>
              <w:sdtPr>
                <w:tag w:val="goog_rdk_5"/>
              </w:sdtPr>
              <w:sdtContent>
                <w:commentRangeStart w:id="5"/>
              </w:sdtContent>
            </w:sdt>
            <w:r w:rsidDel="00000000" w:rsidR="00000000" w:rsidRPr="00000000">
              <w:rPr>
                <w:rFonts w:ascii="Arial" w:cs="Arial" w:eastAsia="Arial" w:hAnsi="Arial"/>
                <w:sz w:val="20"/>
                <w:szCs w:val="20"/>
                <w:rtl w:val="0"/>
              </w:rPr>
              <w:t xml:space="preserve">cumplimiento</w:t>
            </w:r>
            <w:commentRangeEnd w:id="5"/>
            <w:r w:rsidDel="00000000" w:rsidR="00000000" w:rsidRPr="00000000">
              <w:commentReference w:id="5"/>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5D">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presente video, se explica el papel del oficial dentro de una entidad financiera.</w:t>
            </w:r>
          </w:p>
          <w:p w:rsidR="00000000" w:rsidDel="00000000" w:rsidP="00000000" w:rsidRDefault="00000000" w:rsidRPr="00000000" w14:paraId="0000005E">
            <w:pPr>
              <w:spacing w:after="12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sz w:val="20"/>
          <w:szCs w:val="20"/>
        </w:rPr>
      </w:pPr>
      <w:r w:rsidDel="00000000" w:rsidR="00000000" w:rsidRPr="00000000">
        <w:rPr>
          <w:rtl w:val="0"/>
        </w:rPr>
      </w:r>
    </w:p>
    <w:p w:rsidR="00000000" w:rsidDel="00000000" w:rsidP="00000000" w:rsidRDefault="00000000" w:rsidRPr="00000000" w14:paraId="00000061">
      <w:pPr>
        <w:numPr>
          <w:ilvl w:val="1"/>
          <w:numId w:val="7"/>
        </w:numPr>
        <w:pBdr>
          <w:top w:space="0" w:sz="0" w:val="nil"/>
          <w:left w:space="0" w:sz="0" w:val="nil"/>
          <w:bottom w:space="0" w:sz="0" w:val="nil"/>
          <w:right w:space="0" w:sz="0" w:val="nil"/>
          <w:between w:space="0" w:sz="0" w:val="nil"/>
        </w:pBdr>
        <w:ind w:left="644" w:hanging="360"/>
        <w:rPr>
          <w:b w:val="1"/>
          <w:sz w:val="20"/>
          <w:szCs w:val="20"/>
        </w:rPr>
      </w:pPr>
      <w:r w:rsidDel="00000000" w:rsidR="00000000" w:rsidRPr="00000000">
        <w:rPr>
          <w:b w:val="1"/>
          <w:sz w:val="20"/>
          <w:szCs w:val="20"/>
          <w:rtl w:val="0"/>
        </w:rPr>
        <w:t xml:space="preserve">Documentación y estructura </w:t>
      </w:r>
    </w:p>
    <w:p w:rsidR="00000000" w:rsidDel="00000000" w:rsidP="00000000" w:rsidRDefault="00000000" w:rsidRPr="00000000" w14:paraId="00000062">
      <w:pPr>
        <w:rPr>
          <w:b w:val="1"/>
          <w:sz w:val="20"/>
          <w:szCs w:val="20"/>
        </w:rPr>
      </w:pPr>
      <w:r w:rsidDel="00000000" w:rsidR="00000000" w:rsidRPr="00000000">
        <w:rPr>
          <w:rtl w:val="0"/>
        </w:rPr>
      </w:r>
    </w:p>
    <w:p w:rsidR="00000000" w:rsidDel="00000000" w:rsidP="00000000" w:rsidRDefault="00000000" w:rsidRPr="00000000" w14:paraId="00000063">
      <w:pPr>
        <w:jc w:val="both"/>
        <w:rPr>
          <w:sz w:val="20"/>
          <w:szCs w:val="20"/>
        </w:rPr>
      </w:pPr>
      <w:r w:rsidDel="00000000" w:rsidR="00000000" w:rsidRPr="00000000">
        <w:rPr>
          <w:sz w:val="20"/>
          <w:szCs w:val="20"/>
          <w:rtl w:val="0"/>
        </w:rPr>
        <w:t xml:space="preserve">El sistema de prevención de riesgos de lavado de activos y financiación del terrorismo, como el sistema SARLAFT, cuenta con una documentación necesaria para poder ser aplicado en la entidad; esta documentación permite mantener constancia de los procesos y registro de las actividades, garantizando de esta manera la integridad de la información allí contenida.</w:t>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sz w:val="20"/>
          <w:szCs w:val="20"/>
          <w:rtl w:val="0"/>
        </w:rPr>
        <w:t xml:space="preserve">Para explicarlo de una manera más clara, se presenta un ejemplo:</w:t>
      </w:r>
    </w:p>
    <w:p w:rsidR="00000000" w:rsidDel="00000000" w:rsidP="00000000" w:rsidRDefault="00000000" w:rsidRPr="00000000" w14:paraId="00000066">
      <w:pPr>
        <w:ind w:left="283" w:firstLine="0"/>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67">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68">
            <w:pPr>
              <w:ind w:left="283" w:firstLine="0"/>
              <w:jc w:val="center"/>
              <w:rPr>
                <w:color w:val="ffffff"/>
                <w:sz w:val="20"/>
                <w:szCs w:val="20"/>
              </w:rPr>
            </w:pPr>
            <w:r w:rsidDel="00000000" w:rsidR="00000000" w:rsidRPr="00000000">
              <w:rPr>
                <w:color w:val="ffffff"/>
                <w:sz w:val="20"/>
                <w:szCs w:val="20"/>
                <w:rtl w:val="0"/>
              </w:rPr>
              <w:t xml:space="preserve">Slider tipo 1</w:t>
            </w:r>
          </w:p>
          <w:p w:rsidR="00000000" w:rsidDel="00000000" w:rsidP="00000000" w:rsidRDefault="00000000" w:rsidRPr="00000000" w14:paraId="00000069">
            <w:pPr>
              <w:jc w:val="center"/>
              <w:rPr>
                <w:color w:val="ffffff"/>
                <w:sz w:val="20"/>
                <w:szCs w:val="20"/>
              </w:rPr>
            </w:pPr>
            <w:sdt>
              <w:sdtPr>
                <w:tag w:val="goog_rdk_6"/>
              </w:sdtPr>
              <w:sdtContent>
                <w:commentRangeStart w:id="6"/>
              </w:sdtContent>
            </w:sdt>
            <w:r w:rsidDel="00000000" w:rsidR="00000000" w:rsidRPr="00000000">
              <w:rPr>
                <w:color w:val="ffffff"/>
                <w:sz w:val="20"/>
                <w:szCs w:val="20"/>
                <w:rtl w:val="0"/>
              </w:rPr>
              <w:t xml:space="preserve">CF03_1_2_Ejemplo</w:t>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tabs>
          <w:tab w:val="left" w:pos="1680"/>
        </w:tabs>
        <w:jc w:val="both"/>
        <w:rPr>
          <w:sz w:val="20"/>
          <w:szCs w:val="20"/>
        </w:rPr>
      </w:pPr>
      <w:r w:rsidDel="00000000" w:rsidR="00000000" w:rsidRPr="00000000">
        <w:rPr>
          <w:rtl w:val="0"/>
        </w:rPr>
      </w:r>
    </w:p>
    <w:p w:rsidR="00000000" w:rsidDel="00000000" w:rsidP="00000000" w:rsidRDefault="00000000" w:rsidRPr="00000000" w14:paraId="0000006C">
      <w:pPr>
        <w:jc w:val="both"/>
        <w:rPr>
          <w:b w:val="1"/>
          <w:sz w:val="20"/>
          <w:szCs w:val="20"/>
        </w:rPr>
      </w:pPr>
      <w:r w:rsidDel="00000000" w:rsidR="00000000" w:rsidRPr="00000000">
        <w:rPr>
          <w:sz w:val="20"/>
          <w:szCs w:val="20"/>
          <w:rtl w:val="0"/>
        </w:rPr>
        <w:t xml:space="preserve">Es muy importante saber quién será el cliente; de esta manera, es posible prevenir los riesgos, y esto se puede lograr mediante la recolección de información relevante, es decir, los movimientos financieros, las operaciones con la empresa, posibles operaciones de tipo inusual que permitan detectar y analizar operaciones sospechosas.</w:t>
      </w:r>
      <w:r w:rsidDel="00000000" w:rsidR="00000000" w:rsidRPr="00000000">
        <w:rPr>
          <w:b w:val="1"/>
          <w:sz w:val="20"/>
          <w:szCs w:val="20"/>
          <w:rtl w:val="0"/>
        </w:rPr>
        <w:t xml:space="preserve"> </w:t>
      </w:r>
    </w:p>
    <w:p w:rsidR="00000000" w:rsidDel="00000000" w:rsidP="00000000" w:rsidRDefault="00000000" w:rsidRPr="00000000" w14:paraId="0000006D">
      <w:pPr>
        <w:jc w:val="both"/>
        <w:rPr>
          <w:b w:val="1"/>
          <w:sz w:val="20"/>
          <w:szCs w:val="20"/>
        </w:rPr>
      </w:pPr>
      <w:r w:rsidDel="00000000" w:rsidR="00000000" w:rsidRPr="00000000">
        <w:rPr>
          <w:rtl w:val="0"/>
        </w:rPr>
      </w:r>
    </w:p>
    <w:p w:rsidR="00000000" w:rsidDel="00000000" w:rsidP="00000000" w:rsidRDefault="00000000" w:rsidRPr="00000000" w14:paraId="0000006E">
      <w:pPr>
        <w:jc w:val="both"/>
        <w:rPr>
          <w:sz w:val="20"/>
          <w:szCs w:val="20"/>
        </w:rPr>
      </w:pPr>
      <w:sdt>
        <w:sdtPr>
          <w:tag w:val="goog_rdk_7"/>
        </w:sdtPr>
        <w:sdtContent>
          <w:commentRangeStart w:id="7"/>
        </w:sdtContent>
      </w:sdt>
      <w:r w:rsidDel="00000000" w:rsidR="00000000" w:rsidRPr="00000000">
        <w:rPr>
          <w:sz w:val="20"/>
          <w:szCs w:val="20"/>
          <w:rtl w:val="0"/>
        </w:rPr>
        <w:t xml:space="preserve">La información relevante es la que permite establecer la identificación completa, la actividad económica, el volumen y las características de las transacciones. Se debe realizar con la mayor responsabilidad y compromiso por parte de todos los empleados o personas que intervienen en este proceso.</w:t>
      </w:r>
    </w:p>
    <w:p w:rsidR="00000000" w:rsidDel="00000000" w:rsidP="00000000" w:rsidRDefault="00000000" w:rsidRPr="00000000" w14:paraId="0000006F">
      <w:pPr>
        <w:jc w:val="both"/>
        <w:rPr>
          <w:sz w:val="20"/>
          <w:szCs w:val="20"/>
        </w:rPr>
      </w:pPr>
      <w:r w:rsidDel="00000000" w:rsidR="00000000" w:rsidRPr="00000000">
        <w:rPr>
          <w:sz w:val="20"/>
          <w:szCs w:val="20"/>
        </w:rPr>
        <w:drawing>
          <wp:inline distB="19050" distT="19050" distL="19050" distR="19050">
            <wp:extent cx="2870725" cy="2054050"/>
            <wp:effectExtent b="12700" l="12700" r="12700" t="12700"/>
            <wp:docPr id="56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70725" cy="2054050"/>
                    </a:xfrm>
                    <a:prstGeom prst="rect"/>
                    <a:ln w="12700">
                      <a:solidFill>
                        <a:srgbClr val="5B9BD5"/>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rPr>
          <w:b w:val="1"/>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1">
      <w:pPr>
        <w:rPr>
          <w:b w:val="1"/>
          <w:sz w:val="20"/>
          <w:szCs w:val="20"/>
        </w:rPr>
      </w:pPr>
      <w:r w:rsidDel="00000000" w:rsidR="00000000" w:rsidRPr="00000000">
        <w:rPr>
          <w:b w:val="1"/>
          <w:sz w:val="20"/>
          <w:szCs w:val="20"/>
          <w:rtl w:val="0"/>
        </w:rPr>
        <w:t xml:space="preserve">1.3. Indagación del proceso de afiliación </w:t>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jc w:val="both"/>
        <w:rPr>
          <w:sz w:val="20"/>
          <w:szCs w:val="20"/>
        </w:rPr>
      </w:pPr>
      <w:r w:rsidDel="00000000" w:rsidR="00000000" w:rsidRPr="00000000">
        <w:rPr>
          <w:sz w:val="20"/>
          <w:szCs w:val="20"/>
          <w:rtl w:val="0"/>
        </w:rPr>
        <w:t xml:space="preserve">Para poder ejecutar el proceso de afiliación al Sistema de Administración de Riesgos de Lavado de Activos y Financiación del Terrorismo, se debe conocer a profundidad al cliente, de la siguiente manera: </w:t>
      </w:r>
    </w:p>
    <w:p w:rsidR="00000000" w:rsidDel="00000000" w:rsidP="00000000" w:rsidRDefault="00000000" w:rsidRPr="00000000" w14:paraId="00000074">
      <w:pPr>
        <w:ind w:left="283" w:firstLine="0"/>
        <w:rPr>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75">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76">
            <w:pPr>
              <w:ind w:left="283" w:firstLine="0"/>
              <w:jc w:val="center"/>
              <w:rPr>
                <w:color w:val="ffffff"/>
                <w:sz w:val="20"/>
                <w:szCs w:val="20"/>
              </w:rPr>
            </w:pPr>
            <w:r w:rsidDel="00000000" w:rsidR="00000000" w:rsidRPr="00000000">
              <w:rPr>
                <w:color w:val="ffffff"/>
                <w:sz w:val="20"/>
                <w:szCs w:val="20"/>
                <w:rtl w:val="0"/>
              </w:rPr>
              <w:t xml:space="preserve">Tarjetas</w:t>
            </w:r>
          </w:p>
          <w:p w:rsidR="00000000" w:rsidDel="00000000" w:rsidP="00000000" w:rsidRDefault="00000000" w:rsidRPr="00000000" w14:paraId="00000077">
            <w:pPr>
              <w:jc w:val="center"/>
              <w:rPr>
                <w:color w:val="ffffff"/>
                <w:sz w:val="20"/>
                <w:szCs w:val="20"/>
              </w:rPr>
            </w:pPr>
            <w:sdt>
              <w:sdtPr>
                <w:tag w:val="goog_rdk_8"/>
              </w:sdtPr>
              <w:sdtContent>
                <w:commentRangeStart w:id="8"/>
              </w:sdtContent>
            </w:sdt>
            <w:r w:rsidDel="00000000" w:rsidR="00000000" w:rsidRPr="00000000">
              <w:rPr>
                <w:color w:val="ffffff"/>
                <w:sz w:val="20"/>
                <w:szCs w:val="20"/>
                <w:rtl w:val="0"/>
              </w:rPr>
              <w:t xml:space="preserve">CF03_1_3_Afiliación</w:t>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numPr>
          <w:ilvl w:val="0"/>
          <w:numId w:val="4"/>
        </w:numPr>
        <w:ind w:left="720" w:hanging="360"/>
        <w:jc w:val="both"/>
        <w:rPr>
          <w:b w:val="1"/>
          <w:sz w:val="20"/>
          <w:szCs w:val="20"/>
        </w:rPr>
      </w:pPr>
      <w:r w:rsidDel="00000000" w:rsidR="00000000" w:rsidRPr="00000000">
        <w:rPr>
          <w:b w:val="1"/>
          <w:sz w:val="20"/>
          <w:szCs w:val="20"/>
          <w:rtl w:val="0"/>
        </w:rPr>
        <w:t xml:space="preserve">FORMATOS</w:t>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A continuación, se presentará el Formato Único de Conocimiento, a diligenciar. Este formato permitirá conocer y revisar la información del cliente (persona natural o jurídica) según los requerimientos SARLAFT. </w:t>
      </w:r>
    </w:p>
    <w:tbl>
      <w:tblPr>
        <w:tblStyle w:val="Table10"/>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C">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Formato conocimiento del cliente</w:t>
            </w:r>
          </w:p>
          <w:p w:rsidR="00000000" w:rsidDel="00000000" w:rsidP="00000000" w:rsidRDefault="00000000" w:rsidRPr="00000000" w14:paraId="0000007D">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presente archivo, se encuentra un ejemplo de Formato único de conocimiento.</w:t>
            </w:r>
          </w:p>
          <w:p w:rsidR="00000000" w:rsidDel="00000000" w:rsidP="00000000" w:rsidRDefault="00000000" w:rsidRPr="00000000" w14:paraId="0000007E">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Anexo_1.Formulario_conocimiento_Cliente</w:t>
            </w:r>
          </w:p>
        </w:tc>
      </w:tr>
    </w:tbl>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sz w:val="20"/>
          <w:szCs w:val="20"/>
          <w:rtl w:val="0"/>
        </w:rPr>
        <w:t xml:space="preserve">También existen formatos de vinculación de contrapartes, los cuales son utilizados para toda persona natural o jurídica con quien la entidad formaliza una relación contractual o legal, como contratista, proveedor, </w:t>
      </w:r>
      <w:r w:rsidDel="00000000" w:rsidR="00000000" w:rsidRPr="00000000">
        <w:rPr>
          <w:i w:val="1"/>
          <w:sz w:val="20"/>
          <w:szCs w:val="20"/>
          <w:rtl w:val="0"/>
        </w:rPr>
        <w:t xml:space="preserve">outsourcing</w:t>
      </w:r>
      <w:r w:rsidDel="00000000" w:rsidR="00000000" w:rsidRPr="00000000">
        <w:rPr>
          <w:sz w:val="20"/>
          <w:szCs w:val="20"/>
          <w:rtl w:val="0"/>
        </w:rPr>
        <w:t xml:space="preserve">, contratos de red de prestadores, compradores y/o cualquier figura contractual que suponga transacciones  efectivas de recursos.</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sz w:val="20"/>
          <w:szCs w:val="20"/>
          <w:rtl w:val="0"/>
        </w:rPr>
        <w:t xml:space="preserve"> </w:t>
      </w:r>
    </w:p>
    <w:tbl>
      <w:tblPr>
        <w:tblStyle w:val="Table11"/>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5">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Formato de vinculación de contrapartes y/o actualización – Persona natural </w:t>
            </w:r>
          </w:p>
          <w:p w:rsidR="00000000" w:rsidDel="00000000" w:rsidP="00000000" w:rsidRDefault="00000000" w:rsidRPr="00000000" w14:paraId="00000086">
            <w:pPr>
              <w:spacing w:after="120"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7">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Anexo_2.Formato-actualizacion-vinculacion-contrapartes-persona-natural</w:t>
            </w:r>
          </w:p>
        </w:tc>
      </w:tr>
    </w:tbl>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tbl>
      <w:tblPr>
        <w:tblStyle w:val="Table12"/>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A">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Formato de vinculación de contrapartes y/o actualización – Persona jurídica </w:t>
            </w:r>
          </w:p>
          <w:p w:rsidR="00000000" w:rsidDel="00000000" w:rsidP="00000000" w:rsidRDefault="00000000" w:rsidRPr="00000000" w14:paraId="0000008B">
            <w:pPr>
              <w:spacing w:after="120"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8C">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Anexo_3.Formato-actualizacion-vinculacion-contrapartes-persona-juridica</w:t>
            </w:r>
          </w:p>
        </w:tc>
      </w:tr>
    </w:tbl>
    <w:p w:rsidR="00000000" w:rsidDel="00000000" w:rsidP="00000000" w:rsidRDefault="00000000" w:rsidRPr="00000000" w14:paraId="0000008D">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rtl w:val="0"/>
        </w:rPr>
      </w:r>
    </w:p>
    <w:p w:rsidR="00000000" w:rsidDel="00000000" w:rsidP="00000000" w:rsidRDefault="00000000" w:rsidRPr="00000000" w14:paraId="0000008E">
      <w:pPr>
        <w:keepNext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1.4. Cumplimiento de requisitos </w:t>
      </w:r>
    </w:p>
    <w:p w:rsidR="00000000" w:rsidDel="00000000" w:rsidP="00000000" w:rsidRDefault="00000000" w:rsidRPr="00000000" w14:paraId="0000008F">
      <w:pPr>
        <w:keepNext w:val="1"/>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90">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En la implementación del Sistema de Administración de Riesgos de Lavado de Activos y Financiación del Terrorismo, se deben cumplir una serie de requisitos para poder ceñirse al debido proceso de afiliación y ejecución del sistema.  </w:t>
      </w:r>
    </w:p>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A continuación, se adjunta una lista de chequeo (ejemplo) para verificar si se cumple con la documentación necesaria para el SARLAFT. </w:t>
      </w:r>
    </w:p>
    <w:p w:rsidR="00000000" w:rsidDel="00000000" w:rsidP="00000000" w:rsidRDefault="00000000" w:rsidRPr="00000000" w14:paraId="00000092">
      <w:pPr>
        <w:rPr>
          <w:sz w:val="20"/>
          <w:szCs w:val="20"/>
        </w:rPr>
      </w:pPr>
      <w:r w:rsidDel="00000000" w:rsidR="00000000" w:rsidRPr="00000000">
        <w:rPr>
          <w:rtl w:val="0"/>
        </w:rPr>
      </w:r>
    </w:p>
    <w:tbl>
      <w:tblPr>
        <w:tblStyle w:val="Table13"/>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3">
            <w:pPr>
              <w:rPr>
                <w:rFonts w:ascii="Arial" w:cs="Arial" w:eastAsia="Arial" w:hAnsi="Arial"/>
                <w:sz w:val="20"/>
                <w:szCs w:val="20"/>
              </w:rPr>
            </w:pPr>
            <w:r w:rsidDel="00000000" w:rsidR="00000000" w:rsidRPr="00000000">
              <w:rPr>
                <w:rFonts w:ascii="Arial" w:cs="Arial" w:eastAsia="Arial" w:hAnsi="Arial"/>
                <w:sz w:val="20"/>
                <w:szCs w:val="20"/>
                <w:rtl w:val="0"/>
              </w:rPr>
              <w:t xml:space="preserve">Lista de chequeo</w:t>
            </w:r>
          </w:p>
          <w:p w:rsidR="00000000" w:rsidDel="00000000" w:rsidP="00000000" w:rsidRDefault="00000000" w:rsidRPr="00000000" w14:paraId="00000094">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El siguiente ejemplo permitirá verificar los requisitos a cumplir como cliente. </w:t>
            </w:r>
          </w:p>
          <w:p w:rsidR="00000000" w:rsidDel="00000000" w:rsidP="00000000" w:rsidRDefault="00000000" w:rsidRPr="00000000" w14:paraId="00000095">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Anexo_4.Lista_de_chequeo</w:t>
            </w:r>
          </w:p>
        </w:tc>
      </w:tr>
    </w:tbl>
    <w:p w:rsidR="00000000" w:rsidDel="00000000" w:rsidP="00000000" w:rsidRDefault="00000000" w:rsidRPr="00000000" w14:paraId="00000096">
      <w:pPr>
        <w:keepNext w:val="1"/>
        <w:spacing w:after="200" w:line="240" w:lineRule="auto"/>
        <w:jc w:val="both"/>
        <w:rPr>
          <w:sz w:val="20"/>
          <w:szCs w:val="20"/>
        </w:rPr>
      </w:pPr>
      <w:r w:rsidDel="00000000" w:rsidR="00000000" w:rsidRPr="00000000">
        <w:rPr>
          <w:rtl w:val="0"/>
        </w:rPr>
      </w:r>
    </w:p>
    <w:p w:rsidR="00000000" w:rsidDel="00000000" w:rsidP="00000000" w:rsidRDefault="00000000" w:rsidRPr="00000000" w14:paraId="00000097">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rtl w:val="0"/>
        </w:rPr>
      </w:r>
    </w:p>
    <w:p w:rsidR="00000000" w:rsidDel="00000000" w:rsidP="00000000" w:rsidRDefault="00000000" w:rsidRPr="00000000" w14:paraId="00000098">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rtl w:val="0"/>
        </w:rPr>
      </w:r>
    </w:p>
    <w:p w:rsidR="00000000" w:rsidDel="00000000" w:rsidP="00000000" w:rsidRDefault="00000000" w:rsidRPr="00000000" w14:paraId="00000099">
      <w:pPr>
        <w:keepNext w:val="1"/>
        <w:pBdr>
          <w:top w:space="0" w:sz="0" w:val="nil"/>
          <w:left w:space="0" w:sz="0" w:val="nil"/>
          <w:bottom w:space="0" w:sz="0" w:val="nil"/>
          <w:right w:space="0" w:sz="0" w:val="nil"/>
          <w:between w:space="0" w:sz="0" w:val="nil"/>
        </w:pBdr>
        <w:spacing w:after="200" w:line="240" w:lineRule="auto"/>
        <w:rPr>
          <w:b w:val="1"/>
          <w:sz w:val="20"/>
          <w:szCs w:val="20"/>
        </w:rPr>
      </w:pPr>
      <w:r w:rsidDel="00000000" w:rsidR="00000000" w:rsidRPr="00000000">
        <w:rPr>
          <w:b w:val="1"/>
          <w:sz w:val="20"/>
          <w:szCs w:val="20"/>
          <w:rtl w:val="0"/>
        </w:rPr>
        <w:t xml:space="preserve">1.5. Sanciones </w:t>
      </w:r>
    </w:p>
    <w:p w:rsidR="00000000" w:rsidDel="00000000" w:rsidP="00000000" w:rsidRDefault="00000000" w:rsidRPr="00000000" w14:paraId="0000009A">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De acuerdo con las recomendaciones dadas por el GAFI sobre el cumplimiento del SARLAFT 4.0, en el numeral 26: “Regulación y supervisión de las instituciones financieras “, y su numeral 35: “Sanciones”, las instituciones financieras deben estar en la regulación y supervisión adecuada. Debe asegurarse de que existan unas sanciones eficaces, proporcionales y disuasivas, bien sean penales, civiles o administrativas, para las personas naturales o jurídicas que incumplan con los requisitos ALA/CFT. </w:t>
      </w:r>
    </w:p>
    <w:p w:rsidR="00000000" w:rsidDel="00000000" w:rsidP="00000000" w:rsidRDefault="00000000" w:rsidRPr="00000000" w14:paraId="0000009B">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En los últimos 3 años, se han emitido un aproximado de 31 sanciones, de las cuales, el 58% se efectuaron en el 2018 y, en lo que va del 2020, se han emitido 4 sanciones. </w:t>
      </w:r>
    </w:p>
    <w:p w:rsidR="00000000" w:rsidDel="00000000" w:rsidP="00000000" w:rsidRDefault="00000000" w:rsidRPr="00000000" w14:paraId="0000009C">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La Superintendencia Financiera de Colombia tiene como objetivo principal la inspección, vigilancia y control de las personas pertenecientes a las entidades vigiladas. Estas sanciones se han debido al incumplimiento del SARLAFT 4.0.</w:t>
      </w:r>
    </w:p>
    <w:p w:rsidR="00000000" w:rsidDel="00000000" w:rsidP="00000000" w:rsidRDefault="00000000" w:rsidRPr="00000000" w14:paraId="0000009D">
      <w:pPr>
        <w:keepNext w:val="1"/>
        <w:pBdr>
          <w:top w:space="0" w:sz="0" w:val="nil"/>
          <w:left w:space="0" w:sz="0" w:val="nil"/>
          <w:bottom w:space="0" w:sz="0" w:val="nil"/>
          <w:right w:space="0" w:sz="0" w:val="nil"/>
          <w:between w:space="0" w:sz="0" w:val="nil"/>
        </w:pBdr>
        <w:spacing w:after="200" w:line="240" w:lineRule="auto"/>
        <w:jc w:val="both"/>
        <w:rPr>
          <w:sz w:val="20"/>
          <w:szCs w:val="20"/>
        </w:rPr>
      </w:pPr>
      <w:sdt>
        <w:sdtPr>
          <w:tag w:val="goog_rdk_9"/>
        </w:sdtPr>
        <w:sdtContent>
          <w:commentRangeStart w:id="9"/>
        </w:sdtContent>
      </w:sdt>
      <w:r w:rsidDel="00000000" w:rsidR="00000000" w:rsidRPr="00000000">
        <w:rPr>
          <w:sz w:val="20"/>
          <w:szCs w:val="20"/>
          <w:rtl w:val="0"/>
        </w:rPr>
        <w:t xml:space="preserve">Las multas a las personas o las entidades se han producido, en su mayor parte, entre el lapso de noviembre del 2017 y octubre del 2020, cuando se han acumulado 31 sanciones, de las cuales:</w:t>
      </w:r>
    </w:p>
    <w:p w:rsidR="00000000" w:rsidDel="00000000" w:rsidP="00000000" w:rsidRDefault="00000000" w:rsidRPr="00000000" w14:paraId="0000009E">
      <w:pPr>
        <w:keepNext w:val="1"/>
        <w:numPr>
          <w:ilvl w:val="0"/>
          <w:numId w:val="1"/>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Un 48% han estado relacionadas con los corredores de seguros.</w:t>
      </w:r>
    </w:p>
    <w:p w:rsidR="00000000" w:rsidDel="00000000" w:rsidP="00000000" w:rsidRDefault="00000000" w:rsidRPr="00000000" w14:paraId="0000009F">
      <w:pPr>
        <w:keepNext w:val="1"/>
        <w:numPr>
          <w:ilvl w:val="0"/>
          <w:numId w:val="1"/>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El 16%, comisionistas de bolsa. </w:t>
      </w:r>
    </w:p>
    <w:p w:rsidR="00000000" w:rsidDel="00000000" w:rsidP="00000000" w:rsidRDefault="00000000" w:rsidRPr="00000000" w14:paraId="000000A0">
      <w:pPr>
        <w:keepNext w:val="1"/>
        <w:numPr>
          <w:ilvl w:val="0"/>
          <w:numId w:val="1"/>
        </w:numPr>
        <w:pBdr>
          <w:top w:space="0" w:sz="0" w:val="nil"/>
          <w:left w:space="0" w:sz="0" w:val="nil"/>
          <w:bottom w:space="0" w:sz="0" w:val="nil"/>
          <w:right w:space="0" w:sz="0" w:val="nil"/>
          <w:between w:space="0" w:sz="0" w:val="nil"/>
        </w:pBdr>
        <w:spacing w:after="200" w:line="240" w:lineRule="auto"/>
        <w:ind w:left="720" w:hanging="360"/>
        <w:jc w:val="both"/>
        <w:rPr>
          <w:sz w:val="20"/>
          <w:szCs w:val="20"/>
        </w:rPr>
      </w:pPr>
      <w:r w:rsidDel="00000000" w:rsidR="00000000" w:rsidRPr="00000000">
        <w:rPr>
          <w:sz w:val="20"/>
          <w:szCs w:val="20"/>
          <w:rtl w:val="0"/>
        </w:rPr>
        <w:t xml:space="preserve">El 36%, bancos, compañías de financiamiento, fondos de pensiones, fiduciarias, etc.</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rtl w:val="0"/>
        </w:rPr>
      </w:r>
    </w:p>
    <w:p w:rsidR="00000000" w:rsidDel="00000000" w:rsidP="00000000" w:rsidRDefault="00000000" w:rsidRPr="00000000" w14:paraId="000000A2">
      <w:pPr>
        <w:keepNext w:val="1"/>
        <w:pBdr>
          <w:top w:space="0" w:sz="0" w:val="nil"/>
          <w:left w:space="0" w:sz="0" w:val="nil"/>
          <w:bottom w:space="0" w:sz="0" w:val="nil"/>
          <w:right w:space="0" w:sz="0" w:val="nil"/>
          <w:between w:space="0" w:sz="0" w:val="nil"/>
        </w:pBdr>
        <w:spacing w:after="200" w:line="240" w:lineRule="auto"/>
        <w:jc w:val="both"/>
        <w:rPr>
          <w:sz w:val="20"/>
          <w:szCs w:val="20"/>
        </w:rPr>
      </w:pPr>
      <w:sdt>
        <w:sdtPr>
          <w:tag w:val="goog_rdk_10"/>
        </w:sdtPr>
        <w:sdtContent>
          <w:commentRangeStart w:id="10"/>
        </w:sdtContent>
      </w:sdt>
      <w:r w:rsidDel="00000000" w:rsidR="00000000" w:rsidRPr="00000000">
        <w:rPr>
          <w:sz w:val="20"/>
          <w:szCs w:val="20"/>
          <w:rtl w:val="0"/>
        </w:rPr>
        <w:t xml:space="preserve">La Superfinanciera de Colombia puede imponer las siguientes sanciones: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200" w:line="240" w:lineRule="auto"/>
        <w:rPr>
          <w:sz w:val="20"/>
          <w:szCs w:val="20"/>
        </w:rPr>
      </w:pPr>
      <w:r w:rsidDel="00000000" w:rsidR="00000000" w:rsidRPr="00000000">
        <w:rPr>
          <w:sz w:val="20"/>
          <w:szCs w:val="20"/>
        </w:rPr>
        <mc:AlternateContent>
          <mc:Choice Requires="wpg">
            <w:drawing>
              <wp:inline distB="0" distT="0" distL="0" distR="0">
                <wp:extent cx="3200400" cy="1924050"/>
                <wp:effectExtent b="0" l="0" r="0" t="0"/>
                <wp:docPr id="558" name=""/>
                <a:graphic>
                  <a:graphicData uri="http://schemas.microsoft.com/office/word/2010/wordprocessingGroup">
                    <wpg:wgp>
                      <wpg:cNvGrpSpPr/>
                      <wpg:grpSpPr>
                        <a:xfrm>
                          <a:off x="3745800" y="2817975"/>
                          <a:ext cx="3200400" cy="1924050"/>
                          <a:chOff x="3745800" y="2817975"/>
                          <a:chExt cx="3200400" cy="1924050"/>
                        </a:xfrm>
                      </wpg:grpSpPr>
                      <wpg:grpSp>
                        <wpg:cNvGrpSpPr/>
                        <wpg:grpSpPr>
                          <a:xfrm>
                            <a:off x="3745800" y="2817975"/>
                            <a:ext cx="3200400" cy="1924050"/>
                            <a:chOff x="3745800" y="2817975"/>
                            <a:chExt cx="3200400" cy="1924050"/>
                          </a:xfrm>
                        </wpg:grpSpPr>
                        <wps:wsp>
                          <wps:cNvSpPr/>
                          <wps:cNvPr id="3" name="Shape 3"/>
                          <wps:spPr>
                            <a:xfrm>
                              <a:off x="3745800" y="2817975"/>
                              <a:ext cx="3200400" cy="192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45800" y="2817975"/>
                              <a:ext cx="3200400" cy="1924050"/>
                              <a:chOff x="3138612" y="2817975"/>
                              <a:chExt cx="4414776" cy="1924050"/>
                            </a:xfrm>
                          </wpg:grpSpPr>
                          <wps:wsp>
                            <wps:cNvSpPr/>
                            <wps:cNvPr id="31" name="Shape 31"/>
                            <wps:spPr>
                              <a:xfrm>
                                <a:off x="3138612" y="2817975"/>
                                <a:ext cx="4414775" cy="192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38612" y="2817975"/>
                                <a:ext cx="4414776" cy="1924050"/>
                                <a:chOff x="-2173235" y="-336336"/>
                                <a:chExt cx="6580971" cy="2596723"/>
                              </a:xfrm>
                            </wpg:grpSpPr>
                            <wps:wsp>
                              <wps:cNvSpPr/>
                              <wps:cNvPr id="33" name="Shape 33"/>
                              <wps:spPr>
                                <a:xfrm>
                                  <a:off x="-2173235" y="-336336"/>
                                  <a:ext cx="6580950" cy="259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3235" y="-336336"/>
                                  <a:ext cx="6580971" cy="2596723"/>
                                  <a:chOff x="-2173235" y="-336336"/>
                                  <a:chExt cx="6580971" cy="2596723"/>
                                </a:xfrm>
                              </wpg:grpSpPr>
                              <wps:wsp>
                                <wps:cNvSpPr/>
                                <wps:cNvPr id="35" name="Shape 35"/>
                                <wps:spPr>
                                  <a:xfrm>
                                    <a:off x="-1434061" y="64275"/>
                                    <a:ext cx="4429125" cy="192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173235" y="-336336"/>
                                    <a:ext cx="2596723" cy="2596723"/>
                                  </a:xfrm>
                                  <a:prstGeom prst="blockArc">
                                    <a:avLst>
                                      <a:gd fmla="val 18900000" name="adj1"/>
                                      <a:gd fmla="val 2700000" name="adj2"/>
                                      <a:gd fmla="val 832" name="adj3"/>
                                    </a:avLst>
                                  </a:prstGeom>
                                  <a:noFill/>
                                  <a:ln cap="flat" cmpd="sng" w="1270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22581" y="147920"/>
                                    <a:ext cx="4185155" cy="295995"/>
                                  </a:xfrm>
                                  <a:prstGeom prst="rect">
                                    <a:avLst/>
                                  </a:prstGeom>
                                  <a:solidFill>
                                    <a:srgbClr val="24CED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22581" y="147920"/>
                                    <a:ext cx="4185155" cy="29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AMONESTACIONES</w:t>
                                      </w:r>
                                    </w:p>
                                  </w:txbxContent>
                                </wps:txbx>
                                <wps:bodyPr anchorCtr="0" anchor="ctr" bIns="25400" lIns="234925" spcFirstLastPara="1" rIns="25400" wrap="square" tIns="25400">
                                  <a:noAutofit/>
                                </wps:bodyPr>
                              </wps:wsp>
                              <wps:wsp>
                                <wps:cNvSpPr/>
                                <wps:cNvPr id="39" name="Shape 39"/>
                                <wps:spPr>
                                  <a:xfrm>
                                    <a:off x="37583" y="110921"/>
                                    <a:ext cx="369994" cy="369994"/>
                                  </a:xfrm>
                                  <a:prstGeom prst="ellipse">
                                    <a:avLst/>
                                  </a:prstGeom>
                                  <a:solidFill>
                                    <a:schemeClr val="lt1"/>
                                  </a:solidFill>
                                  <a:ln cap="flat" cmpd="sng" w="12700">
                                    <a:solidFill>
                                      <a:srgbClr val="24CED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392282" y="591991"/>
                                    <a:ext cx="4015454" cy="295995"/>
                                  </a:xfrm>
                                  <a:prstGeom prst="rect">
                                    <a:avLst/>
                                  </a:prstGeom>
                                  <a:solidFill>
                                    <a:srgbClr val="2ECCC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92282" y="591991"/>
                                    <a:ext cx="4015454" cy="29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MULTAS </w:t>
                                      </w:r>
                                    </w:p>
                                  </w:txbxContent>
                                </wps:txbx>
                                <wps:bodyPr anchorCtr="0" anchor="ctr" bIns="25400" lIns="234925" spcFirstLastPara="1" rIns="25400" wrap="square" tIns="25400">
                                  <a:noAutofit/>
                                </wps:bodyPr>
                              </wps:wsp>
                              <wps:wsp>
                                <wps:cNvSpPr/>
                                <wps:cNvPr id="42" name="Shape 42"/>
                                <wps:spPr>
                                  <a:xfrm>
                                    <a:off x="207285" y="554992"/>
                                    <a:ext cx="369994" cy="369994"/>
                                  </a:xfrm>
                                  <a:prstGeom prst="ellipse">
                                    <a:avLst/>
                                  </a:prstGeom>
                                  <a:solidFill>
                                    <a:schemeClr val="lt1"/>
                                  </a:solidFill>
                                  <a:ln cap="flat" cmpd="sng" w="12700">
                                    <a:solidFill>
                                      <a:srgbClr val="2ECCC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92282" y="1036062"/>
                                    <a:ext cx="4015454" cy="295995"/>
                                  </a:xfrm>
                                  <a:prstGeom prst="rect">
                                    <a:avLst/>
                                  </a:prstGeom>
                                  <a:solidFill>
                                    <a:srgbClr val="37C2AA"/>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92282" y="1036062"/>
                                    <a:ext cx="4015454" cy="29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SUSPENSIONES </w:t>
                                      </w:r>
                                    </w:p>
                                  </w:txbxContent>
                                </wps:txbx>
                                <wps:bodyPr anchorCtr="0" anchor="ctr" bIns="25400" lIns="234925" spcFirstLastPara="1" rIns="25400" wrap="square" tIns="25400">
                                  <a:noAutofit/>
                                </wps:bodyPr>
                              </wps:wsp>
                              <wps:wsp>
                                <wps:cNvSpPr/>
                                <wps:cNvPr id="45" name="Shape 45"/>
                                <wps:spPr>
                                  <a:xfrm>
                                    <a:off x="207285" y="999062"/>
                                    <a:ext cx="369994" cy="369994"/>
                                  </a:xfrm>
                                  <a:prstGeom prst="ellipse">
                                    <a:avLst/>
                                  </a:prstGeom>
                                  <a:solidFill>
                                    <a:schemeClr val="lt1"/>
                                  </a:solidFill>
                                  <a:ln cap="flat" cmpd="sng" w="12700">
                                    <a:solidFill>
                                      <a:srgbClr val="37C2AA"/>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22581" y="1480133"/>
                                    <a:ext cx="4185155" cy="295995"/>
                                  </a:xfrm>
                                  <a:prstGeom prst="rect">
                                    <a:avLst/>
                                  </a:prstGeom>
                                  <a:solidFill>
                                    <a:srgbClr val="40B99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22581" y="1480133"/>
                                    <a:ext cx="4185155" cy="2959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REMOCIONES</w:t>
                                      </w:r>
                                    </w:p>
                                  </w:txbxContent>
                                </wps:txbx>
                                <wps:bodyPr anchorCtr="0" anchor="ctr" bIns="25400" lIns="234925" spcFirstLastPara="1" rIns="25400" wrap="square" tIns="25400">
                                  <a:noAutofit/>
                                </wps:bodyPr>
                              </wps:wsp>
                              <wps:wsp>
                                <wps:cNvSpPr/>
                                <wps:cNvPr id="48" name="Shape 48"/>
                                <wps:spPr>
                                  <a:xfrm>
                                    <a:off x="37583" y="1443133"/>
                                    <a:ext cx="369994" cy="369994"/>
                                  </a:xfrm>
                                  <a:prstGeom prst="ellipse">
                                    <a:avLst/>
                                  </a:prstGeom>
                                  <a:solidFill>
                                    <a:schemeClr val="lt1"/>
                                  </a:solidFill>
                                  <a:ln cap="flat" cmpd="sng" w="12700">
                                    <a:solidFill>
                                      <a:srgbClr val="40B99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3200400" cy="1924050"/>
                <wp:effectExtent b="0" l="0" r="0" t="0"/>
                <wp:docPr id="558"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3200400" cy="1924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En el periodo de análisis solo se dieron multas de un valor aproximado de $2.600.000 y un valor promedio de $90.000.000 de pesos colombianos, aunque hubo una multa alta, de $400.000.000, en el año 2018.</w:t>
      </w:r>
    </w:p>
    <w:p w:rsidR="00000000" w:rsidDel="00000000" w:rsidP="00000000" w:rsidRDefault="00000000" w:rsidRPr="00000000" w14:paraId="000000A5">
      <w:pPr>
        <w:keepNext w:val="1"/>
        <w:pBdr>
          <w:top w:space="0" w:sz="0" w:val="nil"/>
          <w:left w:space="0" w:sz="0" w:val="nil"/>
          <w:bottom w:space="0" w:sz="0" w:val="nil"/>
          <w:right w:space="0" w:sz="0" w:val="nil"/>
          <w:between w:space="0" w:sz="0" w:val="nil"/>
        </w:pBdr>
        <w:spacing w:after="200" w:line="240" w:lineRule="auto"/>
        <w:jc w:val="both"/>
        <w:rPr>
          <w:sz w:val="20"/>
          <w:szCs w:val="20"/>
        </w:rPr>
      </w:pPr>
      <w:r w:rsidDel="00000000" w:rsidR="00000000" w:rsidRPr="00000000">
        <w:rPr>
          <w:sz w:val="20"/>
          <w:szCs w:val="20"/>
          <w:rtl w:val="0"/>
        </w:rPr>
        <w:t xml:space="preserve">Estas multas se han presentado por diferentes motivos descritos en la siguiente tabla: </w:t>
      </w:r>
    </w:p>
    <w:p w:rsidR="00000000" w:rsidDel="00000000" w:rsidP="00000000" w:rsidRDefault="00000000" w:rsidRPr="00000000" w14:paraId="000000A6">
      <w:pPr>
        <w:rPr>
          <w:sz w:val="20"/>
          <w:szCs w:val="20"/>
        </w:rPr>
      </w:pPr>
      <w:r w:rsidDel="00000000" w:rsidR="00000000" w:rsidRPr="00000000">
        <w:rPr>
          <w:rtl w:val="0"/>
        </w:rPr>
      </w:r>
    </w:p>
    <w:tbl>
      <w:tblPr>
        <w:tblStyle w:val="Table14"/>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7">
            <w:pPr>
              <w:rPr>
                <w:rFonts w:ascii="Arial" w:cs="Arial" w:eastAsia="Arial" w:hAnsi="Arial"/>
                <w:sz w:val="20"/>
                <w:szCs w:val="20"/>
              </w:rPr>
            </w:pPr>
            <w:r w:rsidDel="00000000" w:rsidR="00000000" w:rsidRPr="00000000">
              <w:rPr>
                <w:rFonts w:ascii="Arial" w:cs="Arial" w:eastAsia="Arial" w:hAnsi="Arial"/>
                <w:sz w:val="20"/>
                <w:szCs w:val="20"/>
                <w:rtl w:val="0"/>
              </w:rPr>
              <w:t xml:space="preserve">Motivos de las multas</w:t>
            </w:r>
          </w:p>
          <w:p w:rsidR="00000000" w:rsidDel="00000000" w:rsidP="00000000" w:rsidRDefault="00000000" w:rsidRPr="00000000" w14:paraId="000000A8">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siguiente anexo, encontrará las razones o motivos de las multas impuestas. </w:t>
            </w:r>
          </w:p>
          <w:p w:rsidR="00000000" w:rsidDel="00000000" w:rsidP="00000000" w:rsidRDefault="00000000" w:rsidRPr="00000000" w14:paraId="000000A9">
            <w:pPr>
              <w:spacing w:after="12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Anexo_5.Multas</w:t>
            </w:r>
          </w:p>
        </w:tc>
      </w:tr>
    </w:tbl>
    <w:p w:rsidR="00000000" w:rsidDel="00000000" w:rsidP="00000000" w:rsidRDefault="00000000" w:rsidRPr="00000000" w14:paraId="000000AA">
      <w:pPr>
        <w:jc w:val="center"/>
        <w:rPr>
          <w:b w:val="1"/>
          <w:sz w:val="20"/>
          <w:szCs w:val="20"/>
        </w:rPr>
      </w:pPr>
      <w:r w:rsidDel="00000000" w:rsidR="00000000" w:rsidRPr="00000000">
        <w:rPr>
          <w:rtl w:val="0"/>
        </w:rPr>
      </w:r>
    </w:p>
    <w:p w:rsidR="00000000" w:rsidDel="00000000" w:rsidP="00000000" w:rsidRDefault="00000000" w:rsidRPr="00000000" w14:paraId="000000AB">
      <w:pPr>
        <w:jc w:val="center"/>
        <w:rPr>
          <w:b w:val="1"/>
          <w:sz w:val="20"/>
          <w:szCs w:val="20"/>
        </w:rPr>
      </w:pPr>
      <w:r w:rsidDel="00000000" w:rsidR="00000000" w:rsidRPr="00000000">
        <w:rPr>
          <w:rtl w:val="0"/>
        </w:rPr>
      </w:r>
    </w:p>
    <w:p w:rsidR="00000000" w:rsidDel="00000000" w:rsidP="00000000" w:rsidRDefault="00000000" w:rsidRPr="00000000" w14:paraId="000000AC">
      <w:pPr>
        <w:rPr>
          <w:b w:val="1"/>
          <w:sz w:val="20"/>
          <w:szCs w:val="20"/>
        </w:rPr>
      </w:pPr>
      <w:r w:rsidDel="00000000" w:rsidR="00000000" w:rsidRPr="00000000">
        <w:rPr>
          <w:b w:val="1"/>
          <w:sz w:val="20"/>
          <w:szCs w:val="20"/>
          <w:rtl w:val="0"/>
        </w:rPr>
        <w:t xml:space="preserve">2. Informe </w:t>
      </w:r>
    </w:p>
    <w:p w:rsidR="00000000" w:rsidDel="00000000" w:rsidP="00000000" w:rsidRDefault="00000000" w:rsidRPr="00000000" w14:paraId="000000AD">
      <w:pPr>
        <w:jc w:val="center"/>
        <w:rPr>
          <w:b w:val="1"/>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En el informe se refleja la gestión y las acciones alcanzadas durante la aplicación del Sistema de Administración de Riesgos de Lavado de Activos y Financiación del Terrorismo – SARLAFT, donde se relacionará las actividades desarrolladas en el cumplimiento del marco normativo, los resultados obtenidos y los reportes presentados a la UIAF. </w:t>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b w:val="1"/>
          <w:sz w:val="20"/>
          <w:szCs w:val="20"/>
        </w:rPr>
      </w:pPr>
      <w:r w:rsidDel="00000000" w:rsidR="00000000" w:rsidRPr="00000000">
        <w:rPr>
          <w:b w:val="1"/>
          <w:sz w:val="20"/>
          <w:szCs w:val="20"/>
          <w:rtl w:val="0"/>
        </w:rPr>
        <w:t xml:space="preserve">2.1. Informe de vinculación </w:t>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jc w:val="both"/>
        <w:rPr>
          <w:sz w:val="20"/>
          <w:szCs w:val="20"/>
        </w:rPr>
      </w:pPr>
      <w:r w:rsidDel="00000000" w:rsidR="00000000" w:rsidRPr="00000000">
        <w:rPr>
          <w:sz w:val="20"/>
          <w:szCs w:val="20"/>
          <w:rtl w:val="0"/>
        </w:rPr>
        <w:t xml:space="preserve">Para poder vincularse al Sistema de Administración de Riesgos de Lavado de Activos y Financiación del Terrorismo, se debe realizar el informe de vinculación, donde se verifica si la entidad ha cumplido con los requisitos y documentación necesarios y si ha diligenciado satisfactoriamente los formularios correspondientes.</w:t>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Se adjunta el informe de vinculación SARLAFT:  </w:t>
      </w:r>
    </w:p>
    <w:p w:rsidR="00000000" w:rsidDel="00000000" w:rsidP="00000000" w:rsidRDefault="00000000" w:rsidRPr="00000000" w14:paraId="000000B5">
      <w:pPr>
        <w:rPr>
          <w:sz w:val="20"/>
          <w:szCs w:val="20"/>
        </w:rPr>
      </w:pPr>
      <w:r w:rsidDel="00000000" w:rsidR="00000000" w:rsidRPr="00000000">
        <w:rPr>
          <w:rtl w:val="0"/>
        </w:rPr>
      </w:r>
    </w:p>
    <w:tbl>
      <w:tblPr>
        <w:tblStyle w:val="Table15"/>
        <w:tblW w:w="9962.0" w:type="dxa"/>
        <w:jc w:val="left"/>
        <w:tblInd w:w="0.0" w:type="dxa"/>
        <w:tblLayout w:type="fixed"/>
        <w:tblLook w:val="040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6">
            <w:pPr>
              <w:rPr>
                <w:rFonts w:ascii="Arial" w:cs="Arial" w:eastAsia="Arial" w:hAnsi="Arial"/>
                <w:sz w:val="20"/>
                <w:szCs w:val="20"/>
              </w:rPr>
            </w:pPr>
            <w:bookmarkStart w:colFirst="0" w:colLast="0" w:name="_heading=h.30j0zll" w:id="0"/>
            <w:bookmarkEnd w:id="0"/>
            <w:r w:rsidDel="00000000" w:rsidR="00000000" w:rsidRPr="00000000">
              <w:rPr>
                <w:rFonts w:ascii="Arial" w:cs="Arial" w:eastAsia="Arial" w:hAnsi="Arial"/>
                <w:sz w:val="20"/>
                <w:szCs w:val="20"/>
                <w:rtl w:val="0"/>
              </w:rPr>
              <w:t xml:space="preserve">Informe de vinculación</w:t>
            </w:r>
          </w:p>
          <w:p w:rsidR="00000000" w:rsidDel="00000000" w:rsidP="00000000" w:rsidRDefault="00000000" w:rsidRPr="00000000" w14:paraId="000000B7">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siguiente anexo, se presenta un informe para verificar ciertas condiciones de vinculación de un cliente.</w:t>
            </w:r>
          </w:p>
          <w:p w:rsidR="00000000" w:rsidDel="00000000" w:rsidP="00000000" w:rsidRDefault="00000000" w:rsidRPr="00000000" w14:paraId="000000B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Anexo_6.Informe_de_vinculacion</w:t>
            </w:r>
          </w:p>
        </w:tc>
      </w:tr>
    </w:tbl>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240" w:lineRule="auto"/>
        <w:rPr>
          <w:i w:val="1"/>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b w:val="1"/>
          <w:sz w:val="20"/>
          <w:szCs w:val="20"/>
        </w:rPr>
      </w:pPr>
      <w:r w:rsidDel="00000000" w:rsidR="00000000" w:rsidRPr="00000000">
        <w:rPr>
          <w:b w:val="1"/>
          <w:sz w:val="20"/>
          <w:szCs w:val="20"/>
          <w:rtl w:val="0"/>
        </w:rPr>
        <w:t xml:space="preserve">2.2. Unidad de Información y Análisis Financiero – UIAF</w:t>
      </w:r>
    </w:p>
    <w:p w:rsidR="00000000" w:rsidDel="00000000" w:rsidP="00000000" w:rsidRDefault="00000000" w:rsidRPr="00000000" w14:paraId="000000BC">
      <w:pPr>
        <w:ind w:left="283" w:firstLine="0"/>
        <w:rPr>
          <w:sz w:val="20"/>
          <w:szCs w:val="20"/>
        </w:rPr>
      </w:pPr>
      <w:r w:rsidDel="00000000" w:rsidR="00000000" w:rsidRPr="00000000">
        <w:rPr>
          <w:rtl w:val="0"/>
        </w:rPr>
      </w:r>
    </w:p>
    <w:tbl>
      <w:tblPr>
        <w:tblStyle w:val="Table1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BD">
            <w:pPr>
              <w:ind w:left="283" w:firstLine="0"/>
              <w:jc w:val="center"/>
              <w:rPr>
                <w:color w:val="ffffff"/>
                <w:sz w:val="20"/>
                <w:szCs w:val="20"/>
              </w:rPr>
            </w:pPr>
            <w:r w:rsidDel="00000000" w:rsidR="00000000" w:rsidRPr="00000000">
              <w:rPr>
                <w:rtl w:val="0"/>
              </w:rPr>
            </w:r>
          </w:p>
          <w:p w:rsidR="00000000" w:rsidDel="00000000" w:rsidP="00000000" w:rsidRDefault="00000000" w:rsidRPr="00000000" w14:paraId="000000BE">
            <w:pPr>
              <w:ind w:left="283" w:firstLine="0"/>
              <w:jc w:val="center"/>
              <w:rPr>
                <w:color w:val="ffffff"/>
                <w:sz w:val="20"/>
                <w:szCs w:val="20"/>
              </w:rPr>
            </w:pPr>
            <w:r w:rsidDel="00000000" w:rsidR="00000000" w:rsidRPr="00000000">
              <w:rPr>
                <w:color w:val="ffffff"/>
                <w:sz w:val="20"/>
                <w:szCs w:val="20"/>
                <w:rtl w:val="0"/>
              </w:rPr>
              <w:t xml:space="preserve">Slider tipo 1</w:t>
            </w:r>
          </w:p>
          <w:p w:rsidR="00000000" w:rsidDel="00000000" w:rsidP="00000000" w:rsidRDefault="00000000" w:rsidRPr="00000000" w14:paraId="000000BF">
            <w:pPr>
              <w:jc w:val="center"/>
              <w:rPr>
                <w:color w:val="ffffff"/>
                <w:sz w:val="20"/>
                <w:szCs w:val="20"/>
              </w:rPr>
            </w:pPr>
            <w:sdt>
              <w:sdtPr>
                <w:tag w:val="goog_rdk_11"/>
              </w:sdtPr>
              <w:sdtContent>
                <w:commentRangeStart w:id="11"/>
              </w:sdtContent>
            </w:sdt>
            <w:r w:rsidDel="00000000" w:rsidR="00000000" w:rsidRPr="00000000">
              <w:rPr>
                <w:color w:val="ffffff"/>
                <w:sz w:val="20"/>
                <w:szCs w:val="20"/>
                <w:rtl w:val="0"/>
              </w:rPr>
              <w:t xml:space="preserve">CF03_2_2_UIAF</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jc w:val="center"/>
        <w:rPr>
          <w:b w:val="1"/>
          <w:sz w:val="20"/>
          <w:szCs w:val="20"/>
        </w:rPr>
      </w:pPr>
      <w:r w:rsidDel="00000000" w:rsidR="00000000" w:rsidRPr="00000000">
        <w:rPr>
          <w:rtl w:val="0"/>
        </w:rPr>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tbl>
      <w:tblPr>
        <w:tblStyle w:val="Table17"/>
        <w:tblW w:w="9962.0" w:type="dxa"/>
        <w:jc w:val="left"/>
        <w:tblInd w:w="0.0" w:type="dxa"/>
        <w:tblLayout w:type="fixed"/>
        <w:tblLook w:val="0400"/>
      </w:tblPr>
      <w:tblGrid>
        <w:gridCol w:w="9962"/>
        <w:tblGridChange w:id="0">
          <w:tblGrid>
            <w:gridCol w:w="9962"/>
          </w:tblGrid>
        </w:tblGridChange>
      </w:tblGrid>
      <w:tr>
        <w:trPr>
          <w:cantSplit w:val="0"/>
          <w:trHeight w:val="15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3">
            <w:pPr>
              <w:spacing w:after="12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¿Qué es y qué hace la </w:t>
            </w:r>
            <w:sdt>
              <w:sdtPr>
                <w:tag w:val="goog_rdk_12"/>
              </w:sdtPr>
              <w:sdtContent>
                <w:commentRangeStart w:id="12"/>
              </w:sdtContent>
            </w:sdt>
            <w:r w:rsidDel="00000000" w:rsidR="00000000" w:rsidRPr="00000000">
              <w:rPr>
                <w:rFonts w:ascii="Arial" w:cs="Arial" w:eastAsia="Arial" w:hAnsi="Arial"/>
                <w:sz w:val="20"/>
                <w:szCs w:val="20"/>
                <w:rtl w:val="0"/>
              </w:rPr>
              <w:t xml:space="preserve">UIAF</w:t>
            </w:r>
            <w:commentRangeEnd w:id="12"/>
            <w:r w:rsidDel="00000000" w:rsidR="00000000" w:rsidRPr="00000000">
              <w:commentReference w:id="12"/>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C5">
            <w:pPr>
              <w:spacing w:after="12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el presente video, se explicará el concepto de la Unidad de Información y Análisis Financiero.</w:t>
            </w:r>
          </w:p>
          <w:p w:rsidR="00000000" w:rsidDel="00000000" w:rsidP="00000000" w:rsidRDefault="00000000" w:rsidRPr="00000000" w14:paraId="000000C6">
            <w:pPr>
              <w:spacing w:after="12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7">
      <w:pPr>
        <w:rPr>
          <w:b w:val="1"/>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Actividades de la UIAF</w:t>
      </w:r>
    </w:p>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La Unidad de Información y Análisis Financiero tiene una serie de actividades de ejecución dentro del sistema, que son las siguientes: </w:t>
      </w:r>
    </w:p>
    <w:p w:rsidR="00000000" w:rsidDel="00000000" w:rsidP="00000000" w:rsidRDefault="00000000" w:rsidRPr="00000000" w14:paraId="000000CB">
      <w:pPr>
        <w:rPr>
          <w:b w:val="1"/>
          <w:sz w:val="20"/>
          <w:szCs w:val="20"/>
        </w:rPr>
      </w:pPr>
      <w:r w:rsidDel="00000000" w:rsidR="00000000" w:rsidRPr="00000000">
        <w:rPr>
          <w:rtl w:val="0"/>
        </w:rPr>
      </w:r>
    </w:p>
    <w:p w:rsidR="00000000" w:rsidDel="00000000" w:rsidP="00000000" w:rsidRDefault="00000000" w:rsidRPr="00000000" w14:paraId="000000CC">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CD">
      <w:pPr>
        <w:rPr>
          <w:i w:val="1"/>
          <w:sz w:val="20"/>
          <w:szCs w:val="20"/>
        </w:rPr>
      </w:pPr>
      <w:r w:rsidDel="00000000" w:rsidR="00000000" w:rsidRPr="00000000">
        <w:rPr>
          <w:i w:val="1"/>
          <w:sz w:val="20"/>
          <w:szCs w:val="20"/>
          <w:rtl w:val="0"/>
        </w:rPr>
        <w:t xml:space="preserve">Actividades de la UIAF</w:t>
      </w:r>
    </w:p>
    <w:p w:rsidR="00000000" w:rsidDel="00000000" w:rsidP="00000000" w:rsidRDefault="00000000" w:rsidRPr="00000000" w14:paraId="000000CE">
      <w:pPr>
        <w:rPr>
          <w:i w:val="1"/>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sz w:val="20"/>
          <w:szCs w:val="20"/>
        </w:rPr>
        <mc:AlternateContent>
          <mc:Choice Requires="wpg">
            <w:drawing>
              <wp:inline distB="0" distT="0" distL="0" distR="0">
                <wp:extent cx="5486400" cy="3208310"/>
                <wp:effectExtent b="0" l="0" r="0" t="0"/>
                <wp:docPr id="557" name=""/>
                <a:graphic>
                  <a:graphicData uri="http://schemas.microsoft.com/office/word/2010/wordprocessingGroup">
                    <wpg:wgp>
                      <wpg:cNvGrpSpPr/>
                      <wpg:grpSpPr>
                        <a:xfrm>
                          <a:off x="2602800" y="2179800"/>
                          <a:ext cx="5486400" cy="320831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34129"/>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74320" y="1289"/>
                                  <a:ext cx="3840480" cy="265680"/>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87289" y="14258"/>
                                  <a:ext cx="3814542" cy="2397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Atender</w:t>
                                    </w:r>
                                    <w:r w:rsidDel="00000000" w:rsidR="00000000" w:rsidRPr="00000000">
                                      <w:rPr>
                                        <w:rFonts w:ascii="Arial" w:cs="Arial" w:eastAsia="Arial" w:hAnsi="Arial"/>
                                        <w:b w:val="0"/>
                                        <w:i w:val="0"/>
                                        <w:smallCaps w:val="0"/>
                                        <w:strike w:val="0"/>
                                        <w:color w:val="000000"/>
                                        <w:sz w:val="20"/>
                                        <w:vertAlign w:val="baseline"/>
                                      </w:rPr>
                                      <w:t xml:space="preserve"> los requerimientos de autoridades nacionales y otras unidades de inteligencia financiera en otros paises.</w:t>
                                    </w:r>
                                  </w:p>
                                </w:txbxContent>
                              </wps:txbx>
                              <wps:bodyPr anchorCtr="0" anchor="ctr" bIns="0" lIns="145150" spcFirstLastPara="1" rIns="145150" wrap="square" tIns="0">
                                <a:noAutofit/>
                              </wps:bodyPr>
                            </wps:wsp>
                            <wps:wsp>
                              <wps:cNvSpPr/>
                              <wps:cNvPr id="11" name="Shape 11"/>
                              <wps:spPr>
                                <a:xfrm>
                                  <a:off x="0" y="542369"/>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74320" y="409529"/>
                                  <a:ext cx="3840480" cy="265680"/>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7289" y="422498"/>
                                  <a:ext cx="3814542" cy="2397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Realizar informes de inteligencia financiera con destino a la Fiscalia General de la Nación.</w:t>
                                    </w:r>
                                  </w:p>
                                </w:txbxContent>
                              </wps:txbx>
                              <wps:bodyPr anchorCtr="0" anchor="ctr" bIns="0" lIns="145150" spcFirstLastPara="1" rIns="145150" wrap="square" tIns="0">
                                <a:noAutofit/>
                              </wps:bodyPr>
                            </wps:wsp>
                            <wps:wsp>
                              <wps:cNvSpPr/>
                              <wps:cNvPr id="14" name="Shape 14"/>
                              <wps:spPr>
                                <a:xfrm>
                                  <a:off x="0" y="950609"/>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74320" y="817769"/>
                                  <a:ext cx="3840480" cy="265680"/>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87289" y="830738"/>
                                  <a:ext cx="3814542" cy="2397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Realizar estudios de tipologías y de nuevos sectores afectados o susceptibles de ser utilizados por el LA/FT.</w:t>
                                    </w:r>
                                  </w:p>
                                </w:txbxContent>
                              </wps:txbx>
                              <wps:bodyPr anchorCtr="0" anchor="ctr" bIns="0" lIns="145150" spcFirstLastPara="1" rIns="145150" wrap="square" tIns="0">
                                <a:noAutofit/>
                              </wps:bodyPr>
                            </wps:wsp>
                            <wps:wsp>
                              <wps:cNvSpPr/>
                              <wps:cNvPr id="17" name="Shape 17"/>
                              <wps:spPr>
                                <a:xfrm>
                                  <a:off x="0" y="1358849"/>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74320" y="1226009"/>
                                  <a:ext cx="3840480" cy="265680"/>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87289" y="1238978"/>
                                  <a:ext cx="3814542" cy="2397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Contribuir mediante iniciativas legislativas a controlar el LA/FT en el ordenamiento jurídico colombiano.</w:t>
                                    </w:r>
                                  </w:p>
                                </w:txbxContent>
                              </wps:txbx>
                              <wps:bodyPr anchorCtr="0" anchor="ctr" bIns="0" lIns="145150" spcFirstLastPara="1" rIns="145150" wrap="square" tIns="0">
                                <a:noAutofit/>
                              </wps:bodyPr>
                            </wps:wsp>
                            <wps:wsp>
                              <wps:cNvSpPr/>
                              <wps:cNvPr id="20" name="Shape 20"/>
                              <wps:spPr>
                                <a:xfrm>
                                  <a:off x="0" y="1767089"/>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4320" y="1634249"/>
                                  <a:ext cx="3840480" cy="265680"/>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87289" y="1647218"/>
                                  <a:ext cx="3814542" cy="23974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Participar en la formulación de políticas para la prevencion de LA/FT.</w:t>
                                    </w:r>
                                  </w:p>
                                </w:txbxContent>
                              </wps:txbx>
                              <wps:bodyPr anchorCtr="0" anchor="ctr" bIns="0" lIns="145150" spcFirstLastPara="1" rIns="145150" wrap="square" tIns="0">
                                <a:noAutofit/>
                              </wps:bodyPr>
                            </wps:wsp>
                            <wps:wsp>
                              <wps:cNvSpPr/>
                              <wps:cNvPr id="23" name="Shape 23"/>
                              <wps:spPr>
                                <a:xfrm>
                                  <a:off x="0" y="2359472"/>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74052" y="2042489"/>
                                  <a:ext cx="3836729" cy="449822"/>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96011" y="2064448"/>
                                  <a:ext cx="3792811" cy="40590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Rendir informes solicitados por los ministerios de Hacienda y Crédito Público, del Interior, y de Justicia, en relación con el control de LA/FT.</w:t>
                                    </w:r>
                                  </w:p>
                                </w:txbxContent>
                              </wps:txbx>
                              <wps:bodyPr anchorCtr="0" anchor="ctr" bIns="0" lIns="145150" spcFirstLastPara="1" rIns="145150" wrap="square" tIns="0">
                                <a:noAutofit/>
                              </wps:bodyPr>
                            </wps:wsp>
                            <wps:wsp>
                              <wps:cNvSpPr/>
                              <wps:cNvPr id="26" name="Shape 26"/>
                              <wps:spPr>
                                <a:xfrm>
                                  <a:off x="0" y="2972310"/>
                                  <a:ext cx="5486400" cy="226800"/>
                                </a:xfrm>
                                <a:prstGeom prst="rect">
                                  <a:avLst/>
                                </a:prstGeom>
                                <a:solidFill>
                                  <a:schemeClr val="lt1">
                                    <a:alpha val="89019"/>
                                  </a:schemeClr>
                                </a:solidFill>
                                <a:ln cap="flat" cmpd="sng" w="9525">
                                  <a:solidFill>
                                    <a:srgbClr val="19ACE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74052" y="2634872"/>
                                  <a:ext cx="3836729" cy="470277"/>
                                </a:xfrm>
                                <a:prstGeom prst="roundRect">
                                  <a:avLst>
                                    <a:gd fmla="val 16667" name="adj"/>
                                  </a:avLst>
                                </a:prstGeom>
                                <a:gradFill>
                                  <a:gsLst>
                                    <a:gs pos="0">
                                      <a:srgbClr val="49B5EA"/>
                                    </a:gs>
                                    <a:gs pos="50000">
                                      <a:srgbClr val="0DB0EE"/>
                                    </a:gs>
                                    <a:gs pos="100000">
                                      <a:srgbClr val="029FDA"/>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97009" y="2657829"/>
                                  <a:ext cx="3790815" cy="42436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Trabajar coordinadamente con las autoridades nacionales y extranjeras para fortalecer el sistema de prevención y detección de actos ilícitos.</w:t>
                                    </w:r>
                                  </w:p>
                                </w:txbxContent>
                              </wps:txbx>
                              <wps:bodyPr anchorCtr="0" anchor="ctr" bIns="0" lIns="145150" spcFirstLastPara="1" rIns="145150" wrap="square" tIns="0">
                                <a:noAutofit/>
                              </wps:bodyPr>
                            </wps:wsp>
                          </wpg:grpSp>
                        </wpg:grpSp>
                      </wpg:grpSp>
                    </wpg:wgp>
                  </a:graphicData>
                </a:graphic>
              </wp:inline>
            </w:drawing>
          </mc:Choice>
          <mc:Fallback>
            <w:drawing>
              <wp:inline distB="0" distT="0" distL="0" distR="0">
                <wp:extent cx="5486400" cy="3208310"/>
                <wp:effectExtent b="0" l="0" r="0" t="0"/>
                <wp:docPr id="557"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5486400" cy="3208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Objetivos de la UIAF</w:t>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sz w:val="20"/>
          <w:szCs w:val="20"/>
          <w:rtl w:val="0"/>
        </w:rPr>
        <w:t xml:space="preserve">La Unidad de Información y Análisis Financiero posee unos objetivos específicos, que tienen como finalidad ser líderes en el sistema que combate los delitos de LA/FT, procurando la integración de todas las entidades pertenecientes. Dichos objetivos son los siguientes: </w:t>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b w:val="1"/>
          <w:sz w:val="20"/>
          <w:szCs w:val="20"/>
        </w:rPr>
      </w:pPr>
      <w:r w:rsidDel="00000000" w:rsidR="00000000" w:rsidRPr="00000000">
        <w:rPr>
          <w:b w:val="1"/>
          <w:sz w:val="20"/>
          <w:szCs w:val="20"/>
          <w:rtl w:val="0"/>
        </w:rPr>
        <w:t xml:space="preserve">Figura 2 </w:t>
      </w:r>
    </w:p>
    <w:p w:rsidR="00000000" w:rsidDel="00000000" w:rsidP="00000000" w:rsidRDefault="00000000" w:rsidRPr="00000000" w14:paraId="000000D6">
      <w:pPr>
        <w:jc w:val="both"/>
        <w:rPr>
          <w:i w:val="1"/>
          <w:sz w:val="20"/>
          <w:szCs w:val="20"/>
        </w:rPr>
      </w:pPr>
      <w:r w:rsidDel="00000000" w:rsidR="00000000" w:rsidRPr="00000000">
        <w:rPr>
          <w:i w:val="1"/>
          <w:sz w:val="20"/>
          <w:szCs w:val="20"/>
          <w:rtl w:val="0"/>
        </w:rPr>
        <w:t xml:space="preserve">Objetivos de la UIAF</w:t>
      </w:r>
    </w:p>
    <w:p w:rsidR="00000000" w:rsidDel="00000000" w:rsidP="00000000" w:rsidRDefault="00000000" w:rsidRPr="00000000" w14:paraId="000000D7">
      <w:pPr>
        <w:keepNext w:val="1"/>
        <w:jc w:val="center"/>
        <w:rPr>
          <w:sz w:val="20"/>
          <w:szCs w:val="20"/>
        </w:rPr>
      </w:pPr>
      <w:r w:rsidDel="00000000" w:rsidR="00000000" w:rsidRPr="00000000">
        <w:rPr>
          <w:b w:val="1"/>
          <w:sz w:val="20"/>
          <w:szCs w:val="20"/>
        </w:rPr>
        <mc:AlternateContent>
          <mc:Choice Requires="wpg">
            <w:drawing>
              <wp:inline distB="0" distT="0" distL="0" distR="0">
                <wp:extent cx="5572125" cy="3667125"/>
                <wp:effectExtent b="0" l="0" r="0" t="0"/>
                <wp:docPr id="559" name=""/>
                <a:graphic>
                  <a:graphicData uri="http://schemas.microsoft.com/office/word/2010/wordprocessingGroup">
                    <wpg:wgp>
                      <wpg:cNvGrpSpPr/>
                      <wpg:grpSpPr>
                        <a:xfrm>
                          <a:off x="2559938" y="1946438"/>
                          <a:ext cx="5572125" cy="3667125"/>
                          <a:chOff x="2559938" y="1946438"/>
                          <a:chExt cx="5572125" cy="3667125"/>
                        </a:xfrm>
                      </wpg:grpSpPr>
                      <wpg:grpSp>
                        <wpg:cNvGrpSpPr/>
                        <wpg:grpSpPr>
                          <a:xfrm>
                            <a:off x="2559938" y="1946438"/>
                            <a:ext cx="5572125" cy="3667125"/>
                            <a:chOff x="2559938" y="1946438"/>
                            <a:chExt cx="5572125" cy="3667125"/>
                          </a:xfrm>
                        </wpg:grpSpPr>
                        <wps:wsp>
                          <wps:cNvSpPr/>
                          <wps:cNvPr id="3" name="Shape 3"/>
                          <wps:spPr>
                            <a:xfrm>
                              <a:off x="2559938" y="1946438"/>
                              <a:ext cx="5572125" cy="366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9938" y="1946438"/>
                              <a:ext cx="5572125" cy="3667125"/>
                              <a:chOff x="2559938" y="1946438"/>
                              <a:chExt cx="5572125" cy="3667125"/>
                            </a:xfrm>
                          </wpg:grpSpPr>
                          <wps:wsp>
                            <wps:cNvSpPr/>
                            <wps:cNvPr id="51" name="Shape 51"/>
                            <wps:spPr>
                              <a:xfrm>
                                <a:off x="2559938" y="1946438"/>
                                <a:ext cx="5572125" cy="3667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59938" y="1946438"/>
                                <a:ext cx="5572125" cy="3667125"/>
                                <a:chOff x="0" y="0"/>
                                <a:chExt cx="5438775" cy="3657600"/>
                              </a:xfrm>
                            </wpg:grpSpPr>
                            <wps:wsp>
                              <wps:cNvSpPr/>
                              <wps:cNvPr id="53" name="Shape 53"/>
                              <wps:spPr>
                                <a:xfrm>
                                  <a:off x="0" y="0"/>
                                  <a:ext cx="5438775" cy="36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38775" cy="3657600"/>
                                  <a:chOff x="0" y="0"/>
                                  <a:chExt cx="5438775" cy="3657600"/>
                                </a:xfrm>
                              </wpg:grpSpPr>
                              <wps:wsp>
                                <wps:cNvSpPr/>
                                <wps:cNvPr id="55" name="Shape 55"/>
                                <wps:spPr>
                                  <a:xfrm>
                                    <a:off x="0" y="0"/>
                                    <a:ext cx="5438775" cy="365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0" y="580082"/>
                                    <a:ext cx="5438774" cy="176400"/>
                                  </a:xfrm>
                                  <a:prstGeom prst="rect">
                                    <a:avLst/>
                                  </a:prstGeom>
                                  <a:solidFill>
                                    <a:schemeClr val="lt1">
                                      <a:alpha val="88627"/>
                                    </a:schemeClr>
                                  </a:solidFill>
                                  <a:ln cap="flat" cmpd="sng" w="12700">
                                    <a:solidFill>
                                      <a:srgbClr val="2383C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71673" y="22981"/>
                                    <a:ext cx="4340620" cy="660421"/>
                                  </a:xfrm>
                                  <a:prstGeom prst="roundRect">
                                    <a:avLst>
                                      <a:gd fmla="val 16667" name="adj"/>
                                    </a:avLst>
                                  </a:prstGeom>
                                  <a:solidFill>
                                    <a:srgbClr val="2383C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03912" y="55220"/>
                                    <a:ext cx="4276142" cy="5959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1. Fortalecer las tecnologías de la información: implementar tecnologías que propicien información oportuna y le permitan a la unidad poder desarrollar sus objetivos misionales con mayor efectividad. </w:t>
                                      </w:r>
                                    </w:p>
                                  </w:txbxContent>
                                </wps:txbx>
                                <wps:bodyPr anchorCtr="0" anchor="ctr" bIns="0" lIns="143900" spcFirstLastPara="1" rIns="143900" wrap="square" tIns="0">
                                  <a:noAutofit/>
                                </wps:bodyPr>
                              </wps:wsp>
                              <wps:wsp>
                                <wps:cNvSpPr/>
                                <wps:cNvPr id="59" name="Shape 59"/>
                                <wps:spPr>
                                  <a:xfrm>
                                    <a:off x="0" y="1288945"/>
                                    <a:ext cx="5438774" cy="176400"/>
                                  </a:xfrm>
                                  <a:prstGeom prst="rect">
                                    <a:avLst/>
                                  </a:prstGeom>
                                  <a:solidFill>
                                    <a:schemeClr val="lt1">
                                      <a:alpha val="88627"/>
                                    </a:schemeClr>
                                  </a:solidFill>
                                  <a:ln cap="flat" cmpd="sng" w="12700">
                                    <a:solidFill>
                                      <a:srgbClr val="2493C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71673" y="794282"/>
                                    <a:ext cx="4293952" cy="597983"/>
                                  </a:xfrm>
                                  <a:prstGeom prst="roundRect">
                                    <a:avLst>
                                      <a:gd fmla="val 16667" name="adj"/>
                                    </a:avLst>
                                  </a:prstGeom>
                                  <a:solidFill>
                                    <a:srgbClr val="2493C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00864" y="823473"/>
                                    <a:ext cx="4235570" cy="5396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2. Fortalecer la inteligencia económica y financiera: busca fortalecer la inteligencia económica y financiera del país centralizando y sistematizando información que permita la lucha integral contra las finanzas criminales a través de LA/FT.</w:t>
                                      </w:r>
                                    </w:p>
                                  </w:txbxContent>
                                </wps:txbx>
                                <wps:bodyPr anchorCtr="0" anchor="ctr" bIns="0" lIns="143900" spcFirstLastPara="1" rIns="143900" wrap="square" tIns="0">
                                  <a:noAutofit/>
                                </wps:bodyPr>
                              </wps:wsp>
                              <wps:wsp>
                                <wps:cNvSpPr/>
                                <wps:cNvPr id="62" name="Shape 62"/>
                                <wps:spPr>
                                  <a:xfrm>
                                    <a:off x="0" y="1986600"/>
                                    <a:ext cx="5438774" cy="176400"/>
                                  </a:xfrm>
                                  <a:prstGeom prst="rect">
                                    <a:avLst/>
                                  </a:prstGeom>
                                  <a:solidFill>
                                    <a:schemeClr val="lt1">
                                      <a:alpha val="88627"/>
                                    </a:schemeClr>
                                  </a:solidFill>
                                  <a:ln cap="flat" cmpd="sng" w="12700">
                                    <a:solidFill>
                                      <a:srgbClr val="25A6C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71673" y="1503145"/>
                                    <a:ext cx="4275087" cy="586774"/>
                                  </a:xfrm>
                                  <a:prstGeom prst="roundRect">
                                    <a:avLst>
                                      <a:gd fmla="val 16667" name="adj"/>
                                    </a:avLst>
                                  </a:prstGeom>
                                  <a:solidFill>
                                    <a:srgbClr val="25A6CD"/>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00317" y="1531789"/>
                                    <a:ext cx="4217799" cy="52948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3. Fortalecer la inteligencia estratégica: La ley 1621 de 2013 ratificó a la UIAF como un organismo de inteligencia y le otorgó responsabilidad en el mantenimiento de la seguridad y estabilidad económica nacional.</w:t>
                                      </w:r>
                                    </w:p>
                                  </w:txbxContent>
                                </wps:txbx>
                                <wps:bodyPr anchorCtr="0" anchor="ctr" bIns="0" lIns="143900" spcFirstLastPara="1" rIns="143900" wrap="square" tIns="0">
                                  <a:noAutofit/>
                                </wps:bodyPr>
                              </wps:wsp>
                              <wps:wsp>
                                <wps:cNvSpPr/>
                                <wps:cNvPr id="65" name="Shape 65"/>
                                <wps:spPr>
                                  <a:xfrm>
                                    <a:off x="0" y="2711319"/>
                                    <a:ext cx="5438774" cy="176400"/>
                                  </a:xfrm>
                                  <a:prstGeom prst="rect">
                                    <a:avLst/>
                                  </a:prstGeom>
                                  <a:solidFill>
                                    <a:schemeClr val="lt1">
                                      <a:alpha val="88627"/>
                                    </a:schemeClr>
                                  </a:solidFill>
                                  <a:ln cap="flat" cmpd="sng" w="12700">
                                    <a:solidFill>
                                      <a:srgbClr val="25B9D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71673" y="2200800"/>
                                    <a:ext cx="4275087" cy="613838"/>
                                  </a:xfrm>
                                  <a:prstGeom prst="roundRect">
                                    <a:avLst>
                                      <a:gd fmla="val 16667" name="adj"/>
                                    </a:avLst>
                                  </a:prstGeom>
                                  <a:solidFill>
                                    <a:srgbClr val="25B9D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01638" y="2230765"/>
                                    <a:ext cx="4215157" cy="55390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4. Aumentar el nivel de satisfacción de los grupos de interés: Fortalecer la cultura institucional, caracterizada por su calidad técnica y el estricto cumplimiento de la ley, en ejercicio con sus funciones y por la no tolerancia frente a la corrupción.</w:t>
                                      </w:r>
                                    </w:p>
                                  </w:txbxContent>
                                </wps:txbx>
                                <wps:bodyPr anchorCtr="0" anchor="ctr" bIns="0" lIns="143900" spcFirstLastPara="1" rIns="143900" wrap="square" tIns="0">
                                  <a:noAutofit/>
                                </wps:bodyPr>
                              </wps:wsp>
                              <wps:wsp>
                                <wps:cNvSpPr/>
                                <wps:cNvPr id="68" name="Shape 68"/>
                                <wps:spPr>
                                  <a:xfrm>
                                    <a:off x="0" y="3458218"/>
                                    <a:ext cx="5438774" cy="176400"/>
                                  </a:xfrm>
                                  <a:prstGeom prst="rect">
                                    <a:avLst/>
                                  </a:prstGeom>
                                  <a:solidFill>
                                    <a:schemeClr val="lt1">
                                      <a:alpha val="88627"/>
                                    </a:schemeClr>
                                  </a:solidFill>
                                  <a:ln cap="flat" cmpd="sng" w="12700">
                                    <a:solidFill>
                                      <a:srgbClr val="25CCD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71673" y="2925519"/>
                                    <a:ext cx="4275087" cy="636019"/>
                                  </a:xfrm>
                                  <a:prstGeom prst="roundRect">
                                    <a:avLst>
                                      <a:gd fmla="val 16667" name="adj"/>
                                    </a:avLst>
                                  </a:prstGeom>
                                  <a:solidFill>
                                    <a:srgbClr val="25CCD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02721" y="2956567"/>
                                    <a:ext cx="4212991" cy="5739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5. Mejorar continuamente la eficacia y eficiencia de los procesos y efectividad del Sistema de Gestión de Calidad: Se constituye en fuente de actividades que permiten a la UIAF mantener su gestión en niveles destacados.</w:t>
                                      </w:r>
                                    </w:p>
                                  </w:txbxContent>
                                </wps:txbx>
                                <wps:bodyPr anchorCtr="0" anchor="ctr" bIns="0" lIns="143900" spcFirstLastPara="1" rIns="143900" wrap="square" tIns="0">
                                  <a:noAutofit/>
                                </wps:bodyPr>
                              </wps:wsp>
                            </wpg:grpSp>
                          </wpg:grpSp>
                        </wpg:grpSp>
                      </wpg:grpSp>
                    </wpg:wgp>
                  </a:graphicData>
                </a:graphic>
              </wp:inline>
            </w:drawing>
          </mc:Choice>
          <mc:Fallback>
            <w:drawing>
              <wp:inline distB="0" distT="0" distL="0" distR="0">
                <wp:extent cx="5572125" cy="3667125"/>
                <wp:effectExtent b="0" l="0" r="0" t="0"/>
                <wp:docPr id="559"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5572125" cy="3667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200" w:line="240" w:lineRule="auto"/>
        <w:jc w:val="center"/>
        <w:rPr>
          <w:i w:val="1"/>
          <w:sz w:val="20"/>
          <w:szCs w:val="20"/>
        </w:rPr>
      </w:pPr>
      <w:r w:rsidDel="00000000" w:rsidR="00000000" w:rsidRPr="00000000">
        <w:rPr>
          <w:i w:val="1"/>
          <w:sz w:val="20"/>
          <w:szCs w:val="20"/>
          <w:rtl w:val="0"/>
        </w:rPr>
        <w:t xml:space="preserve">Fuente - </w:t>
      </w:r>
      <w:hyperlink r:id="rId15">
        <w:r w:rsidDel="00000000" w:rsidR="00000000" w:rsidRPr="00000000">
          <w:rPr>
            <w:i w:val="1"/>
            <w:color w:val="1155cc"/>
            <w:sz w:val="20"/>
            <w:szCs w:val="20"/>
            <w:u w:val="single"/>
            <w:rtl w:val="0"/>
          </w:rPr>
          <w:t xml:space="preserve">https://www.uiaf.gov.co/nuestra_entidad/objetivos</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240" w:lineRule="auto"/>
        <w:jc w:val="center"/>
        <w:rPr>
          <w:i w:val="1"/>
          <w:sz w:val="20"/>
          <w:szCs w:val="20"/>
        </w:rPr>
      </w:pPr>
      <w:r w:rsidDel="00000000" w:rsidR="00000000" w:rsidRPr="00000000">
        <w:rPr>
          <w:rtl w:val="0"/>
        </w:rPr>
      </w:r>
    </w:p>
    <w:p w:rsidR="00000000" w:rsidDel="00000000" w:rsidP="00000000" w:rsidRDefault="00000000" w:rsidRPr="00000000" w14:paraId="000000DA">
      <w:pPr>
        <w:spacing w:after="120" w:lineRule="auto"/>
        <w:jc w:val="both"/>
        <w:rPr>
          <w:sz w:val="20"/>
          <w:szCs w:val="20"/>
        </w:rPr>
      </w:pPr>
      <w:r w:rsidDel="00000000" w:rsidR="00000000" w:rsidRPr="00000000">
        <w:rPr>
          <w:b w:val="1"/>
          <w:sz w:val="20"/>
          <w:szCs w:val="20"/>
          <w:rtl w:val="0"/>
        </w:rPr>
        <w:t xml:space="preserve">C. ACTIVIDADES DIDÁCTICAS (OPCIONALES SI SON SUGERIDAS)</w:t>
      </w:r>
      <w:r w:rsidDel="00000000" w:rsidR="00000000" w:rsidRPr="00000000">
        <w:rPr>
          <w:rtl w:val="0"/>
        </w:rPr>
      </w:r>
    </w:p>
    <w:tbl>
      <w:tblPr>
        <w:tblStyle w:val="Table18"/>
        <w:tblW w:w="9972.0" w:type="dxa"/>
        <w:jc w:val="left"/>
        <w:tblInd w:w="-4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6"/>
        <w:gridCol w:w="6706"/>
        <w:tblGridChange w:id="0">
          <w:tblGrid>
            <w:gridCol w:w="3266"/>
            <w:gridCol w:w="6706"/>
          </w:tblGrid>
        </w:tblGridChange>
      </w:tblGrid>
      <w:tr>
        <w:trPr>
          <w:cantSplit w:val="0"/>
          <w:trHeight w:val="441" w:hRule="atLeast"/>
          <w:tblHeader w:val="0"/>
        </w:trPr>
        <w:tc>
          <w:tcPr>
            <w:shd w:fill="fac896" w:val="clear"/>
            <w:vAlign w:val="center"/>
          </w:tcPr>
          <w:p w:rsidR="00000000" w:rsidDel="00000000" w:rsidP="00000000" w:rsidRDefault="00000000" w:rsidRPr="00000000" w14:paraId="000000D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Actividad</w:t>
            </w:r>
          </w:p>
        </w:tc>
        <w:tc>
          <w:tcPr>
            <w:shd w:fill="auto" w:val="clear"/>
            <w:vAlign w:val="center"/>
          </w:tcPr>
          <w:p w:rsidR="00000000" w:rsidDel="00000000" w:rsidP="00000000" w:rsidRDefault="00000000" w:rsidRPr="00000000" w14:paraId="000000DC">
            <w:pPr>
              <w:rPr>
                <w:rFonts w:ascii="Arial" w:cs="Arial" w:eastAsia="Arial" w:hAnsi="Arial"/>
                <w:color w:val="000000"/>
                <w:sz w:val="20"/>
                <w:szCs w:val="20"/>
              </w:rPr>
            </w:pPr>
            <w:r w:rsidDel="00000000" w:rsidR="00000000" w:rsidRPr="00000000">
              <w:rPr>
                <w:rtl w:val="0"/>
              </w:rPr>
            </w:r>
          </w:p>
        </w:tc>
      </w:tr>
      <w:tr>
        <w:trPr>
          <w:cantSplit w:val="0"/>
          <w:trHeight w:val="561" w:hRule="atLeast"/>
          <w:tblHeader w:val="0"/>
        </w:trPr>
        <w:tc>
          <w:tcPr>
            <w:shd w:fill="fac896" w:val="clear"/>
            <w:vAlign w:val="center"/>
          </w:tcPr>
          <w:p w:rsidR="00000000" w:rsidDel="00000000" w:rsidP="00000000" w:rsidRDefault="00000000" w:rsidRPr="00000000" w14:paraId="000000D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0DE">
            <w:pPr>
              <w:rPr>
                <w:rFonts w:ascii="Arial" w:cs="Arial" w:eastAsia="Arial" w:hAnsi="Arial"/>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D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0E0">
            <w:pPr>
              <w:rPr>
                <w:rFonts w:ascii="Arial" w:cs="Arial" w:eastAsia="Arial" w:hAnsi="Arial"/>
                <w:color w:val="000000"/>
                <w:sz w:val="20"/>
                <w:szCs w:val="20"/>
              </w:rPr>
            </w:pPr>
            <w:r w:rsidDel="00000000" w:rsidR="00000000" w:rsidRPr="00000000">
              <w:rPr>
                <w:color w:val="000000"/>
                <w:sz w:val="20"/>
                <w:szCs w:val="20"/>
              </w:rPr>
              <w:drawing>
                <wp:inline distB="0" distT="0" distL="0" distR="0">
                  <wp:extent cx="4169410" cy="2410460"/>
                  <wp:effectExtent b="0" l="0" r="0" t="0"/>
                  <wp:docPr id="56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0E1">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0E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0E3">
            <w:pP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jc w:val="both"/>
        <w:rPr>
          <w:b w:val="1"/>
          <w:sz w:val="20"/>
          <w:szCs w:val="20"/>
        </w:rPr>
      </w:pPr>
      <w:r w:rsidDel="00000000" w:rsidR="00000000" w:rsidRPr="00000000">
        <w:rPr>
          <w:b w:val="1"/>
          <w:sz w:val="20"/>
          <w:szCs w:val="20"/>
          <w:rtl w:val="0"/>
        </w:rPr>
        <w:t xml:space="preserve">D. MATERIAL COMPLEMENTARIO</w:t>
      </w:r>
    </w:p>
    <w:p w:rsidR="00000000" w:rsidDel="00000000" w:rsidP="00000000" w:rsidRDefault="00000000" w:rsidRPr="00000000" w14:paraId="000000E6">
      <w:pPr>
        <w:ind w:left="284" w:firstLine="0"/>
        <w:jc w:val="both"/>
        <w:rPr>
          <w:b w:val="1"/>
          <w:sz w:val="20"/>
          <w:szCs w:val="20"/>
        </w:rPr>
      </w:pPr>
      <w:r w:rsidDel="00000000" w:rsidR="00000000" w:rsidRPr="00000000">
        <w:rPr>
          <w:rtl w:val="0"/>
        </w:rPr>
      </w:r>
    </w:p>
    <w:tbl>
      <w:tblPr>
        <w:tblStyle w:val="Table19"/>
        <w:tblW w:w="981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1980"/>
        <w:gridCol w:w="1995"/>
        <w:gridCol w:w="3975"/>
        <w:tblGridChange w:id="0">
          <w:tblGrid>
            <w:gridCol w:w="1860"/>
            <w:gridCol w:w="1980"/>
            <w:gridCol w:w="1995"/>
            <w:gridCol w:w="3975"/>
          </w:tblGrid>
        </w:tblGridChange>
      </w:tblGrid>
      <w:tr>
        <w:trPr>
          <w:cantSplit w:val="0"/>
          <w:trHeight w:val="622"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0E7">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0E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0E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material</w:t>
            </w:r>
          </w:p>
          <w:p w:rsidR="00000000" w:rsidDel="00000000" w:rsidP="00000000" w:rsidRDefault="00000000" w:rsidRPr="00000000" w14:paraId="000000EA">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0EB">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Enlace del Recurso o</w:t>
            </w:r>
          </w:p>
          <w:p w:rsidR="00000000" w:rsidDel="00000000" w:rsidP="00000000" w:rsidRDefault="00000000" w:rsidRPr="00000000" w14:paraId="000000E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del documento o material</w:t>
            </w:r>
          </w:p>
        </w:tc>
      </w:tr>
      <w:tr>
        <w:trPr>
          <w:cantSplit w:val="0"/>
          <w:trHeight w:val="130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Introducción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Alianza Temporales. (2021, 11 febrero). </w:t>
            </w:r>
            <w:r w:rsidDel="00000000" w:rsidR="00000000" w:rsidRPr="00000000">
              <w:rPr>
                <w:rFonts w:ascii="Arial" w:cs="Arial" w:eastAsia="Arial" w:hAnsi="Arial"/>
                <w:i w:val="1"/>
                <w:color w:val="000000"/>
                <w:sz w:val="20"/>
                <w:szCs w:val="20"/>
                <w:rtl w:val="0"/>
              </w:rPr>
              <w:t xml:space="preserve">Capacitación SARLAFT</w:t>
            </w:r>
            <w:r w:rsidDel="00000000" w:rsidR="00000000" w:rsidRPr="00000000">
              <w:rPr>
                <w:rFonts w:ascii="Arial" w:cs="Arial" w:eastAsia="Arial" w:hAnsi="Arial"/>
                <w:color w:val="000000"/>
                <w:sz w:val="20"/>
                <w:szCs w:val="20"/>
                <w:rtl w:val="0"/>
              </w:rPr>
              <w:t xml:space="preserve"> [Video]. YouTube. </w:t>
            </w:r>
            <w:hyperlink r:id="rId17">
              <w:r w:rsidDel="00000000" w:rsidR="00000000" w:rsidRPr="00000000">
                <w:rPr>
                  <w:rFonts w:ascii="Arial" w:cs="Arial" w:eastAsia="Arial" w:hAnsi="Arial"/>
                  <w:color w:val="6eac1c"/>
                  <w:sz w:val="20"/>
                  <w:szCs w:val="20"/>
                  <w:u w:val="single"/>
                  <w:rtl w:val="0"/>
                </w:rPr>
                <w:t xml:space="preserve">https://youtu.be/kFOeVkgD38U</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0">
            <w:pPr>
              <w:rPr>
                <w:rFonts w:ascii="Arial" w:cs="Arial" w:eastAsia="Arial" w:hAnsi="Arial"/>
                <w:color w:val="000000"/>
                <w:sz w:val="20"/>
                <w:szCs w:val="20"/>
              </w:rPr>
            </w:pPr>
            <w:hyperlink r:id="rId18">
              <w:r w:rsidDel="00000000" w:rsidR="00000000" w:rsidRPr="00000000">
                <w:rPr>
                  <w:rFonts w:ascii="Arial" w:cs="Arial" w:eastAsia="Arial" w:hAnsi="Arial"/>
                  <w:color w:val="6eac1c"/>
                  <w:sz w:val="20"/>
                  <w:szCs w:val="20"/>
                  <w:u w:val="single"/>
                  <w:rtl w:val="0"/>
                </w:rPr>
                <w:t xml:space="preserve">https://youtu.be/kFOeVkgD38U</w:t>
              </w:r>
            </w:hyperlink>
            <w:r w:rsidDel="00000000" w:rsidR="00000000" w:rsidRPr="00000000">
              <w:rPr>
                <w:rtl w:val="0"/>
              </w:rPr>
            </w:r>
          </w:p>
        </w:tc>
      </w:tr>
    </w:tbl>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jc w:val="both"/>
        <w:rPr>
          <w:b w:val="1"/>
          <w:sz w:val="20"/>
          <w:szCs w:val="20"/>
        </w:rPr>
      </w:pPr>
      <w:r w:rsidDel="00000000" w:rsidR="00000000" w:rsidRPr="00000000">
        <w:rPr>
          <w:b w:val="1"/>
          <w:sz w:val="20"/>
          <w:szCs w:val="20"/>
          <w:rtl w:val="0"/>
        </w:rPr>
        <w:t xml:space="preserve">E. GLOSARIO </w:t>
      </w:r>
    </w:p>
    <w:p w:rsidR="00000000" w:rsidDel="00000000" w:rsidP="00000000" w:rsidRDefault="00000000" w:rsidRPr="00000000" w14:paraId="000000F4">
      <w:pPr>
        <w:rPr>
          <w:sz w:val="20"/>
          <w:szCs w:val="20"/>
        </w:rPr>
      </w:pPr>
      <w:r w:rsidDel="00000000" w:rsidR="00000000" w:rsidRPr="00000000">
        <w:rPr>
          <w:rtl w:val="0"/>
        </w:rPr>
      </w:r>
    </w:p>
    <w:p w:rsidR="00000000" w:rsidDel="00000000" w:rsidP="00000000" w:rsidRDefault="00000000" w:rsidRPr="00000000" w14:paraId="000000F5">
      <w:pPr>
        <w:rPr>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7415"/>
        <w:tblGridChange w:id="0">
          <w:tblGrid>
            <w:gridCol w:w="2547"/>
            <w:gridCol w:w="7415"/>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0F6">
            <w:pPr>
              <w:rPr>
                <w:rFonts w:ascii="Arial" w:cs="Arial" w:eastAsia="Arial" w:hAnsi="Arial"/>
                <w:b w:val="1"/>
                <w:color w:val="000000"/>
                <w:sz w:val="20"/>
                <w:szCs w:val="20"/>
              </w:rPr>
            </w:pPr>
            <w:bookmarkStart w:colFirst="0" w:colLast="0" w:name="_heading=h.1fob9te" w:id="1"/>
            <w:bookmarkEnd w:id="1"/>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0F7">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8">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Accionista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Puede ser un persona física, persona natural, como forma de su patrimonio; o una persona jurídica, es decir, cualquier sociedad, organismo o ente que tenga entre sus activos una participación empresarial.</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Amonestación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una crítica hecha con la intención de evitar que se repita un comportamiento indeseable. En los negocios, es la primera herramienta con la que cuenta una empresa para sancionar las faltas e incumplimientos leves o graves por parte de un trabajador.</w:t>
            </w:r>
          </w:p>
          <w:p w:rsidR="00000000" w:rsidDel="00000000" w:rsidP="00000000" w:rsidRDefault="00000000" w:rsidRPr="00000000" w14:paraId="000000F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Hay dos tipos de amonestaciones: verbal y por escrito.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Estados financieros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pueden denominar como cuentas anuales, informes financieros o estados contables. Son el reflejo de la contabilidad de una empresa y muestran la estructura económica de esta en un periodo dado, es decir, muestran el ejercicio económico de un año de la empresa.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FF">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Gafi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 ente intergubernamental establecido en 1989, cuyo objetivo es fijar estándares y promover la implementación efectiva de medidas legales, regulatorias y operativas para combatir el lavado de activos, el financiamiento del terrorismo y el financiamiento de la proliferación de armas de destrucción masiva, y otras amenazas a la integridad del sistema financiero internacional.</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1">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Multa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una sanción o castigo que puede imponer una autoridad sobre aquellos que han incumplido alguna norma. Es pecuniaria, puesto que debe pagarse en dinero y, usualmente, es coercitiva, ya que, en caso de no cumplimiento del pago, se aplican multas sucesivas y acumulativas.</w:t>
            </w:r>
          </w:p>
        </w:tc>
      </w:tr>
      <w:tr>
        <w:trPr>
          <w:cantSplit w:val="0"/>
          <w:trHeight w:val="66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3">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Persona jurídica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persona jurídica es una organización o grupo de personas naturales a quienes la ley reconoce personalidad independiente y diferenciada de la de cada uno de sus miembros o componentes, capaz de ejercer derechos y contraer obligaciones, y de ser representada judicial y extrajudicialmente.</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5">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Persona natural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 todo individuo de la especie humana, cualquiera que sea su raza, sexo, estirpe o condición. Ahora bien, en términos empresariales, la persona natural es aquel individuo que, al actuar en su propio nombre, se ocupa de alguna o algunas actividades que la ley considera mercantiles.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7">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Sanciones civiles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8">
            <w:pPr>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rtl w:val="0"/>
              </w:rPr>
              <w:t xml:space="preserve">Las sanciones civiles se emplean para corregir el daño que el individuo hace a la sociedad a partir de la falta cometida. Estas sanciones se encuentran reguladas en el Código Civil y Comercial.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Sanciones penales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A">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Estas se corresponden con delitos propiamente penales, es decir, que se encuadran dentro de la regulación del Código Penal. No todas las faltas cometidas poseen como consecuencia el encarcelamiento de la persona.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Sanciones sociales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Las sanciones sociales, tal como lo indica su nombre, son aplicadas por la sociedad en su conjunto. Ante alguna conducta o modo de operatoria que se encuentre catalogado como “incorrecto”, la sociedad actúa como órgano de sanción, en el sentido de que se encarga de acusar estas infracciones (como, por ejemplo, estacionar el auto en las salidas de las ambulancias o derrochar mucha agua).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Sociedad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0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sociedad es un grupo de personas que sigue un determinado ordenamiento. Asimismo, tienen costumbres en común, lo cual abarca distintos ámbitos de la vida. Por ejemplo, se comparte tanto el uso de la misma moneda como la historia y las tradiciones festivas.</w:t>
            </w:r>
          </w:p>
        </w:tc>
      </w:tr>
    </w:tbl>
    <w:p w:rsidR="00000000" w:rsidDel="00000000" w:rsidP="00000000" w:rsidRDefault="00000000" w:rsidRPr="00000000" w14:paraId="0000010F">
      <w:pPr>
        <w:jc w:val="both"/>
        <w:rPr>
          <w:b w:val="1"/>
          <w:sz w:val="20"/>
          <w:szCs w:val="20"/>
        </w:rPr>
      </w:pPr>
      <w:r w:rsidDel="00000000" w:rsidR="00000000" w:rsidRPr="00000000">
        <w:rPr>
          <w:rtl w:val="0"/>
        </w:rPr>
      </w:r>
    </w:p>
    <w:p w:rsidR="00000000" w:rsidDel="00000000" w:rsidP="00000000" w:rsidRDefault="00000000" w:rsidRPr="00000000" w14:paraId="00000110">
      <w:pPr>
        <w:jc w:val="both"/>
        <w:rPr>
          <w:b w:val="1"/>
          <w:sz w:val="20"/>
          <w:szCs w:val="20"/>
        </w:rPr>
      </w:pPr>
      <w:r w:rsidDel="00000000" w:rsidR="00000000" w:rsidRPr="00000000">
        <w:rPr>
          <w:b w:val="1"/>
          <w:sz w:val="20"/>
          <w:szCs w:val="20"/>
          <w:rtl w:val="0"/>
        </w:rPr>
        <w:t xml:space="preserve">F. REFERENCIAS BIBLIOGRÁFICAS </w:t>
      </w:r>
    </w:p>
    <w:p w:rsidR="00000000" w:rsidDel="00000000" w:rsidP="00000000" w:rsidRDefault="00000000" w:rsidRPr="00000000" w14:paraId="00000111">
      <w:pPr>
        <w:jc w:val="both"/>
        <w:rPr>
          <w:b w:val="1"/>
          <w:i w:val="1"/>
          <w:sz w:val="20"/>
          <w:szCs w:val="20"/>
        </w:rPr>
      </w:pPr>
      <w:r w:rsidDel="00000000" w:rsidR="00000000" w:rsidRPr="00000000">
        <w:rPr>
          <w:rtl w:val="0"/>
        </w:rPr>
      </w:r>
    </w:p>
    <w:p w:rsidR="00000000" w:rsidDel="00000000" w:rsidP="00000000" w:rsidRDefault="00000000" w:rsidRPr="00000000" w14:paraId="00000112">
      <w:pPr>
        <w:ind w:left="709" w:hanging="709"/>
        <w:rPr>
          <w:i w:val="1"/>
          <w:sz w:val="20"/>
          <w:szCs w:val="20"/>
        </w:rPr>
      </w:pPr>
      <w:r w:rsidDel="00000000" w:rsidR="00000000" w:rsidRPr="00000000">
        <w:rPr>
          <w:sz w:val="20"/>
          <w:szCs w:val="20"/>
          <w:rtl w:val="0"/>
        </w:rPr>
        <w:t xml:space="preserve">Coopfuturo. (2017). </w:t>
      </w:r>
      <w:r w:rsidDel="00000000" w:rsidR="00000000" w:rsidRPr="00000000">
        <w:rPr>
          <w:i w:val="1"/>
          <w:sz w:val="20"/>
          <w:szCs w:val="20"/>
          <w:rtl w:val="0"/>
        </w:rPr>
        <w:t xml:space="preserve">SARLAFT – Sistema de Administracion del Riesgo de Lavado de Activos y Financiacion del Terrorismo. </w:t>
      </w:r>
      <w:hyperlink r:id="rId19">
        <w:r w:rsidDel="00000000" w:rsidR="00000000" w:rsidRPr="00000000">
          <w:rPr>
            <w:color w:val="1155cc"/>
            <w:sz w:val="20"/>
            <w:szCs w:val="20"/>
            <w:u w:val="single"/>
            <w:rtl w:val="0"/>
          </w:rPr>
          <w:t xml:space="preserve">https://coopfuturo.com.co/wp-content/uploads/2019/09/SARLAFT-CAPACITACION-vfinal_DIC_14_2017.pdf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3">
      <w:pPr>
        <w:ind w:left="709" w:hanging="709"/>
        <w:rPr>
          <w:sz w:val="20"/>
          <w:szCs w:val="20"/>
        </w:rPr>
      </w:pPr>
      <w:r w:rsidDel="00000000" w:rsidR="00000000" w:rsidRPr="00000000">
        <w:rPr>
          <w:rtl w:val="0"/>
        </w:rPr>
      </w:r>
    </w:p>
    <w:p w:rsidR="00000000" w:rsidDel="00000000" w:rsidP="00000000" w:rsidRDefault="00000000" w:rsidRPr="00000000" w14:paraId="00000114">
      <w:pPr>
        <w:ind w:left="709" w:right="12" w:hanging="709"/>
        <w:rPr>
          <w:sz w:val="20"/>
          <w:szCs w:val="20"/>
        </w:rPr>
      </w:pPr>
      <w:r w:rsidDel="00000000" w:rsidR="00000000" w:rsidRPr="00000000">
        <w:rPr>
          <w:sz w:val="20"/>
          <w:szCs w:val="20"/>
          <w:rtl w:val="0"/>
        </w:rPr>
        <w:t xml:space="preserve">Angel, J. (2021). </w:t>
      </w:r>
      <w:r w:rsidDel="00000000" w:rsidR="00000000" w:rsidRPr="00000000">
        <w:rPr>
          <w:i w:val="1"/>
          <w:sz w:val="20"/>
          <w:szCs w:val="20"/>
          <w:rtl w:val="0"/>
        </w:rPr>
        <w:t xml:space="preserve">El Oficial de Cumplimiento en SAGRILAFT, SARLAFT y SALIFPT y sus funciones</w:t>
      </w:r>
      <w:r w:rsidDel="00000000" w:rsidR="00000000" w:rsidRPr="00000000">
        <w:rPr>
          <w:sz w:val="20"/>
          <w:szCs w:val="20"/>
          <w:rtl w:val="0"/>
        </w:rPr>
        <w:t xml:space="preserve">. Grupo CD&amp;S. </w:t>
      </w:r>
      <w:hyperlink r:id="rId20">
        <w:r w:rsidDel="00000000" w:rsidR="00000000" w:rsidRPr="00000000">
          <w:rPr>
            <w:color w:val="6eac1c"/>
            <w:sz w:val="20"/>
            <w:szCs w:val="20"/>
            <w:u w:val="single"/>
            <w:rtl w:val="0"/>
          </w:rPr>
          <w:t xml:space="preserve">https://www.grupocdys.com.co/el-oficial-de-cumplimiento-en-sagrilaft-sarlaft-y-salifpt-y-sus-funciones/</w:t>
        </w:r>
      </w:hyperlink>
      <w:r w:rsidDel="00000000" w:rsidR="00000000" w:rsidRPr="00000000">
        <w:rPr>
          <w:rtl w:val="0"/>
        </w:rPr>
      </w:r>
    </w:p>
    <w:p w:rsidR="00000000" w:rsidDel="00000000" w:rsidP="00000000" w:rsidRDefault="00000000" w:rsidRPr="00000000" w14:paraId="00000115">
      <w:pPr>
        <w:ind w:left="709" w:right="12" w:hanging="709"/>
        <w:rPr>
          <w:sz w:val="20"/>
          <w:szCs w:val="20"/>
        </w:rPr>
      </w:pPr>
      <w:r w:rsidDel="00000000" w:rsidR="00000000" w:rsidRPr="00000000">
        <w:rPr>
          <w:rtl w:val="0"/>
        </w:rPr>
      </w:r>
    </w:p>
    <w:p w:rsidR="00000000" w:rsidDel="00000000" w:rsidP="00000000" w:rsidRDefault="00000000" w:rsidRPr="00000000" w14:paraId="00000116">
      <w:pPr>
        <w:ind w:left="709" w:right="12" w:hanging="709"/>
        <w:rPr>
          <w:sz w:val="20"/>
          <w:szCs w:val="20"/>
        </w:rPr>
      </w:pPr>
      <w:r w:rsidDel="00000000" w:rsidR="00000000" w:rsidRPr="00000000">
        <w:rPr>
          <w:sz w:val="20"/>
          <w:szCs w:val="20"/>
          <w:rtl w:val="0"/>
        </w:rPr>
        <w:t xml:space="preserve">Macías, M. (2018). </w:t>
      </w:r>
      <w:r w:rsidDel="00000000" w:rsidR="00000000" w:rsidRPr="00000000">
        <w:rPr>
          <w:i w:val="1"/>
          <w:sz w:val="20"/>
          <w:szCs w:val="20"/>
          <w:rtl w:val="0"/>
        </w:rPr>
        <w:t xml:space="preserve">Perfil del oficial de cumplimiento, Funciones del Oficial de Cumplimiento</w:t>
      </w:r>
      <w:r w:rsidDel="00000000" w:rsidR="00000000" w:rsidRPr="00000000">
        <w:rPr>
          <w:sz w:val="20"/>
          <w:szCs w:val="20"/>
          <w:rtl w:val="0"/>
        </w:rPr>
        <w:t xml:space="preserve">. Compliance. </w:t>
      </w:r>
      <w:hyperlink r:id="rId21">
        <w:r w:rsidDel="00000000" w:rsidR="00000000" w:rsidRPr="00000000">
          <w:rPr>
            <w:color w:val="6eac1c"/>
            <w:sz w:val="20"/>
            <w:szCs w:val="20"/>
            <w:u w:val="single"/>
            <w:rtl w:val="0"/>
          </w:rPr>
          <w:t xml:space="preserve">https://www.compliance.com.co/perfil-de-oficial-de-cumplimiento-funciones-del-oficial-de-cumplimiento/</w:t>
        </w:r>
      </w:hyperlink>
      <w:r w:rsidDel="00000000" w:rsidR="00000000" w:rsidRPr="00000000">
        <w:rPr>
          <w:rtl w:val="0"/>
        </w:rPr>
      </w:r>
    </w:p>
    <w:p w:rsidR="00000000" w:rsidDel="00000000" w:rsidP="00000000" w:rsidRDefault="00000000" w:rsidRPr="00000000" w14:paraId="00000117">
      <w:pPr>
        <w:ind w:left="709" w:right="12" w:hanging="709"/>
        <w:rPr>
          <w:sz w:val="20"/>
          <w:szCs w:val="20"/>
        </w:rPr>
      </w:pPr>
      <w:r w:rsidDel="00000000" w:rsidR="00000000" w:rsidRPr="00000000">
        <w:rPr>
          <w:rtl w:val="0"/>
        </w:rPr>
      </w:r>
    </w:p>
    <w:p w:rsidR="00000000" w:rsidDel="00000000" w:rsidP="00000000" w:rsidRDefault="00000000" w:rsidRPr="00000000" w14:paraId="00000118">
      <w:pPr>
        <w:ind w:left="709" w:hanging="709"/>
        <w:rPr>
          <w:sz w:val="20"/>
          <w:szCs w:val="20"/>
        </w:rPr>
      </w:pPr>
      <w:r w:rsidDel="00000000" w:rsidR="00000000" w:rsidRPr="00000000">
        <w:rPr>
          <w:sz w:val="20"/>
          <w:szCs w:val="20"/>
          <w:rtl w:val="0"/>
        </w:rPr>
        <w:t xml:space="preserve">Moreno, E. (2021). </w:t>
      </w:r>
      <w:r w:rsidDel="00000000" w:rsidR="00000000" w:rsidRPr="00000000">
        <w:rPr>
          <w:i w:val="1"/>
          <w:sz w:val="20"/>
          <w:szCs w:val="20"/>
          <w:rtl w:val="0"/>
        </w:rPr>
        <w:t xml:space="preserve">SARLAFT 4.0: 11 motivos de sanción por incumplimiento de la norma</w:t>
      </w:r>
      <w:r w:rsidDel="00000000" w:rsidR="00000000" w:rsidRPr="00000000">
        <w:rPr>
          <w:sz w:val="20"/>
          <w:szCs w:val="20"/>
          <w:rtl w:val="0"/>
        </w:rPr>
        <w:t xml:space="preserve">. Aml | Stradata. </w:t>
      </w:r>
      <w:hyperlink r:id="rId22">
        <w:r w:rsidDel="00000000" w:rsidR="00000000" w:rsidRPr="00000000">
          <w:rPr>
            <w:color w:val="6eac1c"/>
            <w:sz w:val="20"/>
            <w:szCs w:val="20"/>
            <w:u w:val="single"/>
            <w:rtl w:val="0"/>
          </w:rPr>
          <w:t xml:space="preserve">https://aml.stradata.co/sarlaft-4-0-11-motivos-de-sancion-por-incumplimiento-de-la-norma/</w:t>
        </w:r>
      </w:hyperlink>
      <w:r w:rsidDel="00000000" w:rsidR="00000000" w:rsidRPr="00000000">
        <w:rPr>
          <w:rtl w:val="0"/>
        </w:rPr>
      </w:r>
    </w:p>
    <w:p w:rsidR="00000000" w:rsidDel="00000000" w:rsidP="00000000" w:rsidRDefault="00000000" w:rsidRPr="00000000" w14:paraId="00000119">
      <w:pPr>
        <w:ind w:left="709" w:hanging="709"/>
        <w:rPr>
          <w:sz w:val="20"/>
          <w:szCs w:val="20"/>
        </w:rPr>
      </w:pPr>
      <w:r w:rsidDel="00000000" w:rsidR="00000000" w:rsidRPr="00000000">
        <w:rPr>
          <w:rtl w:val="0"/>
        </w:rPr>
      </w:r>
    </w:p>
    <w:p w:rsidR="00000000" w:rsidDel="00000000" w:rsidP="00000000" w:rsidRDefault="00000000" w:rsidRPr="00000000" w14:paraId="0000011A">
      <w:pPr>
        <w:ind w:left="709" w:hanging="709"/>
        <w:rPr>
          <w:i w:val="1"/>
          <w:sz w:val="20"/>
          <w:szCs w:val="20"/>
        </w:rPr>
      </w:pPr>
      <w:r w:rsidDel="00000000" w:rsidR="00000000" w:rsidRPr="00000000">
        <w:rPr>
          <w:sz w:val="20"/>
          <w:szCs w:val="20"/>
          <w:rtl w:val="0"/>
        </w:rPr>
        <w:t xml:space="preserve">UIAF. (s. f.-a). </w:t>
      </w:r>
      <w:r w:rsidDel="00000000" w:rsidR="00000000" w:rsidRPr="00000000">
        <w:rPr>
          <w:i w:val="1"/>
          <w:sz w:val="20"/>
          <w:szCs w:val="20"/>
          <w:rtl w:val="0"/>
        </w:rPr>
        <w:t xml:space="preserve">Objetivos.</w:t>
      </w:r>
      <w:r w:rsidDel="00000000" w:rsidR="00000000" w:rsidRPr="00000000">
        <w:rPr>
          <w:sz w:val="20"/>
          <w:szCs w:val="20"/>
          <w:rtl w:val="0"/>
        </w:rPr>
        <w:t xml:space="preserve"> Gov.co. </w:t>
      </w:r>
      <w:hyperlink r:id="rId23">
        <w:r w:rsidDel="00000000" w:rsidR="00000000" w:rsidRPr="00000000">
          <w:rPr>
            <w:color w:val="6eac1c"/>
            <w:sz w:val="20"/>
            <w:szCs w:val="20"/>
            <w:u w:val="single"/>
            <w:rtl w:val="0"/>
          </w:rPr>
          <w:t xml:space="preserve">https://www.uiaf.gov.co/nuestra_entidad/objetivos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1B">
      <w:pPr>
        <w:ind w:left="709" w:hanging="709"/>
        <w:rPr>
          <w:sz w:val="20"/>
          <w:szCs w:val="20"/>
        </w:rPr>
      </w:pPr>
      <w:r w:rsidDel="00000000" w:rsidR="00000000" w:rsidRPr="00000000">
        <w:rPr>
          <w:rtl w:val="0"/>
        </w:rPr>
      </w:r>
    </w:p>
    <w:p w:rsidR="00000000" w:rsidDel="00000000" w:rsidP="00000000" w:rsidRDefault="00000000" w:rsidRPr="00000000" w14:paraId="0000011C">
      <w:pPr>
        <w:ind w:left="709" w:hanging="709"/>
        <w:rPr>
          <w:sz w:val="20"/>
          <w:szCs w:val="20"/>
        </w:rPr>
      </w:pPr>
      <w:r w:rsidDel="00000000" w:rsidR="00000000" w:rsidRPr="00000000">
        <w:rPr>
          <w:sz w:val="20"/>
          <w:szCs w:val="20"/>
          <w:rtl w:val="0"/>
        </w:rPr>
        <w:t xml:space="preserve">UIAF. (s. f.-b). </w:t>
      </w:r>
      <w:r w:rsidDel="00000000" w:rsidR="00000000" w:rsidRPr="00000000">
        <w:rPr>
          <w:i w:val="1"/>
          <w:sz w:val="20"/>
          <w:szCs w:val="20"/>
          <w:rtl w:val="0"/>
        </w:rPr>
        <w:t xml:space="preserve">¿Quiénes somos? </w:t>
      </w:r>
      <w:hyperlink r:id="rId24">
        <w:r w:rsidDel="00000000" w:rsidR="00000000" w:rsidRPr="00000000">
          <w:rPr>
            <w:color w:val="6eac1c"/>
            <w:sz w:val="20"/>
            <w:szCs w:val="20"/>
            <w:u w:val="single"/>
            <w:rtl w:val="0"/>
          </w:rPr>
          <w:t xml:space="preserve">https://www.uiaf.gov.co/nuestra_entidad/quienes_somos</w:t>
        </w:r>
      </w:hyperlink>
      <w:r w:rsidDel="00000000" w:rsidR="00000000" w:rsidRPr="00000000">
        <w:rPr>
          <w:rtl w:val="0"/>
        </w:rPr>
      </w:r>
    </w:p>
    <w:p w:rsidR="00000000" w:rsidDel="00000000" w:rsidP="00000000" w:rsidRDefault="00000000" w:rsidRPr="00000000" w14:paraId="0000011D">
      <w:pPr>
        <w:rPr>
          <w:i w:val="1"/>
          <w:sz w:val="20"/>
          <w:szCs w:val="20"/>
        </w:rPr>
      </w:pPr>
      <w:r w:rsidDel="00000000" w:rsidR="00000000" w:rsidRPr="00000000">
        <w:rPr>
          <w:rtl w:val="0"/>
        </w:rPr>
      </w:r>
    </w:p>
    <w:p w:rsidR="00000000" w:rsidDel="00000000" w:rsidP="00000000" w:rsidRDefault="00000000" w:rsidRPr="00000000" w14:paraId="0000011E">
      <w:pPr>
        <w:jc w:val="both"/>
        <w:rPr>
          <w:b w:val="1"/>
          <w:sz w:val="20"/>
          <w:szCs w:val="20"/>
        </w:rPr>
      </w:pPr>
      <w:r w:rsidDel="00000000" w:rsidR="00000000" w:rsidRPr="00000000">
        <w:rPr>
          <w:rtl w:val="0"/>
        </w:rPr>
      </w:r>
    </w:p>
    <w:p w:rsidR="00000000" w:rsidDel="00000000" w:rsidP="00000000" w:rsidRDefault="00000000" w:rsidRPr="00000000" w14:paraId="0000011F">
      <w:pPr>
        <w:jc w:val="both"/>
        <w:rPr>
          <w:b w:val="1"/>
          <w:sz w:val="20"/>
          <w:szCs w:val="20"/>
        </w:rPr>
      </w:pPr>
      <w:r w:rsidDel="00000000" w:rsidR="00000000" w:rsidRPr="00000000">
        <w:rPr>
          <w:b w:val="1"/>
          <w:sz w:val="20"/>
          <w:szCs w:val="20"/>
          <w:rtl w:val="0"/>
        </w:rPr>
        <w:t xml:space="preserve">G. CONTROL DEL DOCUMENTO</w:t>
      </w:r>
    </w:p>
    <w:p w:rsidR="00000000" w:rsidDel="00000000" w:rsidP="00000000" w:rsidRDefault="00000000" w:rsidRPr="00000000" w14:paraId="00000120">
      <w:pPr>
        <w:ind w:left="284" w:firstLine="0"/>
        <w:jc w:val="both"/>
        <w:rPr>
          <w:b w:val="1"/>
          <w:sz w:val="20"/>
          <w:szCs w:val="20"/>
        </w:rPr>
      </w:pPr>
      <w:r w:rsidDel="00000000" w:rsidR="00000000" w:rsidRPr="00000000">
        <w:rPr>
          <w:rtl w:val="0"/>
        </w:rPr>
      </w:r>
    </w:p>
    <w:tbl>
      <w:tblPr>
        <w:tblStyle w:val="Table21"/>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edf2f8" w:val="clear"/>
          </w:tcPr>
          <w:p w:rsidR="00000000" w:rsidDel="00000000" w:rsidP="00000000" w:rsidRDefault="00000000" w:rsidRPr="00000000" w14:paraId="00000121">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122">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123">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124">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edf2f8" w:val="clear"/>
            <w:vAlign w:val="center"/>
          </w:tcPr>
          <w:p w:rsidR="00000000" w:rsidDel="00000000" w:rsidP="00000000" w:rsidRDefault="00000000" w:rsidRPr="00000000" w14:paraId="00000125">
            <w:pP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shd w:fill="edf2f8" w:val="clear"/>
          </w:tcPr>
          <w:p w:rsidR="00000000" w:rsidDel="00000000" w:rsidP="00000000" w:rsidRDefault="00000000" w:rsidRPr="00000000" w14:paraId="00000126">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7">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8">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9">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A">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B">
            <w:pP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C">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Jhon Jairo Villamizar Mora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Centro de la Industria, la Empresa y los Servicios. 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Agosto 2021</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0"/>
                <w:szCs w:val="20"/>
              </w:rPr>
            </w:pP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edf2f8"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3">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Claudia Milena Hernández Naranjo</w:t>
            </w:r>
            <w:r w:rsidDel="00000000" w:rsidR="00000000" w:rsidRPr="00000000">
              <w:rPr>
                <w:rtl w:val="0"/>
              </w:rPr>
            </w:r>
          </w:p>
        </w:tc>
        <w:tc>
          <w:tcPr>
            <w:vAlign w:val="center"/>
          </w:tcPr>
          <w:p w:rsidR="00000000" w:rsidDel="00000000" w:rsidP="00000000" w:rsidRDefault="00000000" w:rsidRPr="00000000" w14:paraId="00000134">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Diseñadora Instruccional</w:t>
            </w:r>
            <w:r w:rsidDel="00000000" w:rsidR="00000000" w:rsidRPr="00000000">
              <w:rPr>
                <w:rtl w:val="0"/>
              </w:rPr>
            </w:r>
          </w:p>
        </w:tc>
        <w:tc>
          <w:tcPr>
            <w:vAlign w:val="center"/>
          </w:tcPr>
          <w:p w:rsidR="00000000" w:rsidDel="00000000" w:rsidP="00000000" w:rsidRDefault="00000000" w:rsidRPr="00000000" w14:paraId="00000135">
            <w:pPr>
              <w:spacing w:after="120" w:line="276" w:lineRule="auto"/>
              <w:ind w:right="11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136">
            <w:pPr>
              <w:spacing w:after="120" w:line="276" w:lineRule="auto"/>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Septiembre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edf2f8" w:val="cle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138">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Rafael Neftalí Lizcano Reyes</w:t>
            </w:r>
          </w:p>
        </w:tc>
        <w:tc>
          <w:tcPr>
            <w:vAlign w:val="center"/>
          </w:tcPr>
          <w:p w:rsidR="00000000" w:rsidDel="00000000" w:rsidP="00000000" w:rsidRDefault="00000000" w:rsidRPr="00000000" w14:paraId="00000139">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Asesor pedagógico</w:t>
            </w:r>
          </w:p>
        </w:tc>
        <w:tc>
          <w:tcPr>
            <w:vAlign w:val="center"/>
          </w:tcPr>
          <w:p w:rsidR="00000000" w:rsidDel="00000000" w:rsidP="00000000" w:rsidRDefault="00000000" w:rsidRPr="00000000" w14:paraId="0000013A">
            <w:pPr>
              <w:spacing w:after="120" w:line="276" w:lineRule="auto"/>
              <w:ind w:right="11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Regional Santander - Centro Industrial del Diseño y la Manufactura.</w:t>
            </w:r>
          </w:p>
        </w:tc>
        <w:tc>
          <w:tcPr>
            <w:vAlign w:val="center"/>
          </w:tcPr>
          <w:p w:rsidR="00000000" w:rsidDel="00000000" w:rsidP="00000000" w:rsidRDefault="00000000" w:rsidRPr="00000000" w14:paraId="0000013B">
            <w:pPr>
              <w:spacing w:after="12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edf2f8"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3D">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Carolina Coca Salazar</w:t>
            </w:r>
          </w:p>
        </w:tc>
        <w:tc>
          <w:tcPr>
            <w:vAlign w:val="center"/>
          </w:tcPr>
          <w:p w:rsidR="00000000" w:rsidDel="00000000" w:rsidP="00000000" w:rsidRDefault="00000000" w:rsidRPr="00000000" w14:paraId="0000013E">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Revisora Metodológica y Pedagógica </w:t>
            </w:r>
          </w:p>
        </w:tc>
        <w:tc>
          <w:tcPr>
            <w:vAlign w:val="center"/>
          </w:tcPr>
          <w:p w:rsidR="00000000" w:rsidDel="00000000" w:rsidP="00000000" w:rsidRDefault="00000000" w:rsidRPr="00000000" w14:paraId="0000013F">
            <w:pPr>
              <w:spacing w:after="120" w:lineRule="auto"/>
              <w:ind w:right="11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Regional Distrito Capital-Centro de Diseño y Metrología </w:t>
            </w:r>
          </w:p>
        </w:tc>
        <w:tc>
          <w:tcPr>
            <w:vAlign w:val="center"/>
          </w:tcPr>
          <w:p w:rsidR="00000000" w:rsidDel="00000000" w:rsidP="00000000" w:rsidRDefault="00000000" w:rsidRPr="00000000" w14:paraId="00000140">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edf2f8"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142">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Darío González</w:t>
            </w:r>
          </w:p>
        </w:tc>
        <w:tc>
          <w:tcPr>
            <w:vAlign w:val="center"/>
          </w:tcPr>
          <w:p w:rsidR="00000000" w:rsidDel="00000000" w:rsidP="00000000" w:rsidRDefault="00000000" w:rsidRPr="00000000" w14:paraId="00000143">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Corrección de estilo</w:t>
            </w:r>
          </w:p>
        </w:tc>
        <w:tc>
          <w:tcPr>
            <w:vAlign w:val="center"/>
          </w:tcPr>
          <w:p w:rsidR="00000000" w:rsidDel="00000000" w:rsidP="00000000" w:rsidRDefault="00000000" w:rsidRPr="00000000" w14:paraId="00000144">
            <w:pPr>
              <w:spacing w:after="120" w:lineRule="auto"/>
              <w:ind w:right="112"/>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Regional Tolima – Centro Agropecuario La Granja</w:t>
            </w:r>
          </w:p>
        </w:tc>
        <w:tc>
          <w:tcPr>
            <w:vAlign w:val="center"/>
          </w:tcPr>
          <w:p w:rsidR="00000000" w:rsidDel="00000000" w:rsidP="00000000" w:rsidRDefault="00000000" w:rsidRPr="00000000" w14:paraId="00000145">
            <w:pP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Octubre 2021</w:t>
            </w:r>
          </w:p>
        </w:tc>
      </w:tr>
    </w:tbl>
    <w:p w:rsidR="00000000" w:rsidDel="00000000" w:rsidP="00000000" w:rsidRDefault="00000000" w:rsidRPr="00000000" w14:paraId="00000146">
      <w:pPr>
        <w:ind w:left="284" w:firstLine="0"/>
        <w:jc w:val="both"/>
        <w:rPr>
          <w:b w:val="1"/>
          <w:sz w:val="20"/>
          <w:szCs w:val="20"/>
        </w:rPr>
      </w:pPr>
      <w:r w:rsidDel="00000000" w:rsidR="00000000" w:rsidRPr="00000000">
        <w:rPr>
          <w:rtl w:val="0"/>
        </w:rPr>
      </w:r>
    </w:p>
    <w:p w:rsidR="00000000" w:rsidDel="00000000" w:rsidP="00000000" w:rsidRDefault="00000000" w:rsidRPr="00000000" w14:paraId="00000147">
      <w:pPr>
        <w:tabs>
          <w:tab w:val="left" w:pos="7620"/>
        </w:tabs>
        <w:rPr>
          <w:sz w:val="20"/>
          <w:szCs w:val="20"/>
        </w:rPr>
      </w:pPr>
      <w:r w:rsidDel="00000000" w:rsidR="00000000" w:rsidRPr="00000000">
        <w:rPr>
          <w:sz w:val="20"/>
          <w:szCs w:val="20"/>
          <w:rtl w:val="0"/>
        </w:rPr>
        <w:tab/>
      </w:r>
    </w:p>
    <w:p w:rsidR="00000000" w:rsidDel="00000000" w:rsidP="00000000" w:rsidRDefault="00000000" w:rsidRPr="00000000" w14:paraId="00000148">
      <w:pPr>
        <w:jc w:val="both"/>
        <w:rPr>
          <w:b w:val="1"/>
          <w:sz w:val="20"/>
          <w:szCs w:val="20"/>
        </w:rPr>
      </w:pPr>
      <w:r w:rsidDel="00000000" w:rsidR="00000000" w:rsidRPr="00000000">
        <w:rPr>
          <w:b w:val="1"/>
          <w:sz w:val="20"/>
          <w:szCs w:val="20"/>
          <w:rtl w:val="0"/>
        </w:rPr>
        <w:t xml:space="preserve">H. CONTROL DE CAMBIOS </w:t>
      </w:r>
    </w:p>
    <w:p w:rsidR="00000000" w:rsidDel="00000000" w:rsidP="00000000" w:rsidRDefault="00000000" w:rsidRPr="00000000" w14:paraId="00000149">
      <w:pPr>
        <w:ind w:left="284" w:firstLine="0"/>
        <w:jc w:val="both"/>
        <w:rPr>
          <w:b w:val="1"/>
          <w:sz w:val="20"/>
          <w:szCs w:val="20"/>
        </w:rPr>
      </w:pPr>
      <w:r w:rsidDel="00000000" w:rsidR="00000000" w:rsidRPr="00000000">
        <w:rPr>
          <w:rtl w:val="0"/>
        </w:rPr>
      </w:r>
    </w:p>
    <w:tbl>
      <w:tblPr>
        <w:tblStyle w:val="Table22"/>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shd w:fill="edf2f8" w:val="clear"/>
          </w:tcPr>
          <w:p w:rsidR="00000000" w:rsidDel="00000000" w:rsidP="00000000" w:rsidRDefault="00000000" w:rsidRPr="00000000" w14:paraId="0000014A">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4B">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4C">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4D">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4E">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4F">
            <w:pPr>
              <w:jc w:val="both"/>
              <w:rPr>
                <w:rFonts w:ascii="Arial" w:cs="Arial" w:eastAsia="Arial" w:hAnsi="Arial"/>
                <w:b w:val="1"/>
                <w:color w:val="000000"/>
                <w:sz w:val="20"/>
                <w:szCs w:val="20"/>
              </w:rPr>
            </w:pPr>
            <w:bookmarkStart w:colFirst="0" w:colLast="0" w:name="_heading=h.gjdgxs" w:id="2"/>
            <w:bookmarkEnd w:id="2"/>
            <w:r w:rsidDel="00000000" w:rsidR="00000000" w:rsidRPr="00000000">
              <w:rPr>
                <w:rFonts w:ascii="Arial" w:cs="Arial" w:eastAsia="Arial" w:hAnsi="Arial"/>
                <w:b w:val="1"/>
                <w:color w:val="000000"/>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0">
            <w:pP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1">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2">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3">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4">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f2f8" w:val="clear"/>
          </w:tcPr>
          <w:p w:rsidR="00000000" w:rsidDel="00000000" w:rsidP="00000000" w:rsidRDefault="00000000" w:rsidRPr="00000000" w14:paraId="00000155">
            <w:pPr>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156">
      <w:pPr>
        <w:ind w:left="284" w:firstLine="0"/>
        <w:jc w:val="both"/>
        <w:rPr>
          <w:b w:val="1"/>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86580976</wp:posOffset>
            </wp:positionV>
            <wp:extent cx="3971925" cy="3712845"/>
            <wp:effectExtent b="0" l="0" r="0" t="0"/>
            <wp:wrapSquare wrapText="bothSides" distB="0" distT="0" distL="114300" distR="114300"/>
            <wp:docPr id="564" name="image4.png"/>
            <a:graphic>
              <a:graphicData uri="http://schemas.openxmlformats.org/drawingml/2006/picture">
                <pic:pic>
                  <pic:nvPicPr>
                    <pic:cNvPr id="0" name="image4.png"/>
                    <pic:cNvPicPr preferRelativeResize="0"/>
                  </pic:nvPicPr>
                  <pic:blipFill>
                    <a:blip r:embed="rId25"/>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p w:rsidR="00000000" w:rsidDel="00000000" w:rsidP="00000000" w:rsidRDefault="00000000" w:rsidRPr="00000000" w14:paraId="00000157">
      <w:pPr>
        <w:rPr>
          <w:sz w:val="20"/>
          <w:szCs w:val="20"/>
        </w:rPr>
      </w:pPr>
      <w:r w:rsidDel="00000000" w:rsidR="00000000" w:rsidRPr="00000000">
        <w:rPr>
          <w:rtl w:val="0"/>
        </w:rPr>
      </w:r>
    </w:p>
    <w:sectPr>
      <w:headerReference r:id="rId26" w:type="default"/>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0" w:date="2021-09-25T02:40:55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figura con la siguiente información:</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Amonestaciones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Multas</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Suspensiones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Remosiones.</w:t>
      </w:r>
    </w:p>
  </w:comment>
  <w:comment w:author="Claudia Milena Hernández Naranjo" w:id="11" w:date="2021-09-25T03:32:14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CF03_2_2_UAIF</w:t>
      </w:r>
    </w:p>
  </w:comment>
  <w:comment w:author="Claudia Milena Hernández Naranjo" w:id="3" w:date="2021-09-24T03:40:25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listado cuadro color.</w:t>
      </w:r>
    </w:p>
  </w:comment>
  <w:comment w:author="Claudia Milena Hernández Naranjo" w:id="8" w:date="2021-09-25T03:31:36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CF03_1_3_afiliacion</w:t>
      </w:r>
    </w:p>
  </w:comment>
  <w:comment w:author="Claudia Milena Hernández Naranjo" w:id="6" w:date="2021-09-25T03:24:48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CF03_1_2_ejemplo</w:t>
      </w:r>
    </w:p>
  </w:comment>
  <w:comment w:author="Claudia Milena Hernández Naranjo" w:id="0" w:date="2021-09-25T03:23:44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CF03_1_introduccion</w:t>
      </w:r>
    </w:p>
  </w:comment>
  <w:comment w:author="Claudia Milena Hernández Naranjo" w:id="5" w:date="2021-09-25T03:21:09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https://www.youtube.com/watch?v=PkzTUa5pg4o</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se puede producir un video propio del SENA, sería mas valioso para el componente, de lo contrario registrar créditos a: CAVELIER ABOGADOS (2019)</w:t>
      </w:r>
    </w:p>
  </w:comment>
  <w:comment w:author="Claudia Milena Hernández Naranjo" w:id="9" w:date="2021-09-25T02:38:58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4" w:date="2021-09-24T03:42:58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una imagen similar de un líder relacionándose con su equipo: https://www.istockphoto.com/es/foto/feliz-l%C3%ADder-femenina-hablando-con-sus-colegas-en-una-reuni%C3%B3n-de-negocios-en-la-oficina-gm1249996253-364431265</w:t>
      </w:r>
    </w:p>
  </w:comment>
  <w:comment w:author="Claudia Milena Hernández Naranjo" w:id="2" w:date="2021-09-25T03:24:24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CF03_1_1_oficial</w:t>
      </w:r>
    </w:p>
  </w:comment>
  <w:comment w:author="Claudia Milena Hernández Naranjo" w:id="1" w:date="2021-09-24T03:15:1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una imagen parecida a la del ejemplo tomada</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de: https://www.asmetsalud.com/static/0a229013493501c205392e9884d24f9a/0c80ddce8905172614a5f30f094ab983.pdf</w:t>
      </w:r>
    </w:p>
  </w:comment>
  <w:comment w:author="Claudia Milena Hernández Naranjo" w:id="7" w:date="2021-09-24T11:33:02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aplicar Cajón texto color tipo A. Se recomienda recrear imagen sobre información de los clientes: https://www.istockphoto.com/es/vector/archivo-icono-plana-gm838071400-136346293</w:t>
      </w:r>
    </w:p>
  </w:comment>
  <w:comment w:author="Claudia Milena Hernández Naranjo" w:id="12" w:date="2021-09-25T03:12:39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https://www.youtube.com/watch?v=4olduv0rqtY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5D" w15:done="0"/>
  <w15:commentEx w15:paraId="0000015E" w15:done="0"/>
  <w15:commentEx w15:paraId="0000015F" w15:done="0"/>
  <w15:commentEx w15:paraId="00000160" w15:done="0"/>
  <w15:commentEx w15:paraId="00000161" w15:done="0"/>
  <w15:commentEx w15:paraId="00000162" w15:done="0"/>
  <w15:commentEx w15:paraId="00000164" w15:done="0"/>
  <w15:commentEx w15:paraId="00000165" w15:done="0"/>
  <w15:commentEx w15:paraId="00000167" w15:done="0"/>
  <w15:commentEx w15:paraId="00000168" w15:done="0"/>
  <w15:commentEx w15:paraId="0000016B" w15:done="0"/>
  <w15:commentEx w15:paraId="0000016C" w15:done="0"/>
  <w15:commentEx w15:paraId="0000016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2491105</wp:posOffset>
          </wp:positionH>
          <wp:positionV relativeFrom="page">
            <wp:posOffset>228600</wp:posOffset>
          </wp:positionV>
          <wp:extent cx="629920" cy="588645"/>
          <wp:effectExtent b="0" l="0" r="0" t="0"/>
          <wp:wrapSquare wrapText="bothSides" distB="0" distT="0" distL="114300" distR="114300"/>
          <wp:docPr id="565" name="image2.png"/>
          <a:graphic>
            <a:graphicData uri="http://schemas.openxmlformats.org/drawingml/2006/picture">
              <pic:pic>
                <pic:nvPicPr>
                  <pic:cNvPr id="0" name="image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0" w:hanging="720"/>
      </w:pPr>
      <w:rPr/>
    </w:lvl>
    <w:lvl w:ilvl="1">
      <w:start w:val="1"/>
      <w:numFmt w:val="decimal"/>
      <w:lvlText w:val="%2."/>
      <w:lvlJc w:val="left"/>
      <w:pPr>
        <w:ind w:left="720" w:hanging="720"/>
      </w:pPr>
      <w:rPr/>
    </w:lvl>
    <w:lvl w:ilvl="2">
      <w:start w:val="1"/>
      <w:numFmt w:val="decimal"/>
      <w:lvlText w:val="%3."/>
      <w:lvlJc w:val="left"/>
      <w:pPr>
        <w:ind w:left="1440" w:hanging="720"/>
      </w:pPr>
      <w:rPr/>
    </w:lvl>
    <w:lvl w:ilvl="3">
      <w:start w:val="1"/>
      <w:numFmt w:val="decimal"/>
      <w:lvlText w:val="%4."/>
      <w:lvlJc w:val="left"/>
      <w:pPr>
        <w:ind w:left="2160" w:hanging="720"/>
      </w:pPr>
      <w:rPr/>
    </w:lvl>
    <w:lvl w:ilvl="4">
      <w:start w:val="1"/>
      <w:numFmt w:val="decimal"/>
      <w:lvlText w:val="%5."/>
      <w:lvlJc w:val="left"/>
      <w:pPr>
        <w:ind w:left="2880" w:hanging="720"/>
      </w:pPr>
      <w:rPr/>
    </w:lvl>
    <w:lvl w:ilvl="5">
      <w:start w:val="1"/>
      <w:numFmt w:val="decimal"/>
      <w:lvlText w:val="%6."/>
      <w:lvlJc w:val="left"/>
      <w:pPr>
        <w:ind w:left="3600" w:hanging="720"/>
      </w:pPr>
      <w:rPr/>
    </w:lvl>
    <w:lvl w:ilvl="6">
      <w:start w:val="1"/>
      <w:numFmt w:val="decimal"/>
      <w:lvlText w:val="%7."/>
      <w:lvlJc w:val="left"/>
      <w:pPr>
        <w:ind w:left="4320" w:hanging="720"/>
      </w:pPr>
      <w:rPr/>
    </w:lvl>
    <w:lvl w:ilvl="7">
      <w:start w:val="1"/>
      <w:numFmt w:val="decimal"/>
      <w:lvlText w:val="%8."/>
      <w:lvlJc w:val="left"/>
      <w:pPr>
        <w:ind w:left="5040" w:hanging="720"/>
      </w:pPr>
      <w:rPr/>
    </w:lvl>
    <w:lvl w:ilvl="8">
      <w:start w:val="1"/>
      <w:numFmt w:val="decimal"/>
      <w:lvlText w:val="%9."/>
      <w:lvlJc w:val="left"/>
      <w:pPr>
        <w:ind w:left="5760" w:hanging="72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360" w:hanging="360"/>
      </w:pPr>
      <w:rPr/>
    </w:lvl>
    <w:lvl w:ilvl="1">
      <w:start w:val="1"/>
      <w:numFmt w:val="decimal"/>
      <w:lvlText w:val="%1.%2"/>
      <w:lvlJc w:val="left"/>
      <w:pPr>
        <w:ind w:left="644" w:hanging="357.99999999999983"/>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880" w:hanging="36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hanging="720"/>
      <w:jc w:val="center"/>
    </w:pPr>
    <w:rPr>
      <w:b w:val="1"/>
      <w:sz w:val="20"/>
      <w:szCs w:val="20"/>
    </w:rPr>
  </w:style>
  <w:style w:type="paragraph" w:styleId="Heading2">
    <w:name w:val="heading 2"/>
    <w:basedOn w:val="Normal"/>
    <w:next w:val="Normal"/>
    <w:pPr>
      <w:keepNext w:val="1"/>
      <w:keepLines w:val="1"/>
      <w:spacing w:before="40" w:lineRule="auto"/>
      <w:ind w:left="0" w:firstLine="0"/>
    </w:pPr>
    <w:rPr>
      <w:b w:val="1"/>
      <w:sz w:val="20"/>
      <w:szCs w:val="20"/>
    </w:rPr>
  </w:style>
  <w:style w:type="paragraph" w:styleId="Heading3">
    <w:name w:val="heading 3"/>
    <w:basedOn w:val="Normal"/>
    <w:next w:val="Normal"/>
    <w:pPr>
      <w:keepNext w:val="1"/>
      <w:keepLines w:val="1"/>
      <w:spacing w:before="40" w:lineRule="auto"/>
      <w:ind w:left="0" w:firstLine="0"/>
    </w:pPr>
    <w:rPr>
      <w:b w:val="1"/>
      <w:i w:val="1"/>
      <w:sz w:val="20"/>
      <w:szCs w:val="20"/>
    </w:rPr>
  </w:style>
  <w:style w:type="paragraph" w:styleId="Heading4">
    <w:name w:val="heading 4"/>
    <w:basedOn w:val="Normal"/>
    <w:next w:val="Normal"/>
    <w:pPr>
      <w:keepNext w:val="1"/>
      <w:keepLines w:val="1"/>
      <w:spacing w:after="40" w:before="240" w:lineRule="auto"/>
      <w:ind w:left="2160" w:hanging="720"/>
    </w:pPr>
    <w:rPr>
      <w:b w:val="1"/>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05F5D"/>
  </w:style>
  <w:style w:type="paragraph" w:styleId="Ttulo1">
    <w:name w:val="heading 1"/>
    <w:basedOn w:val="Normal"/>
    <w:next w:val="Normal"/>
    <w:link w:val="Ttulo1Car"/>
    <w:uiPriority w:val="9"/>
    <w:qFormat w:val="1"/>
    <w:rsid w:val="00365041"/>
    <w:pPr>
      <w:keepNext w:val="1"/>
      <w:keepLines w:val="1"/>
      <w:numPr>
        <w:numId w:val="8"/>
      </w:numPr>
      <w:spacing w:after="120" w:before="400"/>
      <w:jc w:val="center"/>
      <w:outlineLvl w:val="0"/>
    </w:pPr>
    <w:rPr>
      <w:b w:val="1"/>
      <w:sz w:val="20"/>
      <w:szCs w:val="40"/>
    </w:rPr>
  </w:style>
  <w:style w:type="paragraph" w:styleId="Ttulo2">
    <w:name w:val="heading 2"/>
    <w:basedOn w:val="Normal"/>
    <w:next w:val="Normal"/>
    <w:link w:val="Ttulo2Car"/>
    <w:uiPriority w:val="9"/>
    <w:semiHidden w:val="1"/>
    <w:unhideWhenUsed w:val="1"/>
    <w:qFormat w:val="1"/>
    <w:rsid w:val="00815169"/>
    <w:pPr>
      <w:keepNext w:val="1"/>
      <w:keepLines w:val="1"/>
      <w:numPr>
        <w:ilvl w:val="1"/>
        <w:numId w:val="8"/>
      </w:numPr>
      <w:spacing w:before="40"/>
      <w:ind w:left="0" w:firstLine="0"/>
      <w:outlineLvl w:val="1"/>
    </w:pPr>
    <w:rPr>
      <w:rFonts w:cstheme="majorBidi" w:eastAsiaTheme="majorEastAsia"/>
      <w:b w:val="1"/>
      <w:sz w:val="20"/>
      <w:szCs w:val="26"/>
    </w:rPr>
  </w:style>
  <w:style w:type="paragraph" w:styleId="Ttulo3">
    <w:name w:val="heading 3"/>
    <w:basedOn w:val="Normal"/>
    <w:next w:val="Normal"/>
    <w:link w:val="Ttulo3Car"/>
    <w:uiPriority w:val="9"/>
    <w:semiHidden w:val="1"/>
    <w:unhideWhenUsed w:val="1"/>
    <w:qFormat w:val="1"/>
    <w:rsid w:val="00815169"/>
    <w:pPr>
      <w:keepNext w:val="1"/>
      <w:keepLines w:val="1"/>
      <w:numPr>
        <w:ilvl w:val="2"/>
        <w:numId w:val="8"/>
      </w:numPr>
      <w:spacing w:before="40"/>
      <w:ind w:left="0" w:firstLine="0"/>
      <w:outlineLvl w:val="2"/>
    </w:pPr>
    <w:rPr>
      <w:rFonts w:cstheme="majorBidi" w:eastAsiaTheme="majorEastAsia"/>
      <w:b w:val="1"/>
      <w:i w:val="1"/>
      <w:sz w:val="20"/>
      <w:szCs w:val="24"/>
    </w:rPr>
  </w:style>
  <w:style w:type="paragraph" w:styleId="Ttulo4">
    <w:name w:val="heading 4"/>
    <w:basedOn w:val="Normal"/>
    <w:next w:val="Normal"/>
    <w:uiPriority w:val="9"/>
    <w:semiHidden w:val="1"/>
    <w:unhideWhenUsed w:val="1"/>
    <w:qFormat w:val="1"/>
    <w:rsid w:val="00815169"/>
    <w:pPr>
      <w:keepNext w:val="1"/>
      <w:keepLines w:val="1"/>
      <w:numPr>
        <w:ilvl w:val="3"/>
        <w:numId w:val="8"/>
      </w:numPr>
      <w:spacing w:after="40" w:before="240"/>
      <w:outlineLvl w:val="3"/>
    </w:pPr>
    <w:rPr>
      <w:b w:val="1"/>
      <w:sz w:val="20"/>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table" w:styleId="TableNormal6" w:customStyle="1">
    <w:name w:val="Table Normal"/>
    <w:tblPr>
      <w:tblCellMar>
        <w:top w:w="0.0" w:type="dxa"/>
        <w:left w:w="0.0" w:type="dxa"/>
        <w:bottom w:w="0.0" w:type="dxa"/>
        <w:right w:w="0.0" w:type="dxa"/>
      </w:tblCellMar>
    </w:tblPr>
  </w:style>
  <w:style w:type="paragraph" w:styleId="Encabezado">
    <w:name w:val="header"/>
    <w:basedOn w:val="Normal"/>
    <w:link w:val="EncabezadoCar"/>
    <w:uiPriority w:val="99"/>
    <w:unhideWhenUsed w:val="1"/>
    <w:rsid w:val="00E05F5D"/>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E05F5D"/>
  </w:style>
  <w:style w:type="paragraph" w:styleId="Piedepgina">
    <w:name w:val="footer"/>
    <w:basedOn w:val="Normal"/>
    <w:link w:val="PiedepginaCar"/>
    <w:uiPriority w:val="99"/>
    <w:unhideWhenUsed w:val="1"/>
    <w:rsid w:val="00E05F5D"/>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E05F5D"/>
  </w:style>
  <w:style w:type="paragraph" w:styleId="Descripcin">
    <w:name w:val="caption"/>
    <w:basedOn w:val="Normal"/>
    <w:next w:val="Normal"/>
    <w:uiPriority w:val="35"/>
    <w:unhideWhenUsed w:val="1"/>
    <w:qFormat w:val="1"/>
    <w:rsid w:val="00B9559F"/>
    <w:pPr>
      <w:spacing w:after="200" w:line="240" w:lineRule="auto"/>
    </w:pPr>
    <w:rPr>
      <w:i w:val="1"/>
      <w:iCs w:val="1"/>
      <w:color w:val="335b74" w:themeColor="text2"/>
      <w:sz w:val="18"/>
      <w:szCs w:val="18"/>
    </w:rPr>
  </w:style>
  <w:style w:type="paragraph" w:styleId="Tabladeilustraciones">
    <w:name w:val="table of figures"/>
    <w:basedOn w:val="Normal"/>
    <w:next w:val="Normal"/>
    <w:uiPriority w:val="99"/>
    <w:unhideWhenUsed w:val="1"/>
    <w:rsid w:val="00B9559F"/>
    <w:rPr>
      <w:sz w:val="20"/>
    </w:rPr>
  </w:style>
  <w:style w:type="paragraph" w:styleId="Prrafodelista">
    <w:name w:val="List Paragraph"/>
    <w:basedOn w:val="Normal"/>
    <w:uiPriority w:val="34"/>
    <w:qFormat w:val="1"/>
    <w:rsid w:val="00F90218"/>
    <w:pPr>
      <w:ind w:left="720"/>
      <w:contextualSpacing w:val="1"/>
    </w:pPr>
  </w:style>
  <w:style w:type="character" w:styleId="Ttulo1Car" w:customStyle="1">
    <w:name w:val="Título 1 Car"/>
    <w:basedOn w:val="Fuentedeprrafopredeter"/>
    <w:link w:val="Ttulo1"/>
    <w:uiPriority w:val="9"/>
    <w:rsid w:val="00365041"/>
    <w:rPr>
      <w:rFonts w:ascii="Arial" w:cs="Arial" w:eastAsia="Arial" w:hAnsi="Arial"/>
      <w:b w:val="1"/>
      <w:sz w:val="20"/>
      <w:szCs w:val="40"/>
    </w:rPr>
  </w:style>
  <w:style w:type="paragraph" w:styleId="Bibliografa">
    <w:name w:val="Bibliography"/>
    <w:basedOn w:val="Normal"/>
    <w:next w:val="Normal"/>
    <w:uiPriority w:val="37"/>
    <w:unhideWhenUsed w:val="1"/>
    <w:rsid w:val="0059443B"/>
  </w:style>
  <w:style w:type="character" w:styleId="Hipervnculo">
    <w:name w:val="Hyperlink"/>
    <w:basedOn w:val="Fuentedeprrafopredeter"/>
    <w:uiPriority w:val="99"/>
    <w:unhideWhenUsed w:val="1"/>
    <w:rsid w:val="0059443B"/>
    <w:rPr>
      <w:color w:val="6eac1c" w:themeColor="hyperlink"/>
      <w:u w:val="single"/>
    </w:rPr>
  </w:style>
  <w:style w:type="character" w:styleId="Ttulo2Car" w:customStyle="1">
    <w:name w:val="Título 2 Car"/>
    <w:basedOn w:val="Fuentedeprrafopredeter"/>
    <w:link w:val="Ttulo2"/>
    <w:uiPriority w:val="9"/>
    <w:rsid w:val="00815169"/>
    <w:rPr>
      <w:rFonts w:cstheme="majorBidi" w:eastAsiaTheme="majorEastAsia"/>
      <w:b w:val="1"/>
      <w:sz w:val="20"/>
      <w:szCs w:val="26"/>
    </w:rPr>
  </w:style>
  <w:style w:type="numbering" w:styleId="Miestilo" w:customStyle="1">
    <w:name w:val="Mi estilo"/>
    <w:uiPriority w:val="99"/>
    <w:rsid w:val="00BB457F"/>
  </w:style>
  <w:style w:type="paragraph" w:styleId="TtuloTDC">
    <w:name w:val="TOC Heading"/>
    <w:basedOn w:val="Ttulo1"/>
    <w:next w:val="Normal"/>
    <w:uiPriority w:val="39"/>
    <w:unhideWhenUsed w:val="1"/>
    <w:qFormat w:val="1"/>
    <w:rsid w:val="00530A79"/>
    <w:pPr>
      <w:numPr>
        <w:numId w:val="0"/>
      </w:numPr>
      <w:spacing w:after="0" w:before="240" w:line="259" w:lineRule="auto"/>
      <w:jc w:val="left"/>
      <w:outlineLvl w:val="9"/>
    </w:pPr>
    <w:rPr>
      <w:rFonts w:asciiTheme="majorHAnsi" w:cstheme="majorBidi" w:eastAsiaTheme="majorEastAsia" w:hAnsiTheme="majorHAnsi"/>
      <w:b w:val="0"/>
      <w:color w:val="1481ab" w:themeColor="accent1" w:themeShade="0000BF"/>
      <w:sz w:val="32"/>
      <w:szCs w:val="32"/>
    </w:rPr>
  </w:style>
  <w:style w:type="character" w:styleId="Ttulo3Car" w:customStyle="1">
    <w:name w:val="Título 3 Car"/>
    <w:basedOn w:val="Fuentedeprrafopredeter"/>
    <w:link w:val="Ttulo3"/>
    <w:uiPriority w:val="9"/>
    <w:rsid w:val="00815169"/>
    <w:rPr>
      <w:rFonts w:cstheme="majorBidi" w:eastAsiaTheme="majorEastAsia"/>
      <w:b w:val="1"/>
      <w:i w:val="1"/>
      <w:sz w:val="20"/>
      <w:szCs w:val="24"/>
    </w:rPr>
  </w:style>
  <w:style w:type="paragraph" w:styleId="ndice1">
    <w:name w:val="index 1"/>
    <w:basedOn w:val="Normal"/>
    <w:next w:val="Normal"/>
    <w:autoRedefine w:val="1"/>
    <w:uiPriority w:val="99"/>
    <w:semiHidden w:val="1"/>
    <w:unhideWhenUsed w:val="1"/>
    <w:rsid w:val="00530A79"/>
    <w:pPr>
      <w:spacing w:line="240" w:lineRule="auto"/>
      <w:ind w:left="220" w:hanging="220"/>
    </w:pPr>
    <w:rPr>
      <w:sz w:val="20"/>
    </w:rPr>
  </w:style>
  <w:style w:type="paragraph" w:styleId="TDC1">
    <w:name w:val="toc 1"/>
    <w:basedOn w:val="Normal"/>
    <w:next w:val="Normal"/>
    <w:autoRedefine w:val="1"/>
    <w:uiPriority w:val="39"/>
    <w:unhideWhenUsed w:val="1"/>
    <w:rsid w:val="00530A79"/>
    <w:pPr>
      <w:spacing w:after="100"/>
    </w:pPr>
    <w:rPr>
      <w:sz w:val="20"/>
    </w:rPr>
  </w:style>
  <w:style w:type="paragraph" w:styleId="TDC2">
    <w:name w:val="toc 2"/>
    <w:basedOn w:val="Normal"/>
    <w:next w:val="Normal"/>
    <w:autoRedefine w:val="1"/>
    <w:uiPriority w:val="39"/>
    <w:unhideWhenUsed w:val="1"/>
    <w:rsid w:val="00530A79"/>
    <w:pPr>
      <w:spacing w:after="100"/>
      <w:ind w:left="220"/>
    </w:pPr>
  </w:style>
  <w:style w:type="paragraph" w:styleId="TDC3">
    <w:name w:val="toc 3"/>
    <w:basedOn w:val="Normal"/>
    <w:next w:val="Normal"/>
    <w:autoRedefine w:val="1"/>
    <w:uiPriority w:val="39"/>
    <w:unhideWhenUsed w:val="1"/>
    <w:rsid w:val="00530A79"/>
    <w:pPr>
      <w:spacing w:after="100"/>
      <w:ind w:left="440"/>
    </w:p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6"/>
    <w:tblPr>
      <w:tblStyleRowBandSize w:val="1"/>
      <w:tblStyleColBandSize w:val="1"/>
      <w:tblCellMar>
        <w:left w:w="115.0" w:type="dxa"/>
        <w:right w:w="115.0" w:type="dxa"/>
      </w:tblCellMar>
    </w:tblPr>
  </w:style>
  <w:style w:type="table" w:styleId="a0" w:customStyle="1">
    <w:basedOn w:val="TableNormal6"/>
    <w:tblPr>
      <w:tblStyleRowBandSize w:val="1"/>
      <w:tblStyleColBandSize w:val="1"/>
      <w:tblCellMar>
        <w:left w:w="115.0" w:type="dxa"/>
        <w:right w:w="115.0" w:type="dxa"/>
      </w:tblCellMar>
    </w:tblPr>
  </w:style>
  <w:style w:type="table" w:styleId="a1" w:customStyle="1">
    <w:basedOn w:val="TableNormal6"/>
    <w:tblPr>
      <w:tblStyleRowBandSize w:val="1"/>
      <w:tblStyleColBandSize w:val="1"/>
      <w:tblCellMar>
        <w:left w:w="115.0" w:type="dxa"/>
        <w:right w:w="115.0" w:type="dxa"/>
      </w:tblCellMar>
    </w:tblPr>
  </w:style>
  <w:style w:type="table" w:styleId="a2" w:customStyle="1">
    <w:basedOn w:val="TableNormal6"/>
    <w:tblPr>
      <w:tblStyleRowBandSize w:val="1"/>
      <w:tblStyleColBandSize w:val="1"/>
      <w:tblCellMar>
        <w:left w:w="115.0" w:type="dxa"/>
        <w:right w:w="115.0" w:type="dxa"/>
      </w:tblCellMar>
    </w:tblPr>
  </w:style>
  <w:style w:type="table" w:styleId="a3" w:customStyle="1">
    <w:basedOn w:val="TableNormal6"/>
    <w:tblPr>
      <w:tblStyleRowBandSize w:val="1"/>
      <w:tblStyleColBandSize w:val="1"/>
      <w:tblCellMar>
        <w:left w:w="115.0" w:type="dxa"/>
        <w:right w:w="115.0" w:type="dxa"/>
      </w:tblCellMar>
    </w:tblPr>
  </w:style>
  <w:style w:type="table" w:styleId="a4" w:customStyle="1">
    <w:basedOn w:val="TableNormal6"/>
    <w:tblPr>
      <w:tblStyleRowBandSize w:val="1"/>
      <w:tblStyleColBandSize w:val="1"/>
      <w:tblCellMar>
        <w:left w:w="115.0" w:type="dxa"/>
        <w:right w:w="115.0" w:type="dxa"/>
      </w:tblCellMar>
    </w:tblPr>
  </w:style>
  <w:style w:type="table" w:styleId="a5" w:customStyle="1">
    <w:basedOn w:val="TableNormal6"/>
    <w:tblPr>
      <w:tblStyleRowBandSize w:val="1"/>
      <w:tblStyleColBandSize w:val="1"/>
      <w:tblCellMar>
        <w:left w:w="115.0" w:type="dxa"/>
        <w:right w:w="115.0" w:type="dxa"/>
      </w:tblCellMar>
    </w:tblPr>
  </w:style>
  <w:style w:type="table" w:styleId="a6" w:customStyle="1">
    <w:basedOn w:val="TableNormal6"/>
    <w:tblPr>
      <w:tblStyleRowBandSize w:val="1"/>
      <w:tblStyleColBandSize w:val="1"/>
      <w:tblCellMar>
        <w:left w:w="115.0" w:type="dxa"/>
        <w:right w:w="115.0" w:type="dxa"/>
      </w:tblCellMar>
    </w:tblPr>
  </w:style>
  <w:style w:type="table" w:styleId="a7" w:customStyle="1">
    <w:basedOn w:val="TableNormal6"/>
    <w:tblPr>
      <w:tblStyleRowBandSize w:val="1"/>
      <w:tblStyleColBandSize w:val="1"/>
      <w:tblCellMar>
        <w:left w:w="115.0" w:type="dxa"/>
        <w:right w:w="115.0" w:type="dxa"/>
      </w:tblCellMar>
    </w:tblPr>
  </w:style>
  <w:style w:type="table" w:styleId="a8" w:customStyle="1">
    <w:basedOn w:val="TableNormal6"/>
    <w:tblPr>
      <w:tblStyleRowBandSize w:val="1"/>
      <w:tblStyleColBandSize w:val="1"/>
      <w:tblCellMar>
        <w:left w:w="115.0" w:type="dxa"/>
        <w:right w:w="115.0" w:type="dxa"/>
      </w:tblCellMar>
    </w:tblPr>
  </w:style>
  <w:style w:type="table" w:styleId="a9" w:customStyle="1">
    <w:basedOn w:val="TableNormal6"/>
    <w:tblPr>
      <w:tblStyleRowBandSize w:val="1"/>
      <w:tblStyleColBandSize w:val="1"/>
      <w:tblCellMar>
        <w:left w:w="115.0" w:type="dxa"/>
        <w:right w:w="115.0" w:type="dxa"/>
      </w:tblCellMar>
    </w:tblPr>
  </w:style>
  <w:style w:type="table" w:styleId="aa" w:customStyle="1">
    <w:basedOn w:val="TableNormal6"/>
    <w:tblPr>
      <w:tblStyleRowBandSize w:val="1"/>
      <w:tblStyleColBandSize w:val="1"/>
      <w:tblCellMar>
        <w:left w:w="115.0" w:type="dxa"/>
        <w:right w:w="115.0" w:type="dxa"/>
      </w:tblCellMar>
    </w:tblPr>
  </w:style>
  <w:style w:type="table" w:styleId="ab" w:customStyle="1">
    <w:basedOn w:val="TableNormal6"/>
    <w:tblPr>
      <w:tblStyleRowBandSize w:val="1"/>
      <w:tblStyleColBandSize w:val="1"/>
      <w:tblCellMar>
        <w:left w:w="115.0" w:type="dxa"/>
        <w:right w:w="115.0" w:type="dxa"/>
      </w:tblCellMar>
    </w:tblPr>
  </w:style>
  <w:style w:type="table" w:styleId="ac" w:customStyle="1">
    <w:basedOn w:val="TableNormal6"/>
    <w:tblPr>
      <w:tblStyleRowBandSize w:val="1"/>
      <w:tblStyleColBandSize w:val="1"/>
      <w:tblCellMar>
        <w:left w:w="115.0" w:type="dxa"/>
        <w:right w:w="115.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table" w:styleId="ad" w:customStyle="1">
    <w:basedOn w:val="TableNormal6"/>
    <w:tblPr>
      <w:tblStyleRowBandSize w:val="1"/>
      <w:tblStyleColBandSize w:val="1"/>
      <w:tblCellMar>
        <w:left w:w="115.0" w:type="dxa"/>
        <w:right w:w="115.0" w:type="dxa"/>
      </w:tblCellMar>
    </w:tblPr>
  </w:style>
  <w:style w:type="table" w:styleId="ae" w:customStyle="1">
    <w:basedOn w:val="TableNormal6"/>
    <w:tblPr>
      <w:tblStyleRowBandSize w:val="1"/>
      <w:tblStyleColBandSize w:val="1"/>
      <w:tblCellMar>
        <w:left w:w="115.0" w:type="dxa"/>
        <w:right w:w="115.0" w:type="dxa"/>
      </w:tblCellMar>
    </w:tblPr>
  </w:style>
  <w:style w:type="table" w:styleId="af" w:customStyle="1">
    <w:basedOn w:val="TableNormal6"/>
    <w:tblPr>
      <w:tblStyleRowBandSize w:val="1"/>
      <w:tblStyleColBandSize w:val="1"/>
      <w:tblCellMar>
        <w:left w:w="115.0" w:type="dxa"/>
        <w:right w:w="115.0" w:type="dxa"/>
      </w:tblCellMar>
    </w:tblPr>
  </w:style>
  <w:style w:type="table" w:styleId="af0" w:customStyle="1">
    <w:basedOn w:val="TableNormal6"/>
    <w:tblPr>
      <w:tblStyleRowBandSize w:val="1"/>
      <w:tblStyleColBandSize w:val="1"/>
      <w:tblCellMar>
        <w:left w:w="115.0" w:type="dxa"/>
        <w:right w:w="115.0" w:type="dxa"/>
      </w:tblCellMar>
    </w:tblPr>
  </w:style>
  <w:style w:type="table" w:styleId="af1" w:customStyle="1">
    <w:basedOn w:val="TableNormal6"/>
    <w:tblPr>
      <w:tblStyleRowBandSize w:val="1"/>
      <w:tblStyleColBandSize w:val="1"/>
      <w:tblCellMar>
        <w:left w:w="115.0" w:type="dxa"/>
        <w:right w:w="115.0" w:type="dxa"/>
      </w:tblCellMar>
    </w:tblPr>
  </w:style>
  <w:style w:type="table" w:styleId="af2" w:customStyle="1">
    <w:basedOn w:val="TableNormal6"/>
    <w:tblPr>
      <w:tblStyleRowBandSize w:val="1"/>
      <w:tblStyleColBandSize w:val="1"/>
      <w:tblCellMar>
        <w:left w:w="115.0" w:type="dxa"/>
        <w:right w:w="115.0" w:type="dxa"/>
      </w:tblCellMar>
    </w:tblPr>
  </w:style>
  <w:style w:type="table" w:styleId="af3" w:customStyle="1">
    <w:basedOn w:val="TableNormal6"/>
    <w:tblPr>
      <w:tblStyleRowBandSize w:val="1"/>
      <w:tblStyleColBandSize w:val="1"/>
      <w:tblCellMar>
        <w:left w:w="115.0" w:type="dxa"/>
        <w:right w:w="115.0" w:type="dxa"/>
      </w:tblCellMar>
    </w:tblPr>
  </w:style>
  <w:style w:type="table" w:styleId="af4" w:customStyle="1">
    <w:basedOn w:val="TableNormal6"/>
    <w:tblPr>
      <w:tblStyleRowBandSize w:val="1"/>
      <w:tblStyleColBandSize w:val="1"/>
      <w:tblCellMar>
        <w:left w:w="115.0" w:type="dxa"/>
        <w:right w:w="115.0" w:type="dxa"/>
      </w:tblCellMar>
    </w:tblPr>
  </w:style>
  <w:style w:type="table" w:styleId="af5" w:customStyle="1">
    <w:basedOn w:val="TableNormal6"/>
    <w:tblPr>
      <w:tblStyleRowBandSize w:val="1"/>
      <w:tblStyleColBandSize w:val="1"/>
      <w:tblCellMar>
        <w:left w:w="115.0" w:type="dxa"/>
        <w:right w:w="115.0" w:type="dxa"/>
      </w:tblCellMar>
    </w:tblPr>
  </w:style>
  <w:style w:type="table" w:styleId="af6" w:customStyle="1">
    <w:basedOn w:val="TableNormal6"/>
    <w:tblPr>
      <w:tblStyleRowBandSize w:val="1"/>
      <w:tblStyleColBandSize w:val="1"/>
      <w:tblCellMar>
        <w:left w:w="115.0" w:type="dxa"/>
        <w:right w:w="115.0" w:type="dxa"/>
      </w:tblCellMar>
    </w:tblPr>
  </w:style>
  <w:style w:type="table" w:styleId="af7" w:customStyle="1">
    <w:basedOn w:val="TableNormal6"/>
    <w:tblPr>
      <w:tblStyleRowBandSize w:val="1"/>
      <w:tblStyleColBandSize w:val="1"/>
      <w:tblCellMar>
        <w:left w:w="115.0" w:type="dxa"/>
        <w:right w:w="115.0" w:type="dxa"/>
      </w:tblCellMar>
    </w:tblPr>
  </w:style>
  <w:style w:type="table" w:styleId="af8" w:customStyle="1">
    <w:basedOn w:val="TableNormal6"/>
    <w:tblPr>
      <w:tblStyleRowBandSize w:val="1"/>
      <w:tblStyleColBandSize w:val="1"/>
      <w:tblCellMar>
        <w:left w:w="115.0" w:type="dxa"/>
        <w:right w:w="115.0" w:type="dxa"/>
      </w:tblCellMar>
    </w:tblPr>
  </w:style>
  <w:style w:type="table" w:styleId="af9" w:customStyle="1">
    <w:basedOn w:val="TableNormal6"/>
    <w:tblPr>
      <w:tblStyleRowBandSize w:val="1"/>
      <w:tblStyleColBandSize w:val="1"/>
      <w:tblCellMar>
        <w:left w:w="115.0" w:type="dxa"/>
        <w:right w:w="115.0" w:type="dxa"/>
      </w:tblCellMar>
    </w:tblPr>
  </w:style>
  <w:style w:type="table" w:styleId="afa" w:customStyle="1">
    <w:basedOn w:val="TableNormal6"/>
    <w:tblPr>
      <w:tblStyleRowBandSize w:val="1"/>
      <w:tblStyleColBandSize w:val="1"/>
      <w:tblCellMar>
        <w:left w:w="115.0" w:type="dxa"/>
        <w:right w:w="115.0" w:type="dxa"/>
      </w:tblCellMar>
    </w:tblPr>
  </w:style>
  <w:style w:type="numbering" w:styleId="Estilo1" w:customStyle="1">
    <w:name w:val="Estilo1"/>
    <w:uiPriority w:val="99"/>
    <w:rsid w:val="00815169"/>
  </w:style>
  <w:style w:type="table" w:styleId="Tablanormal3">
    <w:name w:val="Plain Table 3"/>
    <w:basedOn w:val="Tablanormal"/>
    <w:uiPriority w:val="43"/>
    <w:rsid w:val="007673E6"/>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Tablanormal2">
    <w:name w:val="Plain Table 2"/>
    <w:basedOn w:val="Tablanormal"/>
    <w:uiPriority w:val="42"/>
    <w:rsid w:val="007673E6"/>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TDC4">
    <w:name w:val="toc 4"/>
    <w:basedOn w:val="Normal"/>
    <w:next w:val="Normal"/>
    <w:autoRedefine w:val="1"/>
    <w:uiPriority w:val="39"/>
    <w:unhideWhenUsed w:val="1"/>
    <w:rsid w:val="007673E6"/>
    <w:pPr>
      <w:spacing w:after="100"/>
      <w:ind w:left="660"/>
    </w:pPr>
  </w:style>
  <w:style w:type="table" w:styleId="afb" w:customStyle="1">
    <w:basedOn w:val="TableNormal5"/>
    <w:tblPr>
      <w:tblStyleRowBandSize w:val="1"/>
      <w:tblStyleColBandSize w:val="1"/>
      <w:tblCellMar>
        <w:left w:w="115.0" w:type="dxa"/>
        <w:right w:w="115.0" w:type="dxa"/>
      </w:tblCellMar>
    </w:tblPr>
  </w:style>
  <w:style w:type="table" w:styleId="afc" w:customStyle="1">
    <w:basedOn w:val="TableNormal5"/>
    <w:tblPr>
      <w:tblStyleRowBandSize w:val="1"/>
      <w:tblStyleColBandSize w:val="1"/>
      <w:tblCellMar>
        <w:left w:w="115.0" w:type="dxa"/>
        <w:right w:w="115.0" w:type="dxa"/>
      </w:tblCellMar>
    </w:tblPr>
  </w:style>
  <w:style w:type="table" w:styleId="afd" w:customStyle="1">
    <w:basedOn w:val="TableNormal5"/>
    <w:tblPr>
      <w:tblStyleRowBandSize w:val="1"/>
      <w:tblStyleColBandSize w:val="1"/>
      <w:tblCellMar>
        <w:left w:w="115.0" w:type="dxa"/>
        <w:right w:w="115.0" w:type="dxa"/>
      </w:tblCellMar>
    </w:tblPr>
  </w:style>
  <w:style w:type="table" w:styleId="afe" w:customStyle="1">
    <w:basedOn w:val="TableNormal5"/>
    <w:tblPr>
      <w:tblStyleRowBandSize w:val="1"/>
      <w:tblStyleColBandSize w:val="1"/>
      <w:tblCellMar>
        <w:left w:w="115.0" w:type="dxa"/>
        <w:right w:w="115.0" w:type="dxa"/>
      </w:tblCellMar>
    </w:tblPr>
  </w:style>
  <w:style w:type="table" w:styleId="aff" w:customStyle="1">
    <w:basedOn w:val="TableNormal5"/>
    <w:tblPr>
      <w:tblStyleRowBandSize w:val="1"/>
      <w:tblStyleColBandSize w:val="1"/>
      <w:tblCellMar>
        <w:left w:w="115.0" w:type="dxa"/>
        <w:right w:w="115.0" w:type="dxa"/>
      </w:tblCellMar>
    </w:tblPr>
  </w:style>
  <w:style w:type="table" w:styleId="aff0" w:customStyle="1">
    <w:basedOn w:val="TableNormal5"/>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1" w:customStyle="1">
    <w:basedOn w:val="TableNormal5"/>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2" w:customStyle="1">
    <w:basedOn w:val="TableNormal5"/>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3" w:customStyle="1">
    <w:basedOn w:val="TableNormal5"/>
    <w:pPr>
      <w:spacing w:line="240" w:lineRule="auto"/>
    </w:pPr>
    <w:tblPr>
      <w:tblStyleRowBandSize w:val="1"/>
      <w:tblStyleColBandSize w:val="1"/>
      <w:tblCellMar>
        <w:left w:w="108.0" w:type="dxa"/>
        <w:right w:w="108.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4" w:customStyle="1">
    <w:basedOn w:val="TableNormal5"/>
    <w:tblPr>
      <w:tblStyleRowBandSize w:val="1"/>
      <w:tblStyleColBandSize w:val="1"/>
      <w:tblCellMar>
        <w:left w:w="115.0" w:type="dxa"/>
        <w:right w:w="115.0" w:type="dxa"/>
      </w:tblCellMar>
    </w:tblPr>
  </w:style>
  <w:style w:type="table" w:styleId="aff5" w:customStyle="1">
    <w:basedOn w:val="TableNormal5"/>
    <w:tblPr>
      <w:tblStyleRowBandSize w:val="1"/>
      <w:tblStyleColBandSize w:val="1"/>
      <w:tblCellMar>
        <w:left w:w="115.0" w:type="dxa"/>
        <w:right w:w="115.0" w:type="dxa"/>
      </w:tblCellMar>
    </w:tblPr>
  </w:style>
  <w:style w:type="table" w:styleId="aff6" w:customStyle="1">
    <w:basedOn w:val="TableNormal5"/>
    <w:tblPr>
      <w:tblStyleRowBandSize w:val="1"/>
      <w:tblStyleColBandSize w:val="1"/>
      <w:tblCellMar>
        <w:left w:w="115.0" w:type="dxa"/>
        <w:right w:w="115.0" w:type="dxa"/>
      </w:tblCellMar>
    </w:tblPr>
  </w:style>
  <w:style w:type="table" w:styleId="aff7" w:customStyle="1">
    <w:basedOn w:val="TableNormal5"/>
    <w:tblPr>
      <w:tblStyleRowBandSize w:val="1"/>
      <w:tblStyleColBandSize w:val="1"/>
      <w:tblCellMar>
        <w:left w:w="115.0" w:type="dxa"/>
        <w:right w:w="115.0" w:type="dxa"/>
      </w:tblCellMar>
    </w:tblPr>
  </w:style>
  <w:style w:type="table" w:styleId="aff8" w:customStyle="1">
    <w:basedOn w:val="TableNormal5"/>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8452DC"/>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52DC"/>
    <w:rPr>
      <w:rFonts w:ascii="Segoe UI" w:cs="Segoe UI" w:hAnsi="Segoe UI"/>
      <w:sz w:val="18"/>
      <w:szCs w:val="18"/>
    </w:rPr>
  </w:style>
  <w:style w:type="table" w:styleId="aff9" w:customStyle="1">
    <w:basedOn w:val="TableNormal4"/>
    <w:pPr>
      <w:spacing w:line="240" w:lineRule="auto"/>
    </w:pPr>
    <w:tblPr>
      <w:tblStyleRowBandSize w:val="1"/>
      <w:tblStyleColBandSize w:val="1"/>
      <w:tblCellMar>
        <w:left w:w="115.0" w:type="dxa"/>
        <w:right w:w="115.0" w:type="dxa"/>
      </w:tblCellMar>
    </w:tblPr>
  </w:style>
  <w:style w:type="table" w:styleId="affa" w:customStyle="1">
    <w:basedOn w:val="TableNormal4"/>
    <w:pPr>
      <w:spacing w:line="240" w:lineRule="auto"/>
    </w:pPr>
    <w:tblPr>
      <w:tblStyleRowBandSize w:val="1"/>
      <w:tblStyleColBandSize w:val="1"/>
      <w:tblCellMar>
        <w:left w:w="115.0" w:type="dxa"/>
        <w:right w:w="115.0" w:type="dxa"/>
      </w:tblCellMar>
    </w:tblPr>
  </w:style>
  <w:style w:type="table" w:styleId="affb" w:customStyle="1">
    <w:basedOn w:val="TableNormal4"/>
    <w:pPr>
      <w:spacing w:line="240" w:lineRule="auto"/>
    </w:pPr>
    <w:tblPr>
      <w:tblStyleRowBandSize w:val="1"/>
      <w:tblStyleColBandSize w:val="1"/>
      <w:tblCellMar>
        <w:left w:w="115.0" w:type="dxa"/>
        <w:right w:w="115.0" w:type="dxa"/>
      </w:tblCellMar>
    </w:tblPr>
  </w:style>
  <w:style w:type="table" w:styleId="affc" w:customStyle="1">
    <w:basedOn w:val="TableNormal4"/>
    <w:pPr>
      <w:spacing w:line="240" w:lineRule="auto"/>
    </w:pPr>
    <w:tblPr>
      <w:tblStyleRowBandSize w:val="1"/>
      <w:tblStyleColBandSize w:val="1"/>
      <w:tblCellMar>
        <w:left w:w="115.0" w:type="dxa"/>
        <w:right w:w="115.0" w:type="dxa"/>
      </w:tblCellMar>
    </w:tblPr>
  </w:style>
  <w:style w:type="table" w:styleId="affd" w:customStyle="1">
    <w:basedOn w:val="TableNormal4"/>
    <w:pPr>
      <w:spacing w:line="240" w:lineRule="auto"/>
    </w:pPr>
    <w:tblPr>
      <w:tblStyleRowBandSize w:val="1"/>
      <w:tblStyleColBandSize w:val="1"/>
      <w:tblCellMar>
        <w:left w:w="115.0" w:type="dxa"/>
        <w:right w:w="115.0" w:type="dxa"/>
      </w:tblCellMar>
    </w:tblPr>
  </w:style>
  <w:style w:type="table" w:styleId="affe" w:customStyle="1">
    <w:basedOn w:val="TableNormal4"/>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 w:customStyle="1">
    <w:basedOn w:val="TableNormal4"/>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0" w:customStyle="1">
    <w:basedOn w:val="TableNormal4"/>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1" w:customStyle="1">
    <w:basedOn w:val="TableNormal4"/>
    <w:pPr>
      <w:spacing w:line="240" w:lineRule="auto"/>
    </w:pPr>
    <w:tblPr>
      <w:tblStyleRowBandSize w:val="1"/>
      <w:tblStyleColBandSize w:val="1"/>
      <w:tblCellMar>
        <w:left w:w="115.0" w:type="dxa"/>
        <w:right w:w="115.0" w:type="dxa"/>
      </w:tblCellMar>
    </w:tblPr>
    <w:tblStylePr w:type="firstRow">
      <w:rPr>
        <w:b w:val="1"/>
      </w:rPr>
      <w:tblPr/>
      <w:tcPr>
        <w:tcBorders>
          <w:bottom w:color="7f7f7f" w:space="0" w:sz="4" w:val="single"/>
        </w:tcBorders>
      </w:tcPr>
    </w:tblStylePr>
    <w:tblStylePr w:type="lastRow">
      <w:rPr>
        <w:b w:val="1"/>
      </w:rPr>
      <w:tblPr/>
      <w:tcPr>
        <w:tcBorders>
          <w:top w:color="7f7f7f" w:space="0" w:sz="4" w:val="single"/>
        </w:tcBorders>
      </w:tcPr>
    </w:tblStylePr>
    <w:tblStylePr w:type="firstCol">
      <w:rPr>
        <w:b w:val="1"/>
      </w:rPr>
    </w:tblStylePr>
    <w:tblStylePr w:type="lastCol">
      <w:rPr>
        <w:b w:val="1"/>
      </w:rPr>
    </w:tblStylePr>
    <w:tblStylePr w:type="band1Vert">
      <w:tblPr/>
      <w:tcPr>
        <w:tcBorders>
          <w:left w:color="7f7f7f" w:space="0" w:sz="4" w:val="single"/>
          <w:right w:color="7f7f7f" w:space="0" w:sz="4" w:val="single"/>
        </w:tcBorders>
      </w:tcPr>
    </w:tblStylePr>
    <w:tblStylePr w:type="band2Vert">
      <w:tblPr/>
      <w:tcPr>
        <w:tcBorders>
          <w:left w:color="7f7f7f" w:space="0" w:sz="4" w:val="single"/>
          <w:right w:color="7f7f7f" w:space="0" w:sz="4" w:val="single"/>
        </w:tcBorders>
      </w:tcPr>
    </w:tblStylePr>
    <w:tblStylePr w:type="band1Horz">
      <w:tblPr/>
      <w:tcPr>
        <w:tcBorders>
          <w:top w:color="7f7f7f" w:space="0" w:sz="4" w:val="single"/>
          <w:bottom w:color="7f7f7f" w:space="0" w:sz="4" w:val="single"/>
        </w:tcBorders>
      </w:tcPr>
    </w:tblStylePr>
  </w:style>
  <w:style w:type="table" w:styleId="afff2" w:customStyle="1">
    <w:basedOn w:val="TableNormal4"/>
    <w:pPr>
      <w:spacing w:line="240" w:lineRule="auto"/>
    </w:pPr>
    <w:tblPr>
      <w:tblStyleRowBandSize w:val="1"/>
      <w:tblStyleColBandSize w:val="1"/>
      <w:tblCellMar>
        <w:left w:w="115.0" w:type="dxa"/>
        <w:right w:w="115.0" w:type="dxa"/>
      </w:tblCellMar>
    </w:tblPr>
  </w:style>
  <w:style w:type="table" w:styleId="afff3" w:customStyle="1">
    <w:basedOn w:val="TableNormal4"/>
    <w:pPr>
      <w:spacing w:line="240" w:lineRule="auto"/>
    </w:pPr>
    <w:tblPr>
      <w:tblStyleRowBandSize w:val="1"/>
      <w:tblStyleColBandSize w:val="1"/>
      <w:tblCellMar>
        <w:left w:w="115.0" w:type="dxa"/>
        <w:right w:w="115.0" w:type="dxa"/>
      </w:tblCellMar>
    </w:tblPr>
  </w:style>
  <w:style w:type="table" w:styleId="afff4" w:customStyle="1">
    <w:basedOn w:val="TableNormal4"/>
    <w:pPr>
      <w:spacing w:line="240" w:lineRule="auto"/>
    </w:pPr>
    <w:tblPr>
      <w:tblStyleRowBandSize w:val="1"/>
      <w:tblStyleColBandSize w:val="1"/>
      <w:tblCellMar>
        <w:left w:w="115.0" w:type="dxa"/>
        <w:right w:w="115.0" w:type="dxa"/>
      </w:tblCellMar>
    </w:tblPr>
  </w:style>
  <w:style w:type="table" w:styleId="afff5" w:customStyle="1">
    <w:basedOn w:val="TableNormal4"/>
    <w:pPr>
      <w:spacing w:line="240" w:lineRule="auto"/>
    </w:pPr>
    <w:tblPr>
      <w:tblStyleRowBandSize w:val="1"/>
      <w:tblStyleColBandSize w:val="1"/>
      <w:tblCellMar>
        <w:left w:w="115.0" w:type="dxa"/>
        <w:right w:w="115.0" w:type="dxa"/>
      </w:tblCellMar>
    </w:tblPr>
  </w:style>
  <w:style w:type="table" w:styleId="afff6" w:customStyle="1">
    <w:basedOn w:val="TableNormal4"/>
    <w:pPr>
      <w:spacing w:line="240" w:lineRule="auto"/>
    </w:pPr>
    <w:tblPr>
      <w:tblStyleRowBandSize w:val="1"/>
      <w:tblStyleColBandSize w:val="1"/>
      <w:tblCellMar>
        <w:left w:w="115.0" w:type="dxa"/>
        <w:right w:w="115.0" w:type="dxa"/>
      </w:tblCellMar>
    </w:tblPr>
  </w:style>
  <w:style w:type="character" w:styleId="Mencinsinresolver1" w:customStyle="1">
    <w:name w:val="Mención sin resolver1"/>
    <w:basedOn w:val="Fuentedeprrafopredeter"/>
    <w:uiPriority w:val="99"/>
    <w:semiHidden w:val="1"/>
    <w:unhideWhenUsed w:val="1"/>
    <w:rsid w:val="00B43F7C"/>
    <w:rPr>
      <w:color w:val="605e5c"/>
      <w:shd w:color="auto" w:fill="e1dfdd" w:val="clear"/>
    </w:rPr>
  </w:style>
  <w:style w:type="character" w:styleId="Textoennegrita">
    <w:name w:val="Strong"/>
    <w:basedOn w:val="Fuentedeprrafopredeter"/>
    <w:uiPriority w:val="22"/>
    <w:qFormat w:val="1"/>
    <w:rsid w:val="00764C5F"/>
    <w:rPr>
      <w:b w:val="1"/>
      <w:bCs w:val="1"/>
    </w:rPr>
  </w:style>
  <w:style w:type="table" w:styleId="afff7" w:customStyle="1">
    <w:basedOn w:val="TableNormal3"/>
    <w:pPr>
      <w:spacing w:line="240" w:lineRule="auto"/>
    </w:pPr>
    <w:tblPr>
      <w:tblStyleRowBandSize w:val="1"/>
      <w:tblStyleColBandSize w:val="1"/>
      <w:tblCellMar>
        <w:left w:w="115.0" w:type="dxa"/>
        <w:right w:w="115.0" w:type="dxa"/>
      </w:tblCellMar>
    </w:tblPr>
  </w:style>
  <w:style w:type="table" w:styleId="afff8" w:customStyle="1">
    <w:basedOn w:val="TableNormal3"/>
    <w:pPr>
      <w:spacing w:line="240" w:lineRule="auto"/>
    </w:pPr>
    <w:tblPr>
      <w:tblStyleRowBandSize w:val="1"/>
      <w:tblStyleColBandSize w:val="1"/>
      <w:tblCellMar>
        <w:left w:w="115.0" w:type="dxa"/>
        <w:right w:w="115.0" w:type="dxa"/>
      </w:tblCellMar>
    </w:tblPr>
  </w:style>
  <w:style w:type="table" w:styleId="afff9" w:customStyle="1">
    <w:basedOn w:val="TableNormal3"/>
    <w:pPr>
      <w:spacing w:line="240" w:lineRule="auto"/>
    </w:pPr>
    <w:tblPr>
      <w:tblStyleRowBandSize w:val="1"/>
      <w:tblStyleColBandSize w:val="1"/>
      <w:tblCellMar>
        <w:left w:w="115.0" w:type="dxa"/>
        <w:right w:w="115.0" w:type="dxa"/>
      </w:tblCellMar>
    </w:tblPr>
  </w:style>
  <w:style w:type="table" w:styleId="afffa" w:customStyle="1">
    <w:basedOn w:val="TableNormal3"/>
    <w:pPr>
      <w:spacing w:line="240" w:lineRule="auto"/>
    </w:pPr>
    <w:tblPr>
      <w:tblStyleRowBandSize w:val="1"/>
      <w:tblStyleColBandSize w:val="1"/>
      <w:tblCellMar>
        <w:left w:w="115.0" w:type="dxa"/>
        <w:right w:w="115.0" w:type="dxa"/>
      </w:tblCellMar>
    </w:tblPr>
  </w:style>
  <w:style w:type="table" w:styleId="afffb" w:customStyle="1">
    <w:basedOn w:val="TableNormal3"/>
    <w:pPr>
      <w:spacing w:line="240" w:lineRule="auto"/>
    </w:pPr>
    <w:tblPr>
      <w:tblStyleRowBandSize w:val="1"/>
      <w:tblStyleColBandSize w:val="1"/>
      <w:tblCellMar>
        <w:left w:w="115.0" w:type="dxa"/>
        <w:right w:w="115.0" w:type="dxa"/>
      </w:tblCellMar>
    </w:tblPr>
  </w:style>
  <w:style w:type="table" w:styleId="afffc" w:customStyle="1">
    <w:basedOn w:val="TableNormal3"/>
    <w:tblPr>
      <w:tblStyleRowBandSize w:val="1"/>
      <w:tblStyleColBandSize w:val="1"/>
      <w:tblCellMar>
        <w:left w:w="115.0" w:type="dxa"/>
        <w:right w:w="115.0" w:type="dxa"/>
      </w:tblCellMar>
    </w:tblPr>
  </w:style>
  <w:style w:type="table" w:styleId="afffd" w:customStyle="1">
    <w:basedOn w:val="TableNormal3"/>
    <w:tblPr>
      <w:tblStyleRowBandSize w:val="1"/>
      <w:tblStyleColBandSize w:val="1"/>
      <w:tblCellMar>
        <w:left w:w="115.0" w:type="dxa"/>
        <w:right w:w="115.0" w:type="dxa"/>
      </w:tblCellMar>
    </w:tblPr>
  </w:style>
  <w:style w:type="table" w:styleId="afffe" w:customStyle="1">
    <w:basedOn w:val="TableNormal3"/>
    <w:tblPr>
      <w:tblStyleRowBandSize w:val="1"/>
      <w:tblStyleColBandSize w:val="1"/>
      <w:tblCellMar>
        <w:left w:w="115.0" w:type="dxa"/>
        <w:right w:w="115.0" w:type="dxa"/>
      </w:tblCellMar>
    </w:tblPr>
  </w:style>
  <w:style w:type="table" w:styleId="affff" w:customStyle="1">
    <w:basedOn w:val="TableNormal3"/>
    <w:tblPr>
      <w:tblStyleRowBandSize w:val="1"/>
      <w:tblStyleColBandSize w:val="1"/>
      <w:tblCellMar>
        <w:left w:w="115.0" w:type="dxa"/>
        <w:right w:w="115.0" w:type="dxa"/>
      </w:tblCellMar>
    </w:tblPr>
  </w:style>
  <w:style w:type="table" w:styleId="Tablaconcuadrcula">
    <w:name w:val="Table Grid"/>
    <w:basedOn w:val="Tablanormal"/>
    <w:uiPriority w:val="39"/>
    <w:rsid w:val="008707F5"/>
    <w:pPr>
      <w:spacing w:line="240" w:lineRule="auto"/>
    </w:pPr>
    <w:rPr>
      <w:rFonts w:asciiTheme="minorHAnsi" w:cstheme="minorBidi" w:eastAsiaTheme="minorHAnsi" w:hAnsiTheme="minorHAnsi"/>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Mencinsinresolver2" w:customStyle="1">
    <w:name w:val="Mención sin resolver2"/>
    <w:basedOn w:val="Fuentedeprrafopredeter"/>
    <w:uiPriority w:val="99"/>
    <w:semiHidden w:val="1"/>
    <w:unhideWhenUsed w:val="1"/>
    <w:rsid w:val="00A9676F"/>
    <w:rPr>
      <w:color w:val="605e5c"/>
      <w:shd w:color="auto" w:fill="e1dfdd" w:val="clear"/>
    </w:rPr>
  </w:style>
  <w:style w:type="table" w:styleId="affff0" w:customStyle="1">
    <w:basedOn w:val="TableNormal2"/>
    <w:pPr>
      <w:spacing w:line="240" w:lineRule="auto"/>
    </w:pPr>
    <w:tblPr>
      <w:tblStyleRowBandSize w:val="1"/>
      <w:tblStyleColBandSize w:val="1"/>
      <w:tblCellMar>
        <w:left w:w="115.0" w:type="dxa"/>
        <w:right w:w="115.0" w:type="dxa"/>
      </w:tblCellMar>
    </w:tblPr>
  </w:style>
  <w:style w:type="table" w:styleId="affff1" w:customStyle="1">
    <w:basedOn w:val="TableNormal2"/>
    <w:pPr>
      <w:spacing w:line="240" w:lineRule="auto"/>
    </w:pPr>
    <w:tblPr>
      <w:tblStyleRowBandSize w:val="1"/>
      <w:tblStyleColBandSize w:val="1"/>
      <w:tblCellMar>
        <w:left w:w="115.0" w:type="dxa"/>
        <w:right w:w="115.0" w:type="dxa"/>
      </w:tblCellMar>
    </w:tblPr>
  </w:style>
  <w:style w:type="table" w:styleId="affff2" w:customStyle="1">
    <w:basedOn w:val="TableNormal2"/>
    <w:pPr>
      <w:spacing w:line="240" w:lineRule="auto"/>
    </w:pPr>
    <w:tblPr>
      <w:tblStyleRowBandSize w:val="1"/>
      <w:tblStyleColBandSize w:val="1"/>
      <w:tblCellMar>
        <w:left w:w="115.0" w:type="dxa"/>
        <w:right w:w="115.0" w:type="dxa"/>
      </w:tblCellMar>
    </w:tblPr>
  </w:style>
  <w:style w:type="table" w:styleId="affff3" w:customStyle="1">
    <w:basedOn w:val="TableNormal2"/>
    <w:pPr>
      <w:spacing w:line="240" w:lineRule="auto"/>
    </w:pPr>
    <w:tblPr>
      <w:tblStyleRowBandSize w:val="1"/>
      <w:tblStyleColBandSize w:val="1"/>
      <w:tblCellMar>
        <w:left w:w="115.0" w:type="dxa"/>
        <w:right w:w="115.0" w:type="dxa"/>
      </w:tblCellMar>
    </w:tblPr>
  </w:style>
  <w:style w:type="table" w:styleId="affff4" w:customStyle="1">
    <w:basedOn w:val="TableNormal2"/>
    <w:pPr>
      <w:spacing w:line="240" w:lineRule="auto"/>
    </w:pPr>
    <w:tblPr>
      <w:tblStyleRowBandSize w:val="1"/>
      <w:tblStyleColBandSize w:val="1"/>
      <w:tblCellMar>
        <w:left w:w="115.0" w:type="dxa"/>
        <w:right w:w="115.0" w:type="dxa"/>
      </w:tblCellMar>
    </w:tblPr>
  </w:style>
  <w:style w:type="table" w:styleId="affff5" w:customStyle="1">
    <w:basedOn w:val="TableNormal2"/>
    <w:pPr>
      <w:spacing w:line="240" w:lineRule="auto"/>
    </w:pPr>
    <w:tblPr>
      <w:tblStyleRowBandSize w:val="1"/>
      <w:tblStyleColBandSize w:val="1"/>
      <w:tblCellMar>
        <w:left w:w="115.0" w:type="dxa"/>
        <w:right w:w="115.0" w:type="dxa"/>
      </w:tblCellMar>
    </w:tblPr>
  </w:style>
  <w:style w:type="table" w:styleId="affff6" w:customStyle="1">
    <w:basedOn w:val="TableNormal2"/>
    <w:pPr>
      <w:spacing w:line="240" w:lineRule="auto"/>
    </w:pPr>
    <w:tblPr>
      <w:tblStyleRowBandSize w:val="1"/>
      <w:tblStyleColBandSize w:val="1"/>
      <w:tblCellMar>
        <w:left w:w="115.0" w:type="dxa"/>
        <w:right w:w="115.0" w:type="dxa"/>
      </w:tblCellMar>
    </w:tblPr>
  </w:style>
  <w:style w:type="table" w:styleId="affff7" w:customStyle="1">
    <w:basedOn w:val="TableNormal2"/>
    <w:pPr>
      <w:spacing w:line="240" w:lineRule="auto"/>
    </w:pPr>
    <w:tblPr>
      <w:tblStyleRowBandSize w:val="1"/>
      <w:tblStyleColBandSize w:val="1"/>
      <w:tblCellMar>
        <w:left w:w="115.0" w:type="dxa"/>
        <w:right w:w="115.0" w:type="dxa"/>
      </w:tblCellMar>
    </w:tblPr>
  </w:style>
  <w:style w:type="table" w:styleId="affff8" w:customStyle="1">
    <w:basedOn w:val="TableNormal2"/>
    <w:pPr>
      <w:spacing w:line="240" w:lineRule="auto"/>
    </w:pPr>
    <w:tblPr>
      <w:tblStyleRowBandSize w:val="1"/>
      <w:tblStyleColBandSize w:val="1"/>
      <w:tblCellMar>
        <w:left w:w="115.0" w:type="dxa"/>
        <w:right w:w="115.0" w:type="dxa"/>
      </w:tblCellMar>
    </w:tblPr>
  </w:style>
  <w:style w:type="table" w:styleId="Tabladelista6concolores-nfasis3">
    <w:name w:val="List Table 6 Colorful Accent 3"/>
    <w:basedOn w:val="Tablanormal"/>
    <w:uiPriority w:val="51"/>
    <w:rsid w:val="00B565BF"/>
    <w:pPr>
      <w:spacing w:line="240" w:lineRule="auto"/>
    </w:pPr>
    <w:rPr>
      <w:color w:val="1d99a0" w:themeColor="accent3" w:themeShade="0000BF"/>
    </w:rPr>
    <w:tblPr>
      <w:tblStyleRowBandSize w:val="1"/>
      <w:tblStyleColBandSize w:val="1"/>
      <w:tblBorders>
        <w:top w:color="27ced7" w:space="0" w:sz="4" w:themeColor="accent3" w:val="single"/>
        <w:bottom w:color="27ced7" w:space="0" w:sz="4" w:themeColor="accent3" w:val="single"/>
      </w:tblBorders>
    </w:tblPr>
    <w:tblStylePr w:type="firstRow">
      <w:rPr>
        <w:b w:val="1"/>
        <w:bCs w:val="1"/>
      </w:rPr>
      <w:tblPr/>
      <w:tcPr>
        <w:tcBorders>
          <w:bottom w:color="27ced7" w:space="0" w:sz="4" w:themeColor="accent3" w:val="single"/>
        </w:tcBorders>
      </w:tcPr>
    </w:tblStylePr>
    <w:tblStylePr w:type="lastRow">
      <w:rPr>
        <w:b w:val="1"/>
        <w:bCs w:val="1"/>
      </w:rPr>
      <w:tblPr/>
      <w:tcPr>
        <w:tcBorders>
          <w:top w:color="27ced7" w:space="0" w:sz="4" w:themeColor="accent3" w:val="double"/>
        </w:tcBorders>
      </w:tcPr>
    </w:tblStylePr>
    <w:tblStylePr w:type="firstCol">
      <w:rPr>
        <w:b w:val="1"/>
        <w:bCs w:val="1"/>
      </w:rPr>
    </w:tblStylePr>
    <w:tblStylePr w:type="lastCol">
      <w:rPr>
        <w:b w:val="1"/>
        <w:bCs w:val="1"/>
      </w:rPr>
    </w:tblStylePr>
    <w:tblStylePr w:type="band1Vert">
      <w:tblPr/>
      <w:tcPr>
        <w:shd w:color="auto" w:fill="d3f5f7" w:themeFill="accent3" w:themeFillTint="000033" w:val="clear"/>
      </w:tcPr>
    </w:tblStylePr>
    <w:tblStylePr w:type="band1Horz">
      <w:tblPr/>
      <w:tcPr>
        <w:shd w:color="auto" w:fill="d3f5f7" w:themeFill="accent3" w:themeFillTint="000033" w:val="clear"/>
      </w:tcPr>
    </w:tblStylePr>
  </w:style>
  <w:style w:type="table" w:styleId="Tablaconcuadrcula4-nfasis1">
    <w:name w:val="Grid Table 4 Accent 1"/>
    <w:basedOn w:val="Tablanormal"/>
    <w:uiPriority w:val="49"/>
    <w:rsid w:val="001F735E"/>
    <w:pPr>
      <w:spacing w:line="240" w:lineRule="auto"/>
    </w:pPr>
    <w:tblPr>
      <w:tblStyleRowBandSize w:val="1"/>
      <w:tblStyleColBandSize w:val="1"/>
      <w:tblBorders>
        <w:top w:color="76cdee" w:space="0" w:sz="4" w:themeColor="accent1" w:themeTint="000099" w:val="single"/>
        <w:left w:color="76cdee" w:space="0" w:sz="4" w:themeColor="accent1" w:themeTint="000099" w:val="single"/>
        <w:bottom w:color="76cdee" w:space="0" w:sz="4" w:themeColor="accent1" w:themeTint="000099" w:val="single"/>
        <w:right w:color="76cdee" w:space="0" w:sz="4" w:themeColor="accent1" w:themeTint="000099" w:val="single"/>
        <w:insideH w:color="76cdee" w:space="0" w:sz="4" w:themeColor="accent1" w:themeTint="000099" w:val="single"/>
        <w:insideV w:color="76cdee" w:space="0" w:sz="4" w:themeColor="accent1" w:themeTint="000099" w:val="single"/>
      </w:tblBorders>
    </w:tblPr>
    <w:tblStylePr w:type="firstRow">
      <w:rPr>
        <w:b w:val="1"/>
        <w:bCs w:val="1"/>
        <w:color w:val="ffffff" w:themeColor="background1"/>
      </w:rPr>
      <w:tblPr/>
      <w:tcPr>
        <w:tcBorders>
          <w:top w:color="1cade4" w:space="0" w:sz="4" w:themeColor="accent1" w:val="single"/>
          <w:left w:color="1cade4" w:space="0" w:sz="4" w:themeColor="accent1" w:val="single"/>
          <w:bottom w:color="1cade4" w:space="0" w:sz="4" w:themeColor="accent1" w:val="single"/>
          <w:right w:color="1cade4" w:space="0" w:sz="4" w:themeColor="accent1" w:val="single"/>
          <w:insideH w:space="0" w:sz="0" w:val="nil"/>
          <w:insideV w:space="0" w:sz="0" w:val="nil"/>
        </w:tcBorders>
        <w:shd w:color="auto" w:fill="1cade4" w:themeFill="accent1" w:val="clear"/>
      </w:tcPr>
    </w:tblStylePr>
    <w:tblStylePr w:type="lastRow">
      <w:rPr>
        <w:b w:val="1"/>
        <w:bCs w:val="1"/>
      </w:rPr>
      <w:tblPr/>
      <w:tcPr>
        <w:tcBorders>
          <w:top w:color="1cade4" w:space="0" w:sz="4" w:themeColor="accent1" w:val="double"/>
        </w:tcBorders>
      </w:tcPr>
    </w:tblStylePr>
    <w:tblStylePr w:type="firstCol">
      <w:rPr>
        <w:b w:val="1"/>
        <w:bCs w:val="1"/>
      </w:rPr>
    </w:tblStylePr>
    <w:tblStylePr w:type="lastCol">
      <w:rPr>
        <w:b w:val="1"/>
        <w:bCs w:val="1"/>
      </w:rPr>
    </w:tblStylePr>
    <w:tblStylePr w:type="band1Vert">
      <w:tblPr/>
      <w:tcPr>
        <w:shd w:color="auto" w:fill="d1eef9" w:themeFill="accent1" w:themeFillTint="000033" w:val="clear"/>
      </w:tcPr>
    </w:tblStylePr>
    <w:tblStylePr w:type="band1Horz">
      <w:tblPr/>
      <w:tcPr>
        <w:shd w:color="auto" w:fill="d1eef9" w:themeFill="accent1" w:themeFillTint="000033" w:val="clear"/>
      </w:tcPr>
    </w:tblStylePr>
  </w:style>
  <w:style w:type="table" w:styleId="Tablaconcuadrcula3-nfasis3">
    <w:name w:val="Grid Table 3 Accent 3"/>
    <w:basedOn w:val="Tablanormal"/>
    <w:uiPriority w:val="48"/>
    <w:rsid w:val="00937966"/>
    <w:pPr>
      <w:spacing w:line="240" w:lineRule="auto"/>
    </w:pPr>
    <w:tblPr>
      <w:tblStyleRowBandSize w:val="1"/>
      <w:tblStyleColBandSize w:val="1"/>
      <w:tblBorders>
        <w:top w:color="7ce1e7" w:space="0" w:sz="4" w:themeColor="accent3" w:themeTint="000099" w:val="single"/>
        <w:left w:color="7ce1e7" w:space="0" w:sz="4" w:themeColor="accent3" w:themeTint="000099" w:val="single"/>
        <w:bottom w:color="7ce1e7" w:space="0" w:sz="4" w:themeColor="accent3" w:themeTint="000099" w:val="single"/>
        <w:right w:color="7ce1e7" w:space="0" w:sz="4" w:themeColor="accent3" w:themeTint="000099" w:val="single"/>
        <w:insideH w:color="7ce1e7" w:space="0" w:sz="4" w:themeColor="accent3" w:themeTint="000099" w:val="single"/>
        <w:insideV w:color="7ce1e7"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3f5f7" w:themeFill="accent3" w:themeFillTint="000033" w:val="clear"/>
      </w:tcPr>
    </w:tblStylePr>
    <w:tblStylePr w:type="band1Horz">
      <w:tblPr/>
      <w:tcPr>
        <w:shd w:color="auto" w:fill="d3f5f7" w:themeFill="accent3" w:themeFillTint="000033" w:val="clear"/>
      </w:tcPr>
    </w:tblStylePr>
    <w:tblStylePr w:type="neCell">
      <w:tblPr/>
      <w:tcPr>
        <w:tcBorders>
          <w:bottom w:color="7ce1e7" w:space="0" w:sz="4" w:themeColor="accent3" w:themeTint="000099" w:val="single"/>
        </w:tcBorders>
      </w:tcPr>
    </w:tblStylePr>
    <w:tblStylePr w:type="nwCell">
      <w:tblPr/>
      <w:tcPr>
        <w:tcBorders>
          <w:bottom w:color="7ce1e7" w:space="0" w:sz="4" w:themeColor="accent3" w:themeTint="000099" w:val="single"/>
        </w:tcBorders>
      </w:tcPr>
    </w:tblStylePr>
    <w:tblStylePr w:type="seCell">
      <w:tblPr/>
      <w:tcPr>
        <w:tcBorders>
          <w:top w:color="7ce1e7" w:space="0" w:sz="4" w:themeColor="accent3" w:themeTint="000099" w:val="single"/>
        </w:tcBorders>
      </w:tcPr>
    </w:tblStylePr>
    <w:tblStylePr w:type="swCell">
      <w:tblPr/>
      <w:tcPr>
        <w:tcBorders>
          <w:top w:color="7ce1e7" w:space="0" w:sz="4" w:themeColor="accent3" w:themeTint="000099" w:val="single"/>
        </w:tcBorders>
      </w:tcPr>
    </w:tblStylePr>
  </w:style>
  <w:style w:type="table" w:styleId="Tablaconcuadrcula2-nfasis2">
    <w:name w:val="Grid Table 2 Accent 2"/>
    <w:basedOn w:val="Tablanormal"/>
    <w:uiPriority w:val="47"/>
    <w:rsid w:val="00937966"/>
    <w:pPr>
      <w:spacing w:line="240" w:lineRule="auto"/>
    </w:pPr>
    <w:tblPr>
      <w:tblStyleRowBandSize w:val="1"/>
      <w:tblStyleColBandSize w:val="1"/>
      <w:tblBorders>
        <w:top w:color="74b5e4" w:space="0" w:sz="2" w:themeColor="accent2" w:themeTint="000099" w:val="single"/>
        <w:bottom w:color="74b5e4" w:space="0" w:sz="2" w:themeColor="accent2" w:themeTint="000099" w:val="single"/>
        <w:insideH w:color="74b5e4" w:space="0" w:sz="2" w:themeColor="accent2" w:themeTint="000099" w:val="single"/>
        <w:insideV w:color="74b5e4" w:space="0" w:sz="2" w:themeColor="accent2" w:themeTint="000099" w:val="single"/>
      </w:tblBorders>
    </w:tblPr>
    <w:tblStylePr w:type="firstRow">
      <w:rPr>
        <w:b w:val="1"/>
        <w:bCs w:val="1"/>
      </w:rPr>
      <w:tblPr/>
      <w:tcPr>
        <w:tcBorders>
          <w:top w:space="0" w:sz="0" w:val="nil"/>
          <w:bottom w:color="74b5e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74b5e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0e6f6" w:themeFill="accent2" w:themeFillTint="000033" w:val="clear"/>
      </w:tcPr>
    </w:tblStylePr>
    <w:tblStylePr w:type="band1Horz">
      <w:tblPr/>
      <w:tcPr>
        <w:shd w:color="auto" w:fill="d0e6f6" w:themeFill="accent2" w:themeFillTint="000033" w:val="clear"/>
      </w:tcPr>
    </w:tblStylePr>
  </w:style>
  <w:style w:type="table" w:styleId="Tabladelista2-nfasis4">
    <w:name w:val="List Table 2 Accent 4"/>
    <w:basedOn w:val="Tablanormal"/>
    <w:uiPriority w:val="47"/>
    <w:rsid w:val="00322CC3"/>
    <w:pPr>
      <w:spacing w:line="240" w:lineRule="auto"/>
    </w:pPr>
    <w:tblPr>
      <w:tblStyleRowBandSize w:val="1"/>
      <w:tblStyleColBandSize w:val="1"/>
      <w:tblBorders>
        <w:top w:color="8cd6c0" w:space="0" w:sz="4" w:themeColor="accent4" w:themeTint="000099" w:val="single"/>
        <w:bottom w:color="8cd6c0" w:space="0" w:sz="4" w:themeColor="accent4" w:themeTint="000099" w:val="single"/>
        <w:insideH w:color="8cd6c0"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8f1ea" w:themeFill="accent4" w:themeFillTint="000033" w:val="clear"/>
      </w:tcPr>
    </w:tblStylePr>
    <w:tblStylePr w:type="band1Horz">
      <w:tblPr/>
      <w:tcPr>
        <w:shd w:color="auto" w:fill="d8f1ea" w:themeFill="accent4" w:themeFillTint="000033" w:val="clear"/>
      </w:tcPr>
    </w:tblStylePr>
  </w:style>
  <w:style w:type="table" w:styleId="Tablaconcuadrcula1Claro-nfasis2">
    <w:name w:val="Grid Table 1 Light Accent 2"/>
    <w:basedOn w:val="Tablanormal"/>
    <w:uiPriority w:val="46"/>
    <w:rsid w:val="00CB66E3"/>
    <w:pPr>
      <w:spacing w:line="240" w:lineRule="auto"/>
    </w:pPr>
    <w:tblPr>
      <w:tblStyleRowBandSize w:val="1"/>
      <w:tblStyleColBandSize w:val="1"/>
      <w:tblBorders>
        <w:top w:color="a3ceed" w:space="0" w:sz="4" w:themeColor="accent2" w:themeTint="000066" w:val="single"/>
        <w:left w:color="a3ceed" w:space="0" w:sz="4" w:themeColor="accent2" w:themeTint="000066" w:val="single"/>
        <w:bottom w:color="a3ceed" w:space="0" w:sz="4" w:themeColor="accent2" w:themeTint="000066" w:val="single"/>
        <w:right w:color="a3ceed" w:space="0" w:sz="4" w:themeColor="accent2" w:themeTint="000066" w:val="single"/>
        <w:insideH w:color="a3ceed" w:space="0" w:sz="4" w:themeColor="accent2" w:themeTint="000066" w:val="single"/>
        <w:insideV w:color="a3ceed" w:space="0" w:sz="4" w:themeColor="accent2" w:themeTint="000066" w:val="single"/>
      </w:tblBorders>
    </w:tblPr>
    <w:tblStylePr w:type="firstRow">
      <w:rPr>
        <w:b w:val="1"/>
        <w:bCs w:val="1"/>
      </w:rPr>
      <w:tblPr/>
      <w:tcPr>
        <w:tcBorders>
          <w:bottom w:color="74b5e4" w:space="0" w:sz="12" w:themeColor="accent2" w:themeTint="000099" w:val="single"/>
        </w:tcBorders>
      </w:tcPr>
    </w:tblStylePr>
    <w:tblStylePr w:type="lastRow">
      <w:rPr>
        <w:b w:val="1"/>
        <w:bCs w:val="1"/>
      </w:rPr>
      <w:tblPr/>
      <w:tcPr>
        <w:tcBorders>
          <w:top w:color="74b5e4" w:space="0" w:sz="2" w:themeColor="accent2" w:themeTint="000099" w:val="double"/>
        </w:tcBorders>
      </w:tcPr>
    </w:tblStylePr>
    <w:tblStylePr w:type="firstCol">
      <w:rPr>
        <w:b w:val="1"/>
        <w:bCs w:val="1"/>
      </w:rPr>
    </w:tblStylePr>
    <w:tblStylePr w:type="lastCol">
      <w:rPr>
        <w:b w:val="1"/>
        <w:bCs w:val="1"/>
      </w:rPr>
    </w:tblStylePr>
  </w:style>
  <w:style w:type="table" w:styleId="Tablaconcuadrcula1clara-nfasis4">
    <w:name w:val="Grid Table 1 Light Accent 4"/>
    <w:basedOn w:val="Tablanormal"/>
    <w:uiPriority w:val="46"/>
    <w:rsid w:val="00B948A0"/>
    <w:pPr>
      <w:spacing w:line="240" w:lineRule="auto"/>
    </w:pPr>
    <w:tblPr>
      <w:tblStyleRowBandSize w:val="1"/>
      <w:tblStyleColBandSize w:val="1"/>
      <w:tblBorders>
        <w:top w:color="b2e4d5" w:space="0" w:sz="4" w:themeColor="accent4" w:themeTint="000066" w:val="single"/>
        <w:left w:color="b2e4d5" w:space="0" w:sz="4" w:themeColor="accent4" w:themeTint="000066" w:val="single"/>
        <w:bottom w:color="b2e4d5" w:space="0" w:sz="4" w:themeColor="accent4" w:themeTint="000066" w:val="single"/>
        <w:right w:color="b2e4d5" w:space="0" w:sz="4" w:themeColor="accent4" w:themeTint="000066" w:val="single"/>
        <w:insideH w:color="b2e4d5" w:space="0" w:sz="4" w:themeColor="accent4" w:themeTint="000066" w:val="single"/>
        <w:insideV w:color="b2e4d5" w:space="0" w:sz="4" w:themeColor="accent4" w:themeTint="000066" w:val="single"/>
      </w:tblBorders>
    </w:tblPr>
    <w:tblStylePr w:type="firstRow">
      <w:rPr>
        <w:b w:val="1"/>
        <w:bCs w:val="1"/>
      </w:rPr>
      <w:tblPr/>
      <w:tcPr>
        <w:tcBorders>
          <w:bottom w:color="8cd6c0" w:space="0" w:sz="12" w:themeColor="accent4" w:themeTint="000099" w:val="single"/>
        </w:tcBorders>
      </w:tcPr>
    </w:tblStylePr>
    <w:tblStylePr w:type="lastRow">
      <w:rPr>
        <w:b w:val="1"/>
        <w:bCs w:val="1"/>
      </w:rPr>
      <w:tblPr/>
      <w:tcPr>
        <w:tcBorders>
          <w:top w:color="8cd6c0" w:space="0" w:sz="2" w:themeColor="accent4" w:themeTint="000099" w:val="double"/>
        </w:tcBorders>
      </w:tcPr>
    </w:tblStylePr>
    <w:tblStylePr w:type="firstCol">
      <w:rPr>
        <w:b w:val="1"/>
        <w:bCs w:val="1"/>
      </w:rPr>
    </w:tblStylePr>
    <w:tblStylePr w:type="lastCol">
      <w:rPr>
        <w:b w:val="1"/>
        <w:bCs w:val="1"/>
      </w:rPr>
    </w:tblStylePr>
  </w:style>
  <w:style w:type="table" w:styleId="Tablaconcuadrcula1clara-nfasis6">
    <w:name w:val="Grid Table 1 Light Accent 6"/>
    <w:basedOn w:val="Tablanormal"/>
    <w:uiPriority w:val="46"/>
    <w:rsid w:val="006A5115"/>
    <w:pPr>
      <w:spacing w:line="240" w:lineRule="auto"/>
    </w:pPr>
    <w:tblPr>
      <w:tblStyleRowBandSize w:val="1"/>
      <w:tblStyleColBandSize w:val="1"/>
      <w:tblBorders>
        <w:top w:color="c0dad8" w:space="0" w:sz="4" w:themeColor="accent6" w:themeTint="000066" w:val="single"/>
        <w:left w:color="c0dad8" w:space="0" w:sz="4" w:themeColor="accent6" w:themeTint="000066" w:val="single"/>
        <w:bottom w:color="c0dad8" w:space="0" w:sz="4" w:themeColor="accent6" w:themeTint="000066" w:val="single"/>
        <w:right w:color="c0dad8" w:space="0" w:sz="4" w:themeColor="accent6" w:themeTint="000066" w:val="single"/>
        <w:insideH w:color="c0dad8" w:space="0" w:sz="4" w:themeColor="accent6" w:themeTint="000066" w:val="single"/>
        <w:insideV w:color="c0dad8" w:space="0" w:sz="4" w:themeColor="accent6" w:themeTint="000066" w:val="single"/>
      </w:tblBorders>
    </w:tblPr>
    <w:tblStylePr w:type="firstRow">
      <w:rPr>
        <w:b w:val="1"/>
        <w:bCs w:val="1"/>
      </w:rPr>
      <w:tblPr/>
      <w:tcPr>
        <w:tcBorders>
          <w:bottom w:color="a0c7c5" w:space="0" w:sz="12" w:themeColor="accent6" w:themeTint="000099" w:val="single"/>
        </w:tcBorders>
      </w:tcPr>
    </w:tblStylePr>
    <w:tblStylePr w:type="lastRow">
      <w:rPr>
        <w:b w:val="1"/>
        <w:bCs w:val="1"/>
      </w:rPr>
      <w:tblPr/>
      <w:tcPr>
        <w:tcBorders>
          <w:top w:color="a0c7c5" w:space="0" w:sz="2" w:themeColor="accent6" w:themeTint="000099" w:val="double"/>
        </w:tcBorders>
      </w:tcPr>
    </w:tblStylePr>
    <w:tblStylePr w:type="firstCol">
      <w:rPr>
        <w:b w:val="1"/>
        <w:bCs w:val="1"/>
      </w:rPr>
    </w:tblStylePr>
    <w:tblStylePr w:type="lastCol">
      <w:rPr>
        <w:b w:val="1"/>
        <w:bCs w:val="1"/>
      </w:rPr>
    </w:tblStylePr>
  </w:style>
  <w:style w:type="table" w:styleId="affff9" w:customStyle="1">
    <w:basedOn w:val="TableNormal1"/>
    <w:pPr>
      <w:spacing w:line="240" w:lineRule="auto"/>
    </w:pPr>
    <w:tblPr>
      <w:tblStyleRowBandSize w:val="1"/>
      <w:tblStyleColBandSize w:val="1"/>
      <w:tblCellMar>
        <w:left w:w="115.0" w:type="dxa"/>
        <w:right w:w="115.0" w:type="dxa"/>
      </w:tblCellMar>
    </w:tblPr>
  </w:style>
  <w:style w:type="table" w:styleId="affffa" w:customStyle="1">
    <w:basedOn w:val="TableNormal1"/>
    <w:pPr>
      <w:spacing w:line="240" w:lineRule="auto"/>
    </w:pPr>
    <w:tblPr>
      <w:tblStyleRowBandSize w:val="1"/>
      <w:tblStyleColBandSize w:val="1"/>
      <w:tblCellMar>
        <w:left w:w="115.0" w:type="dxa"/>
        <w:right w:w="115.0" w:type="dxa"/>
      </w:tblCellMar>
    </w:tblPr>
  </w:style>
  <w:style w:type="table" w:styleId="affffb" w:customStyle="1">
    <w:basedOn w:val="TableNormal1"/>
    <w:pPr>
      <w:spacing w:line="240" w:lineRule="auto"/>
    </w:pPr>
    <w:tblPr>
      <w:tblStyleRowBandSize w:val="1"/>
      <w:tblStyleColBandSize w:val="1"/>
      <w:tblCellMar>
        <w:left w:w="115.0" w:type="dxa"/>
        <w:right w:w="115.0" w:type="dxa"/>
      </w:tblCellMar>
    </w:tblPr>
  </w:style>
  <w:style w:type="table" w:styleId="affffc" w:customStyle="1">
    <w:basedOn w:val="TableNormal1"/>
    <w:pPr>
      <w:spacing w:line="240" w:lineRule="auto"/>
    </w:pPr>
    <w:tblPr>
      <w:tblStyleRowBandSize w:val="1"/>
      <w:tblStyleColBandSize w:val="1"/>
      <w:tblCellMar>
        <w:left w:w="115.0" w:type="dxa"/>
        <w:right w:w="115.0" w:type="dxa"/>
      </w:tblCellMar>
    </w:tblPr>
  </w:style>
  <w:style w:type="table" w:styleId="affffd" w:customStyle="1">
    <w:basedOn w:val="TableNormal1"/>
    <w:pPr>
      <w:spacing w:line="240" w:lineRule="auto"/>
    </w:pPr>
    <w:rPr>
      <w:rFonts w:ascii="Calibri" w:cs="Calibri" w:eastAsia="Calibri" w:hAnsi="Calibri"/>
      <w:color w:val="1d9aa1"/>
    </w:rPr>
    <w:tblPr>
      <w:tblStyleRowBandSize w:val="1"/>
      <w:tblStyleColBandSize w:val="1"/>
      <w:tblCellMar>
        <w:left w:w="108.0" w:type="dxa"/>
        <w:right w:w="108.0" w:type="dxa"/>
      </w:tblCellMar>
    </w:tblPr>
    <w:tblStylePr w:type="firstRow">
      <w:rPr>
        <w:b w:val="1"/>
      </w:rPr>
      <w:tblPr/>
      <w:tcPr>
        <w:tcBorders>
          <w:top w:space="0" w:sz="0" w:val="nil"/>
          <w:bottom w:color="75b5e4" w:space="0" w:sz="12" w:val="single"/>
          <w:insideH w:space="0" w:sz="0" w:val="nil"/>
          <w:insideV w:space="0" w:sz="0" w:val="nil"/>
        </w:tcBorders>
        <w:shd w:color="auto" w:fill="ffffff" w:val="clear"/>
      </w:tcPr>
    </w:tblStylePr>
    <w:tblStylePr w:type="lastRow">
      <w:rPr>
        <w:b w:val="1"/>
      </w:rPr>
      <w:tblPr/>
      <w:tcPr>
        <w:tcBorders>
          <w:top w:color="75b5e4"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1e6f6" w:val="clear"/>
      </w:tcPr>
    </w:tblStylePr>
    <w:tblStylePr w:type="band1Horz">
      <w:tblPr/>
      <w:tcPr>
        <w:shd w:color="auto" w:fill="d1e6f6" w:val="clear"/>
      </w:tcPr>
    </w:tblStylePr>
  </w:style>
  <w:style w:type="table" w:styleId="affffe" w:customStyle="1">
    <w:basedOn w:val="TableNormal1"/>
    <w:pPr>
      <w:spacing w:line="240" w:lineRule="auto"/>
    </w:pPr>
    <w:rPr>
      <w:rFonts w:ascii="Calibri" w:cs="Calibri" w:eastAsia="Calibri" w:hAnsi="Calibri"/>
      <w:color w:val="1d9aa1"/>
    </w:rPr>
    <w:tblPr>
      <w:tblStyleRowBandSize w:val="1"/>
      <w:tblStyleColBandSize w:val="1"/>
      <w:tblCellMar>
        <w:left w:w="108.0" w:type="dxa"/>
        <w:right w:w="108.0" w:type="dxa"/>
      </w:tblCellMar>
    </w:tblPr>
    <w:tblStylePr w:type="firstRow">
      <w:rPr>
        <w:b w:val="1"/>
      </w:rPr>
    </w:tblStylePr>
    <w:tblStylePr w:type="lastRow">
      <w:rPr>
        <w:b w:val="1"/>
      </w:rPr>
    </w:tblStylePr>
    <w:tblStylePr w:type="firstCol">
      <w:rPr>
        <w:b w:val="1"/>
      </w:rPr>
    </w:tblStylePr>
    <w:tblStylePr w:type="lastCol">
      <w:rPr>
        <w:b w:val="1"/>
      </w:rPr>
    </w:tblStylePr>
    <w:tblStylePr w:type="band1Vert">
      <w:tblPr/>
      <w:tcPr>
        <w:shd w:color="auto" w:fill="d8f1ea" w:val="clear"/>
      </w:tcPr>
    </w:tblStylePr>
    <w:tblStylePr w:type="band1Horz">
      <w:tblPr/>
      <w:tcPr>
        <w:shd w:color="auto" w:fill="d8f1ea" w:val="clear"/>
      </w:tcPr>
    </w:tblStylePr>
  </w:style>
  <w:style w:type="table" w:styleId="afffff" w:customStyle="1">
    <w:basedOn w:val="TableNormal1"/>
    <w:pPr>
      <w:spacing w:line="240" w:lineRule="auto"/>
    </w:pPr>
    <w:rPr>
      <w:rFonts w:ascii="Calibri" w:cs="Calibri" w:eastAsia="Calibri" w:hAnsi="Calibri"/>
      <w:color w:val="1d9aa1"/>
    </w:rPr>
    <w:tblPr>
      <w:tblStyleRowBandSize w:val="1"/>
      <w:tblStyleColBandSize w:val="1"/>
      <w:tblCellMar>
        <w:left w:w="108.0" w:type="dxa"/>
        <w:right w:w="108.0" w:type="dxa"/>
      </w:tblCellMar>
    </w:tblPr>
    <w:tblStylePr w:type="firstRow">
      <w:rPr>
        <w:b w:val="1"/>
      </w:rPr>
      <w:tblPr/>
      <w:tcPr>
        <w:tcBorders>
          <w:top w:space="0" w:sz="0" w:val="nil"/>
          <w:bottom w:color="75b5e4" w:space="0" w:sz="12" w:val="single"/>
          <w:insideH w:space="0" w:sz="0" w:val="nil"/>
          <w:insideV w:space="0" w:sz="0" w:val="nil"/>
        </w:tcBorders>
        <w:shd w:color="auto" w:fill="ffffff" w:val="clear"/>
      </w:tcPr>
    </w:tblStylePr>
    <w:tblStylePr w:type="lastRow">
      <w:rPr>
        <w:b w:val="1"/>
      </w:rPr>
      <w:tblPr/>
      <w:tcPr>
        <w:tcBorders>
          <w:top w:color="75b5e4" w:space="0" w:sz="4" w:val="single"/>
          <w:bottom w:space="0" w:sz="0" w:val="nil"/>
          <w:insideH w:space="0" w:sz="0" w:val="nil"/>
          <w:insideV w:space="0" w:sz="0" w:val="nil"/>
        </w:tcBorders>
        <w:shd w:color="auto" w:fill="ffffff" w:val="clear"/>
      </w:tcPr>
    </w:tblStylePr>
    <w:tblStylePr w:type="firstCol">
      <w:rPr>
        <w:b w:val="1"/>
      </w:rPr>
    </w:tblStylePr>
    <w:tblStylePr w:type="lastCol">
      <w:rPr>
        <w:b w:val="1"/>
      </w:rPr>
    </w:tblStylePr>
    <w:tblStylePr w:type="band1Vert">
      <w:tblPr/>
      <w:tcPr>
        <w:shd w:color="auto" w:fill="d1e6f6" w:val="clear"/>
      </w:tcPr>
    </w:tblStylePr>
    <w:tblStylePr w:type="band1Horz">
      <w:tblPr/>
      <w:tcPr>
        <w:shd w:color="auto" w:fill="d1e6f6" w:val="clear"/>
      </w:tcPr>
    </w:tblStylePr>
  </w:style>
  <w:style w:type="table" w:styleId="afffff0" w:customStyle="1">
    <w:basedOn w:val="TableNormal1"/>
    <w:pPr>
      <w:spacing w:line="240" w:lineRule="auto"/>
    </w:pPr>
    <w:rPr>
      <w:rFonts w:ascii="Calibri" w:cs="Calibri" w:eastAsia="Calibri" w:hAnsi="Calibri"/>
      <w:color w:val="1d9aa1"/>
    </w:rPr>
    <w:tblPr>
      <w:tblStyleRowBandSize w:val="1"/>
      <w:tblStyleColBandSize w:val="1"/>
      <w:tblCellMar>
        <w:left w:w="108.0" w:type="dxa"/>
        <w:right w:w="108.0" w:type="dxa"/>
      </w:tblCellMar>
    </w:tblPr>
    <w:tblStylePr w:type="firstRow">
      <w:rPr>
        <w:b w:val="1"/>
      </w:rPr>
      <w:tblPr/>
      <w:tcPr>
        <w:tcBorders>
          <w:bottom w:color="a0c7c5" w:space="0" w:sz="12" w:val="single"/>
        </w:tcBorders>
      </w:tcPr>
    </w:tblStylePr>
    <w:tblStylePr w:type="lastRow">
      <w:rPr>
        <w:b w:val="1"/>
      </w:rPr>
      <w:tblPr/>
      <w:tcPr>
        <w:tcBorders>
          <w:top w:color="a0c7c5" w:space="0" w:sz="4" w:val="single"/>
        </w:tcBorders>
      </w:tcPr>
    </w:tblStylePr>
    <w:tblStylePr w:type="firstCol">
      <w:rPr>
        <w:b w:val="1"/>
      </w:rPr>
    </w:tblStylePr>
    <w:tblStylePr w:type="lastCol">
      <w:rPr>
        <w:b w:val="1"/>
      </w:rPr>
    </w:tblStylePr>
  </w:style>
  <w:style w:type="table" w:styleId="afffff1" w:customStyle="1">
    <w:basedOn w:val="TableNormal1"/>
    <w:tblPr>
      <w:tblStyleRowBandSize w:val="1"/>
      <w:tblStyleColBandSize w:val="1"/>
      <w:tblCellMar>
        <w:left w:w="70.0" w:type="dxa"/>
        <w:right w:w="70.0" w:type="dxa"/>
      </w:tblCellMar>
    </w:tblPr>
  </w:style>
  <w:style w:type="table" w:styleId="afffff2" w:customStyle="1">
    <w:basedOn w:val="TableNormal1"/>
    <w:tblPr>
      <w:tblStyleRowBandSize w:val="1"/>
      <w:tblStyleColBandSize w:val="1"/>
    </w:tblPr>
  </w:style>
  <w:style w:type="table" w:styleId="afffff3" w:customStyle="1">
    <w:basedOn w:val="TableNormal1"/>
    <w:pPr>
      <w:spacing w:line="240" w:lineRule="auto"/>
    </w:pPr>
    <w:rPr>
      <w:rFonts w:ascii="Calibri" w:cs="Calibri" w:eastAsia="Calibri" w:hAnsi="Calibri"/>
      <w:color w:val="1d9aa1"/>
    </w:rPr>
    <w:tblPr>
      <w:tblStyleRowBandSize w:val="1"/>
      <w:tblStyleColBandSize w:val="1"/>
      <w:tblCellMar>
        <w:left w:w="108.0" w:type="dxa"/>
        <w:right w:w="108.0" w:type="dxa"/>
      </w:tblCellMar>
    </w:tblPr>
    <w:tblStylePr w:type="firstRow">
      <w:rPr>
        <w:b w:val="1"/>
      </w:rPr>
      <w:tblPr/>
      <w:tcPr>
        <w:tcBorders>
          <w:bottom w:color="8cd6c0" w:space="0" w:sz="12" w:val="single"/>
        </w:tcBorders>
      </w:tcPr>
    </w:tblStylePr>
    <w:tblStylePr w:type="lastRow">
      <w:rPr>
        <w:b w:val="1"/>
      </w:rPr>
      <w:tblPr/>
      <w:tcPr>
        <w:tcBorders>
          <w:top w:color="8cd6c0" w:space="0" w:sz="4" w:val="single"/>
        </w:tcBorders>
      </w:tcPr>
    </w:tblStylePr>
    <w:tblStylePr w:type="firstCol">
      <w:rPr>
        <w:b w:val="1"/>
      </w:rPr>
    </w:tblStylePr>
    <w:tblStylePr w:type="lastCol">
      <w:rPr>
        <w:b w:val="1"/>
      </w:rPr>
    </w:tblStylePr>
  </w:style>
  <w:style w:type="table" w:styleId="afffff4" w:customStyle="1">
    <w:basedOn w:val="TableNormal1"/>
    <w:pPr>
      <w:spacing w:line="240" w:lineRule="auto"/>
    </w:pPr>
    <w:tblPr>
      <w:tblStyleRowBandSize w:val="1"/>
      <w:tblStyleColBandSize w:val="1"/>
      <w:tblCellMar>
        <w:left w:w="115.0" w:type="dxa"/>
        <w:right w:w="115.0" w:type="dxa"/>
      </w:tblCellMar>
    </w:tblPr>
  </w:style>
  <w:style w:type="table" w:styleId="afffff5" w:customStyle="1">
    <w:basedOn w:val="TableNormal1"/>
    <w:pPr>
      <w:spacing w:line="240" w:lineRule="auto"/>
    </w:pPr>
    <w:tblPr>
      <w:tblStyleRowBandSize w:val="1"/>
      <w:tblStyleColBandSize w:val="1"/>
      <w:tblCellMar>
        <w:left w:w="115.0" w:type="dxa"/>
        <w:right w:w="115.0" w:type="dxa"/>
      </w:tblCellMar>
    </w:tblPr>
  </w:style>
  <w:style w:type="table" w:styleId="afffff6" w:customStyle="1">
    <w:basedOn w:val="TableNormal1"/>
    <w:pPr>
      <w:spacing w:line="240" w:lineRule="auto"/>
    </w:pPr>
    <w:tblPr>
      <w:tblStyleRowBandSize w:val="1"/>
      <w:tblStyleColBandSize w:val="1"/>
      <w:tblCellMar>
        <w:left w:w="115.0" w:type="dxa"/>
        <w:right w:w="115.0" w:type="dxa"/>
      </w:tblCellMar>
    </w:tblPr>
  </w:style>
  <w:style w:type="table" w:styleId="afffff7" w:customStyle="1">
    <w:basedOn w:val="TableNormal1"/>
    <w:pPr>
      <w:spacing w:line="240" w:lineRule="auto"/>
    </w:pPr>
    <w:tblPr>
      <w:tblStyleRowBandSize w:val="1"/>
      <w:tblStyleColBandSize w:val="1"/>
      <w:tblCellMar>
        <w:left w:w="115.0" w:type="dxa"/>
        <w:right w:w="115.0" w:type="dxa"/>
      </w:tblCellMar>
    </w:tblPr>
  </w:style>
  <w:style w:type="table" w:styleId="afffff8" w:customStyle="1">
    <w:basedOn w:val="TableNormal1"/>
    <w:pPr>
      <w:spacing w:line="240" w:lineRule="auto"/>
    </w:pPr>
    <w:tblPr>
      <w:tblStyleRowBandSize w:val="1"/>
      <w:tblStyleColBandSize w:val="1"/>
      <w:tblCellMar>
        <w:left w:w="115.0" w:type="dxa"/>
        <w:right w:w="115.0" w:type="dxa"/>
      </w:tblCellMar>
    </w:tblPr>
  </w:style>
  <w:style w:type="table" w:styleId="afffff9"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a"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b"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c"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d"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fe"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ff"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0"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ff1"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ff2"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3"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4"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5"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6"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7"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8"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ffff9" w:customStyle="1">
    <w:basedOn w:val="TableNormal0"/>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ffa"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fb"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fc"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fd"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table" w:styleId="affffffe" w:customStyle="1">
    <w:basedOn w:val="TableNormal0"/>
    <w:pPr>
      <w:spacing w:line="240" w:lineRule="auto"/>
    </w:pPr>
    <w:rPr>
      <w:rFonts w:ascii="Calibri" w:cs="Calibri" w:eastAsia="Calibri" w:hAnsi="Calibri"/>
      <w:color w:val="1d9aa1"/>
    </w:rPr>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A604F7"/>
    <w:rPr>
      <w:color w:val="605e5c"/>
      <w:shd w:color="auto" w:fill="e1dfdd" w:val="clear"/>
    </w:rPr>
  </w:style>
  <w:style w:type="character" w:styleId="Hipervnculovisitado">
    <w:name w:val="FollowedHyperlink"/>
    <w:basedOn w:val="Fuentedeprrafopredeter"/>
    <w:uiPriority w:val="99"/>
    <w:semiHidden w:val="1"/>
    <w:unhideWhenUsed w:val="1"/>
    <w:rsid w:val="00957AAA"/>
    <w:rPr>
      <w:color w:val="b26b0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1d9aa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grupocdys.com.co/el-oficial-de-cumplimiento-en-sagrilaft-sarlaft-y-salifpt-y-sus-funciones/" TargetMode="External"/><Relationship Id="rId22" Type="http://schemas.openxmlformats.org/officeDocument/2006/relationships/hyperlink" Target="https://aml.stradata.co/sarlaft-4-0-11-motivos-de-sancion-por-incumplimiento-de-la-norma/" TargetMode="External"/><Relationship Id="rId21" Type="http://schemas.openxmlformats.org/officeDocument/2006/relationships/hyperlink" Target="https://www.compliance.com.co/perfil-de-oficial-de-cumplimiento-funciones-del-oficial-de-cumplimiento/" TargetMode="External"/><Relationship Id="rId24" Type="http://schemas.openxmlformats.org/officeDocument/2006/relationships/hyperlink" Target="https://www.uiaf.gov.co/nuestra_entidad/quienes_somos" TargetMode="External"/><Relationship Id="rId23" Type="http://schemas.openxmlformats.org/officeDocument/2006/relationships/hyperlink" Target="https://www.uiaf.gov.co/nuestra_entidad/objetivo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eader" Target="header1.xml"/><Relationship Id="rId25"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hyperlink" Target="https://www.uiaf.gov.co/nuestra_entidad/objetivos" TargetMode="External"/><Relationship Id="rId14" Type="http://schemas.openxmlformats.org/officeDocument/2006/relationships/image" Target="media/image9.png"/><Relationship Id="rId17" Type="http://schemas.openxmlformats.org/officeDocument/2006/relationships/hyperlink" Target="https://youtu.be/kFOeVkgD38U" TargetMode="External"/><Relationship Id="rId16" Type="http://schemas.openxmlformats.org/officeDocument/2006/relationships/image" Target="media/image6.png"/><Relationship Id="rId19" Type="http://schemas.openxmlformats.org/officeDocument/2006/relationships/hyperlink" Target="https://coopfuturo.com.co/wp-content/uploads/2019/09/SARLAFT-CAPACITACION-vfinal_DIC_14_2017.pdf" TargetMode="External"/><Relationship Id="rId18" Type="http://schemas.openxmlformats.org/officeDocument/2006/relationships/hyperlink" Target="https://youtu.be/kFOeVkgD38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GQMByhhVbjiaJWqz/ODch7phTA==">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2021-09-16T22:17:00Z</dcterms:created>
  <dc:creator>Asus</dc:creator>
</cp:coreProperties>
</file>