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3B2295">
      <w:r>
        <w:rPr>
          <w:noProof/>
          <w:color w:val="000000"/>
          <w:sz w:val="20"/>
          <w:szCs w:val="20"/>
        </w:rPr>
        <w:drawing>
          <wp:inline distT="0" distB="0" distL="0" distR="0" wp14:anchorId="7941BAD1" wp14:editId="69A8D657">
            <wp:extent cx="5486400" cy="3200400"/>
            <wp:effectExtent l="0" t="0" r="0" b="19050"/>
            <wp:docPr id="222" name="Diagrama 2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95"/>
    <w:rsid w:val="003B2295"/>
    <w:rsid w:val="006F7D3D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5CF2F-0E65-4808-BA93-7578DDD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7CCBDD-CDB1-4793-A7D1-4A4C2016434C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488E800-C82E-4C9C-A4C0-B5337820A880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CO" b="1">
              <a:solidFill>
                <a:sysClr val="windowText" lastClr="000000"/>
              </a:solidFill>
            </a:rPr>
            <a:t>1. Etapa mesofílica</a:t>
          </a:r>
          <a:r>
            <a:rPr lang="es-CO">
              <a:solidFill>
                <a:sysClr val="windowText" lastClr="000000"/>
              </a:solidFill>
            </a:rPr>
            <a:t>:</a:t>
          </a:r>
        </a:p>
        <a:p>
          <a:r>
            <a:rPr lang="es-CO">
              <a:solidFill>
                <a:sysClr val="windowText" lastClr="000000"/>
              </a:solidFill>
            </a:rPr>
            <a:t> la mezcla alcanza temperaturas de hasta 40°C.</a:t>
          </a:r>
          <a:endParaRPr lang="es-ES">
            <a:solidFill>
              <a:sysClr val="windowText" lastClr="000000"/>
            </a:solidFill>
          </a:endParaRPr>
        </a:p>
      </dgm:t>
    </dgm:pt>
    <dgm:pt modelId="{AA78DC9B-6291-46F9-9CF9-4619DD559669}" type="parTrans" cxnId="{38BE1F38-868D-44D6-9DD1-66C050DDF2F2}">
      <dgm:prSet/>
      <dgm:spPr/>
      <dgm:t>
        <a:bodyPr/>
        <a:lstStyle/>
        <a:p>
          <a:endParaRPr lang="es-ES"/>
        </a:p>
      </dgm:t>
    </dgm:pt>
    <dgm:pt modelId="{110743B6-DE89-4D11-A0A8-6D92E5D4E2D7}" type="sibTrans" cxnId="{38BE1F38-868D-44D6-9DD1-66C050DDF2F2}">
      <dgm:prSet/>
      <dgm:spPr/>
      <dgm:t>
        <a:bodyPr/>
        <a:lstStyle/>
        <a:p>
          <a:endParaRPr lang="es-ES"/>
        </a:p>
      </dgm:t>
    </dgm:pt>
    <dgm:pt modelId="{134AA39E-DC71-40FA-82B9-FC433979A9D6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CO" b="1">
              <a:solidFill>
                <a:sysClr val="windowText" lastClr="000000"/>
              </a:solidFill>
            </a:rPr>
            <a:t>3. Etapa de enfriamiento o mesófila II</a:t>
          </a:r>
          <a:r>
            <a:rPr lang="es-CO">
              <a:solidFill>
                <a:sysClr val="windowText" lastClr="000000"/>
              </a:solidFill>
            </a:rPr>
            <a:t>:</a:t>
          </a:r>
        </a:p>
        <a:p>
          <a:r>
            <a:rPr lang="es-CO">
              <a:solidFill>
                <a:sysClr val="windowText" lastClr="000000"/>
              </a:solidFill>
            </a:rPr>
            <a:t> la temperatura comienza a descender hasta igualar la ambiental.</a:t>
          </a:r>
          <a:endParaRPr lang="es-ES">
            <a:solidFill>
              <a:sysClr val="windowText" lastClr="000000"/>
            </a:solidFill>
          </a:endParaRPr>
        </a:p>
      </dgm:t>
    </dgm:pt>
    <dgm:pt modelId="{5CAAAA74-3E3F-48CD-909F-4C928B936882}" type="parTrans" cxnId="{36BE2DCA-D69A-4DE7-BA35-24E6EA64FB01}">
      <dgm:prSet/>
      <dgm:spPr/>
      <dgm:t>
        <a:bodyPr/>
        <a:lstStyle/>
        <a:p>
          <a:endParaRPr lang="es-ES"/>
        </a:p>
      </dgm:t>
    </dgm:pt>
    <dgm:pt modelId="{99AE7F11-D6C3-460D-A592-15E084415C58}" type="sibTrans" cxnId="{36BE2DCA-D69A-4DE7-BA35-24E6EA64FB01}">
      <dgm:prSet/>
      <dgm:spPr/>
      <dgm:t>
        <a:bodyPr/>
        <a:lstStyle/>
        <a:p>
          <a:endParaRPr lang="es-ES"/>
        </a:p>
      </dgm:t>
    </dgm:pt>
    <dgm:pt modelId="{67BFDE34-6390-49C4-91CA-5D467C726FC7}">
      <dgm:prSet phldrT="[Texto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es-CO" b="1">
              <a:solidFill>
                <a:sysClr val="windowText" lastClr="000000"/>
              </a:solidFill>
            </a:rPr>
            <a:t>4. Etapa de maduración</a:t>
          </a:r>
          <a:r>
            <a:rPr lang="es-CO">
              <a:solidFill>
                <a:sysClr val="windowText" lastClr="000000"/>
              </a:solidFill>
            </a:rPr>
            <a:t>: </a:t>
          </a:r>
        </a:p>
        <a:p>
          <a:r>
            <a:rPr lang="es-CO">
              <a:solidFill>
                <a:sysClr val="windowText" lastClr="000000"/>
              </a:solidFill>
            </a:rPr>
            <a:t>la mezcla se encuentra estable.</a:t>
          </a:r>
          <a:endParaRPr lang="es-ES"/>
        </a:p>
      </dgm:t>
    </dgm:pt>
    <dgm:pt modelId="{30718A26-A7B0-4578-9594-FEA2E5627A60}" type="parTrans" cxnId="{71561A60-0806-4403-B03A-DEACB1857AF5}">
      <dgm:prSet/>
      <dgm:spPr/>
      <dgm:t>
        <a:bodyPr/>
        <a:lstStyle/>
        <a:p>
          <a:endParaRPr lang="es-ES"/>
        </a:p>
      </dgm:t>
    </dgm:pt>
    <dgm:pt modelId="{E59C2D2A-C6F1-48B8-9293-F9BC9B97441E}" type="sibTrans" cxnId="{71561A60-0806-4403-B03A-DEACB1857AF5}">
      <dgm:prSet/>
      <dgm:spPr/>
      <dgm:t>
        <a:bodyPr/>
        <a:lstStyle/>
        <a:p>
          <a:endParaRPr lang="es-ES"/>
        </a:p>
      </dgm:t>
    </dgm:pt>
    <dgm:pt modelId="{973D8A2B-9261-4D7C-BEF4-E2B1A69EECB4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s-CO" b="1">
              <a:solidFill>
                <a:sysClr val="windowText" lastClr="000000"/>
              </a:solidFill>
            </a:rPr>
            <a:t>2. Etapa termofílica o de higienización</a:t>
          </a:r>
          <a:r>
            <a:rPr lang="es-CO">
              <a:solidFill>
                <a:sysClr val="windowText" lastClr="000000"/>
              </a:solidFill>
            </a:rPr>
            <a:t>: </a:t>
          </a:r>
        </a:p>
        <a:p>
          <a:r>
            <a:rPr lang="es-CO">
              <a:solidFill>
                <a:sysClr val="windowText" lastClr="000000"/>
              </a:solidFill>
            </a:rPr>
            <a:t>la mezcla alcanza temperaturas que superan los 60°C, por lo cual se produce la muerte de los microorganismos patógenos (causantes de enfermedades).</a:t>
          </a:r>
        </a:p>
      </dgm:t>
    </dgm:pt>
    <dgm:pt modelId="{38B99A5C-D865-45E0-8225-545E39AA1E93}" type="parTrans" cxnId="{BFC43671-BCC9-492C-AC08-C846A887E538}">
      <dgm:prSet/>
      <dgm:spPr/>
      <dgm:t>
        <a:bodyPr/>
        <a:lstStyle/>
        <a:p>
          <a:endParaRPr lang="es-ES"/>
        </a:p>
      </dgm:t>
    </dgm:pt>
    <dgm:pt modelId="{78C95C3A-665A-47C4-8EA7-9E753FD4537D}" type="sibTrans" cxnId="{BFC43671-BCC9-492C-AC08-C846A887E538}">
      <dgm:prSet/>
      <dgm:spPr/>
      <dgm:t>
        <a:bodyPr/>
        <a:lstStyle/>
        <a:p>
          <a:endParaRPr lang="es-ES"/>
        </a:p>
      </dgm:t>
    </dgm:pt>
    <dgm:pt modelId="{90BC7A56-5DC6-4690-8F6D-2FC5D20DE1C1}" type="pres">
      <dgm:prSet presAssocID="{3A7CCBDD-CDB1-4793-A7D1-4A4C2016434C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DDB6FFB0-3F6D-485D-A26F-D06AD8AA794C}" type="pres">
      <dgm:prSet presAssocID="{A488E800-C82E-4C9C-A4C0-B5337820A880}" presName="composite" presStyleCnt="0"/>
      <dgm:spPr/>
    </dgm:pt>
    <dgm:pt modelId="{712DA48A-DF5D-425C-979C-21367CB1BE11}" type="pres">
      <dgm:prSet presAssocID="{A488E800-C82E-4C9C-A4C0-B5337820A880}" presName="imgShp" presStyleLbl="fgImgPlace1" presStyleIdx="0" presStyleCnt="4"/>
      <dgm:spPr/>
    </dgm:pt>
    <dgm:pt modelId="{5ABF4D6C-6A4E-4161-A790-1BB74CCF55C0}" type="pres">
      <dgm:prSet presAssocID="{A488E800-C82E-4C9C-A4C0-B5337820A880}" presName="txShp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72D3C62-4767-47A4-8CFC-846CAC6E6EB6}" type="pres">
      <dgm:prSet presAssocID="{110743B6-DE89-4D11-A0A8-6D92E5D4E2D7}" presName="spacing" presStyleCnt="0"/>
      <dgm:spPr/>
    </dgm:pt>
    <dgm:pt modelId="{6F5BD4EF-9A85-4949-8528-F467F348C1EB}" type="pres">
      <dgm:prSet presAssocID="{973D8A2B-9261-4D7C-BEF4-E2B1A69EECB4}" presName="composite" presStyleCnt="0"/>
      <dgm:spPr/>
    </dgm:pt>
    <dgm:pt modelId="{9AC303BA-011B-4F74-9BE9-1A96FFADEBC8}" type="pres">
      <dgm:prSet presAssocID="{973D8A2B-9261-4D7C-BEF4-E2B1A69EECB4}" presName="imgShp" presStyleLbl="fgImgPlace1" presStyleIdx="1" presStyleCnt="4"/>
      <dgm:spPr/>
    </dgm:pt>
    <dgm:pt modelId="{1005ED84-D31D-42D9-8A89-63CA551B8E29}" type="pres">
      <dgm:prSet presAssocID="{973D8A2B-9261-4D7C-BEF4-E2B1A69EECB4}" presName="txShp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5DEA0A-9EDB-4E93-AECF-15555C0E59C9}" type="pres">
      <dgm:prSet presAssocID="{78C95C3A-665A-47C4-8EA7-9E753FD4537D}" presName="spacing" presStyleCnt="0"/>
      <dgm:spPr/>
    </dgm:pt>
    <dgm:pt modelId="{4FAF99FF-73E8-4BDE-8510-765784BA04A4}" type="pres">
      <dgm:prSet presAssocID="{134AA39E-DC71-40FA-82B9-FC433979A9D6}" presName="composite" presStyleCnt="0"/>
      <dgm:spPr/>
    </dgm:pt>
    <dgm:pt modelId="{257A90C7-0DF4-49FA-92FC-1AD901A49ACB}" type="pres">
      <dgm:prSet presAssocID="{134AA39E-DC71-40FA-82B9-FC433979A9D6}" presName="imgShp" presStyleLbl="fgImgPlace1" presStyleIdx="2" presStyleCnt="4"/>
      <dgm:spPr/>
    </dgm:pt>
    <dgm:pt modelId="{5901FFA6-6AD9-4AB5-BDC0-D564DE34C22A}" type="pres">
      <dgm:prSet presAssocID="{134AA39E-DC71-40FA-82B9-FC433979A9D6}" presName="txShp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4304911-ED3E-423B-82DF-50E291A4E799}" type="pres">
      <dgm:prSet presAssocID="{99AE7F11-D6C3-460D-A592-15E084415C58}" presName="spacing" presStyleCnt="0"/>
      <dgm:spPr/>
    </dgm:pt>
    <dgm:pt modelId="{1866D3E6-2F77-482E-8906-18EE2E62A7D1}" type="pres">
      <dgm:prSet presAssocID="{67BFDE34-6390-49C4-91CA-5D467C726FC7}" presName="composite" presStyleCnt="0"/>
      <dgm:spPr/>
    </dgm:pt>
    <dgm:pt modelId="{8AD9557C-0FCE-4B84-A025-61E8129770E6}" type="pres">
      <dgm:prSet presAssocID="{67BFDE34-6390-49C4-91CA-5D467C726FC7}" presName="imgShp" presStyleLbl="fgImgPlace1" presStyleIdx="3" presStyleCnt="4"/>
      <dgm:spPr/>
    </dgm:pt>
    <dgm:pt modelId="{8B48F67F-C87B-485B-AC51-41E9F5BF4A2E}" type="pres">
      <dgm:prSet presAssocID="{67BFDE34-6390-49C4-91CA-5D467C726FC7}" presName="txShp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1561A60-0806-4403-B03A-DEACB1857AF5}" srcId="{3A7CCBDD-CDB1-4793-A7D1-4A4C2016434C}" destId="{67BFDE34-6390-49C4-91CA-5D467C726FC7}" srcOrd="3" destOrd="0" parTransId="{30718A26-A7B0-4578-9594-FEA2E5627A60}" sibTransId="{E59C2D2A-C6F1-48B8-9293-F9BC9B97441E}"/>
    <dgm:cxn modelId="{38BE1F38-868D-44D6-9DD1-66C050DDF2F2}" srcId="{3A7CCBDD-CDB1-4793-A7D1-4A4C2016434C}" destId="{A488E800-C82E-4C9C-A4C0-B5337820A880}" srcOrd="0" destOrd="0" parTransId="{AA78DC9B-6291-46F9-9CF9-4619DD559669}" sibTransId="{110743B6-DE89-4D11-A0A8-6D92E5D4E2D7}"/>
    <dgm:cxn modelId="{15FADC02-3C83-4A63-8D99-6585D88291F4}" type="presOf" srcId="{67BFDE34-6390-49C4-91CA-5D467C726FC7}" destId="{8B48F67F-C87B-485B-AC51-41E9F5BF4A2E}" srcOrd="0" destOrd="0" presId="urn:microsoft.com/office/officeart/2005/8/layout/vList3"/>
    <dgm:cxn modelId="{36BE2DCA-D69A-4DE7-BA35-24E6EA64FB01}" srcId="{3A7CCBDD-CDB1-4793-A7D1-4A4C2016434C}" destId="{134AA39E-DC71-40FA-82B9-FC433979A9D6}" srcOrd="2" destOrd="0" parTransId="{5CAAAA74-3E3F-48CD-909F-4C928B936882}" sibTransId="{99AE7F11-D6C3-460D-A592-15E084415C58}"/>
    <dgm:cxn modelId="{CCAD3876-A15E-4031-B19E-FA63CA3A21A7}" type="presOf" srcId="{A488E800-C82E-4C9C-A4C0-B5337820A880}" destId="{5ABF4D6C-6A4E-4161-A790-1BB74CCF55C0}" srcOrd="0" destOrd="0" presId="urn:microsoft.com/office/officeart/2005/8/layout/vList3"/>
    <dgm:cxn modelId="{303F0984-9FFB-4290-8598-8580C9BABA31}" type="presOf" srcId="{134AA39E-DC71-40FA-82B9-FC433979A9D6}" destId="{5901FFA6-6AD9-4AB5-BDC0-D564DE34C22A}" srcOrd="0" destOrd="0" presId="urn:microsoft.com/office/officeart/2005/8/layout/vList3"/>
    <dgm:cxn modelId="{BFC43671-BCC9-492C-AC08-C846A887E538}" srcId="{3A7CCBDD-CDB1-4793-A7D1-4A4C2016434C}" destId="{973D8A2B-9261-4D7C-BEF4-E2B1A69EECB4}" srcOrd="1" destOrd="0" parTransId="{38B99A5C-D865-45E0-8225-545E39AA1E93}" sibTransId="{78C95C3A-665A-47C4-8EA7-9E753FD4537D}"/>
    <dgm:cxn modelId="{BF83AFE4-97B0-4E8C-B93C-BFD8C1F3C013}" type="presOf" srcId="{3A7CCBDD-CDB1-4793-A7D1-4A4C2016434C}" destId="{90BC7A56-5DC6-4690-8F6D-2FC5D20DE1C1}" srcOrd="0" destOrd="0" presId="urn:microsoft.com/office/officeart/2005/8/layout/vList3"/>
    <dgm:cxn modelId="{F3F2D291-D88D-43B2-976D-F4C75322E232}" type="presOf" srcId="{973D8A2B-9261-4D7C-BEF4-E2B1A69EECB4}" destId="{1005ED84-D31D-42D9-8A89-63CA551B8E29}" srcOrd="0" destOrd="0" presId="urn:microsoft.com/office/officeart/2005/8/layout/vList3"/>
    <dgm:cxn modelId="{C147F82A-A77C-45B5-AD13-348744722660}" type="presParOf" srcId="{90BC7A56-5DC6-4690-8F6D-2FC5D20DE1C1}" destId="{DDB6FFB0-3F6D-485D-A26F-D06AD8AA794C}" srcOrd="0" destOrd="0" presId="urn:microsoft.com/office/officeart/2005/8/layout/vList3"/>
    <dgm:cxn modelId="{DDB3B85A-81D3-4A37-A21D-BAA9F311EE64}" type="presParOf" srcId="{DDB6FFB0-3F6D-485D-A26F-D06AD8AA794C}" destId="{712DA48A-DF5D-425C-979C-21367CB1BE11}" srcOrd="0" destOrd="0" presId="urn:microsoft.com/office/officeart/2005/8/layout/vList3"/>
    <dgm:cxn modelId="{4FC8AC69-F599-478A-849A-5F3F367DA271}" type="presParOf" srcId="{DDB6FFB0-3F6D-485D-A26F-D06AD8AA794C}" destId="{5ABF4D6C-6A4E-4161-A790-1BB74CCF55C0}" srcOrd="1" destOrd="0" presId="urn:microsoft.com/office/officeart/2005/8/layout/vList3"/>
    <dgm:cxn modelId="{0847DFEC-2500-4737-ACB0-F9095D25075E}" type="presParOf" srcId="{90BC7A56-5DC6-4690-8F6D-2FC5D20DE1C1}" destId="{F72D3C62-4767-47A4-8CFC-846CAC6E6EB6}" srcOrd="1" destOrd="0" presId="urn:microsoft.com/office/officeart/2005/8/layout/vList3"/>
    <dgm:cxn modelId="{1B490242-AA29-4F49-87F2-E16743DC28E5}" type="presParOf" srcId="{90BC7A56-5DC6-4690-8F6D-2FC5D20DE1C1}" destId="{6F5BD4EF-9A85-4949-8528-F467F348C1EB}" srcOrd="2" destOrd="0" presId="urn:microsoft.com/office/officeart/2005/8/layout/vList3"/>
    <dgm:cxn modelId="{75112725-15A0-472A-AD1A-CC532C06CDD0}" type="presParOf" srcId="{6F5BD4EF-9A85-4949-8528-F467F348C1EB}" destId="{9AC303BA-011B-4F74-9BE9-1A96FFADEBC8}" srcOrd="0" destOrd="0" presId="urn:microsoft.com/office/officeart/2005/8/layout/vList3"/>
    <dgm:cxn modelId="{54352FC9-D241-4F72-A7E6-A4D1839E37C6}" type="presParOf" srcId="{6F5BD4EF-9A85-4949-8528-F467F348C1EB}" destId="{1005ED84-D31D-42D9-8A89-63CA551B8E29}" srcOrd="1" destOrd="0" presId="urn:microsoft.com/office/officeart/2005/8/layout/vList3"/>
    <dgm:cxn modelId="{A23C2428-B19D-40C3-9FC5-430DD14B8FB1}" type="presParOf" srcId="{90BC7A56-5DC6-4690-8F6D-2FC5D20DE1C1}" destId="{695DEA0A-9EDB-4E93-AECF-15555C0E59C9}" srcOrd="3" destOrd="0" presId="urn:microsoft.com/office/officeart/2005/8/layout/vList3"/>
    <dgm:cxn modelId="{EB84E4D0-D0AC-4829-BF4C-9AB6FF79549A}" type="presParOf" srcId="{90BC7A56-5DC6-4690-8F6D-2FC5D20DE1C1}" destId="{4FAF99FF-73E8-4BDE-8510-765784BA04A4}" srcOrd="4" destOrd="0" presId="urn:microsoft.com/office/officeart/2005/8/layout/vList3"/>
    <dgm:cxn modelId="{A7AD3D61-9089-4C16-9B3D-A5B013E197E9}" type="presParOf" srcId="{4FAF99FF-73E8-4BDE-8510-765784BA04A4}" destId="{257A90C7-0DF4-49FA-92FC-1AD901A49ACB}" srcOrd="0" destOrd="0" presId="urn:microsoft.com/office/officeart/2005/8/layout/vList3"/>
    <dgm:cxn modelId="{01978022-0600-4ADF-B47C-F8C5904219A0}" type="presParOf" srcId="{4FAF99FF-73E8-4BDE-8510-765784BA04A4}" destId="{5901FFA6-6AD9-4AB5-BDC0-D564DE34C22A}" srcOrd="1" destOrd="0" presId="urn:microsoft.com/office/officeart/2005/8/layout/vList3"/>
    <dgm:cxn modelId="{24E9871D-7F87-44C4-82FC-C2BC016CB89E}" type="presParOf" srcId="{90BC7A56-5DC6-4690-8F6D-2FC5D20DE1C1}" destId="{64304911-ED3E-423B-82DF-50E291A4E799}" srcOrd="5" destOrd="0" presId="urn:microsoft.com/office/officeart/2005/8/layout/vList3"/>
    <dgm:cxn modelId="{35F4DD2B-84DF-47F0-9946-7E26125F7F25}" type="presParOf" srcId="{90BC7A56-5DC6-4690-8F6D-2FC5D20DE1C1}" destId="{1866D3E6-2F77-482E-8906-18EE2E62A7D1}" srcOrd="6" destOrd="0" presId="urn:microsoft.com/office/officeart/2005/8/layout/vList3"/>
    <dgm:cxn modelId="{61C55D12-116F-4C6A-83C4-4A3E0F84452B}" type="presParOf" srcId="{1866D3E6-2F77-482E-8906-18EE2E62A7D1}" destId="{8AD9557C-0FCE-4B84-A025-61E8129770E6}" srcOrd="0" destOrd="0" presId="urn:microsoft.com/office/officeart/2005/8/layout/vList3"/>
    <dgm:cxn modelId="{FB7629AC-E8DF-48C8-BD35-7AB6E2FE7311}" type="presParOf" srcId="{1866D3E6-2F77-482E-8906-18EE2E62A7D1}" destId="{8B48F67F-C87B-485B-AC51-41E9F5BF4A2E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F4D6C-6A4E-4161-A790-1BB74CCF55C0}">
      <dsp:nvSpPr>
        <dsp:cNvPr id="0" name=""/>
        <dsp:cNvSpPr/>
      </dsp:nvSpPr>
      <dsp:spPr>
        <a:xfrm rot="10800000">
          <a:off x="1082304" y="1000"/>
          <a:ext cx="3648456" cy="653331"/>
        </a:xfrm>
        <a:prstGeom prst="homePlate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34290" rIns="64008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1. Etapa mesofílica</a:t>
          </a:r>
          <a:r>
            <a:rPr lang="es-CO" sz="900" kern="1200">
              <a:solidFill>
                <a:sysClr val="windowText" lastClr="000000"/>
              </a:solidFill>
            </a:rPr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solidFill>
                <a:sysClr val="windowText" lastClr="000000"/>
              </a:solidFill>
            </a:rPr>
            <a:t> la mezcla alcanza temperaturas de hasta 40°C.</a:t>
          </a:r>
          <a:endParaRPr lang="es-ES" sz="900" kern="1200">
            <a:solidFill>
              <a:sysClr val="windowText" lastClr="000000"/>
            </a:solidFill>
          </a:endParaRPr>
        </a:p>
      </dsp:txBody>
      <dsp:txXfrm rot="10800000">
        <a:off x="1245637" y="1000"/>
        <a:ext cx="3485123" cy="653331"/>
      </dsp:txXfrm>
    </dsp:sp>
    <dsp:sp modelId="{712DA48A-DF5D-425C-979C-21367CB1BE11}">
      <dsp:nvSpPr>
        <dsp:cNvPr id="0" name=""/>
        <dsp:cNvSpPr/>
      </dsp:nvSpPr>
      <dsp:spPr>
        <a:xfrm>
          <a:off x="755639" y="1000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05ED84-D31D-42D9-8A89-63CA551B8E29}">
      <dsp:nvSpPr>
        <dsp:cNvPr id="0" name=""/>
        <dsp:cNvSpPr/>
      </dsp:nvSpPr>
      <dsp:spPr>
        <a:xfrm rot="10800000">
          <a:off x="1082304" y="849356"/>
          <a:ext cx="3648456" cy="653331"/>
        </a:xfrm>
        <a:prstGeom prst="homePlate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34290" rIns="64008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2. Etapa termofílica o de higienización</a:t>
          </a:r>
          <a:r>
            <a:rPr lang="es-CO" sz="900" kern="1200">
              <a:solidFill>
                <a:sysClr val="windowText" lastClr="000000"/>
              </a:solidFill>
            </a:rPr>
            <a:t>: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solidFill>
                <a:sysClr val="windowText" lastClr="000000"/>
              </a:solidFill>
            </a:rPr>
            <a:t>la mezcla alcanza temperaturas que superan los 60°C, por lo cual se produce la muerte de los microorganismos patógenos (causantes de enfermedades).</a:t>
          </a:r>
        </a:p>
      </dsp:txBody>
      <dsp:txXfrm rot="10800000">
        <a:off x="1245637" y="849356"/>
        <a:ext cx="3485123" cy="653331"/>
      </dsp:txXfrm>
    </dsp:sp>
    <dsp:sp modelId="{9AC303BA-011B-4F74-9BE9-1A96FFADEBC8}">
      <dsp:nvSpPr>
        <dsp:cNvPr id="0" name=""/>
        <dsp:cNvSpPr/>
      </dsp:nvSpPr>
      <dsp:spPr>
        <a:xfrm>
          <a:off x="755639" y="849356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1FFA6-6AD9-4AB5-BDC0-D564DE34C22A}">
      <dsp:nvSpPr>
        <dsp:cNvPr id="0" name=""/>
        <dsp:cNvSpPr/>
      </dsp:nvSpPr>
      <dsp:spPr>
        <a:xfrm rot="10800000">
          <a:off x="1082304" y="1697712"/>
          <a:ext cx="3648456" cy="653331"/>
        </a:xfrm>
        <a:prstGeom prst="homePlat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34290" rIns="64008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3. Etapa de enfriamiento o mesófila II</a:t>
          </a:r>
          <a:r>
            <a:rPr lang="es-CO" sz="900" kern="1200">
              <a:solidFill>
                <a:sysClr val="windowText" lastClr="000000"/>
              </a:solidFill>
            </a:rPr>
            <a:t>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solidFill>
                <a:sysClr val="windowText" lastClr="000000"/>
              </a:solidFill>
            </a:rPr>
            <a:t> la temperatura comienza a descender hasta igualar la ambiental.</a:t>
          </a:r>
          <a:endParaRPr lang="es-ES" sz="900" kern="1200">
            <a:solidFill>
              <a:sysClr val="windowText" lastClr="000000"/>
            </a:solidFill>
          </a:endParaRPr>
        </a:p>
      </dsp:txBody>
      <dsp:txXfrm rot="10800000">
        <a:off x="1245637" y="1697712"/>
        <a:ext cx="3485123" cy="653331"/>
      </dsp:txXfrm>
    </dsp:sp>
    <dsp:sp modelId="{257A90C7-0DF4-49FA-92FC-1AD901A49ACB}">
      <dsp:nvSpPr>
        <dsp:cNvPr id="0" name=""/>
        <dsp:cNvSpPr/>
      </dsp:nvSpPr>
      <dsp:spPr>
        <a:xfrm>
          <a:off x="755639" y="1697712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48F67F-C87B-485B-AC51-41E9F5BF4A2E}">
      <dsp:nvSpPr>
        <dsp:cNvPr id="0" name=""/>
        <dsp:cNvSpPr/>
      </dsp:nvSpPr>
      <dsp:spPr>
        <a:xfrm rot="10800000">
          <a:off x="1082304" y="2546068"/>
          <a:ext cx="3648456" cy="653331"/>
        </a:xfrm>
        <a:prstGeom prst="homePlate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34290" rIns="64008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4. Etapa de maduración</a:t>
          </a:r>
          <a:r>
            <a:rPr lang="es-CO" sz="900" kern="1200">
              <a:solidFill>
                <a:sysClr val="windowText" lastClr="000000"/>
              </a:solidFill>
            </a:rPr>
            <a:t>: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>
              <a:solidFill>
                <a:sysClr val="windowText" lastClr="000000"/>
              </a:solidFill>
            </a:rPr>
            <a:t>la mezcla se encuentra estable.</a:t>
          </a:r>
          <a:endParaRPr lang="es-ES" sz="900" kern="1200"/>
        </a:p>
      </dsp:txBody>
      <dsp:txXfrm rot="10800000">
        <a:off x="1245637" y="2546068"/>
        <a:ext cx="3485123" cy="653331"/>
      </dsp:txXfrm>
    </dsp:sp>
    <dsp:sp modelId="{8AD9557C-0FCE-4B84-A025-61E8129770E6}">
      <dsp:nvSpPr>
        <dsp:cNvPr id="0" name=""/>
        <dsp:cNvSpPr/>
      </dsp:nvSpPr>
      <dsp:spPr>
        <a:xfrm>
          <a:off x="755639" y="2546068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2021-07-06T11:33:00Z</dcterms:created>
  <dcterms:modified xsi:type="dcterms:W3CDTF">2021-07-06T11:34:00Z</dcterms:modified>
</cp:coreProperties>
</file>