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PROCESO CONSTRUCCIÓN DE RECURSOS EDUCATIVOS DIGITALES</w:t>
      </w:r>
    </w:p>
    <w:p w:rsidR="00000000" w:rsidDel="00000000" w:rsidP="00000000" w:rsidRDefault="00000000" w:rsidRPr="00000000" w14:paraId="00000002">
      <w:pPr>
        <w:spacing w:after="0" w:lineRule="auto"/>
        <w:jc w:val="center"/>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FORMATO INFORMACIÓN DEL PROGRAMA</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360" w:hanging="360"/>
        <w:jc w:val="center"/>
        <w:rPr>
          <w:rFonts w:ascii="Arial" w:cs="Arial" w:eastAsia="Arial" w:hAnsi="Arial"/>
          <w:b w:val="1"/>
          <w:color w:val="000000"/>
          <w:sz w:val="20"/>
          <w:szCs w:val="20"/>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Presentación</w:t>
      </w:r>
    </w:p>
    <w:p w:rsidR="00000000" w:rsidDel="00000000" w:rsidP="00000000" w:rsidRDefault="00000000" w:rsidRPr="00000000" w14:paraId="00000007">
      <w:pPr>
        <w:spacing w:after="0" w:lineRule="auto"/>
        <w:jc w:val="both"/>
        <w:rPr>
          <w:rFonts w:ascii="Arial" w:cs="Arial" w:eastAsia="Arial" w:hAnsi="Arial"/>
          <w:color w:val="7f7f7f"/>
          <w:sz w:val="20"/>
          <w:szCs w:val="20"/>
        </w:rPr>
      </w:pPr>
      <w:bookmarkStart w:colFirst="0" w:colLast="0" w:name="_heading=h.30j0zll" w:id="1"/>
      <w:bookmarkEnd w:id="1"/>
      <w:r w:rsidDel="00000000" w:rsidR="00000000" w:rsidRPr="00000000">
        <w:rPr>
          <w:rtl w:val="0"/>
        </w:rPr>
      </w:r>
    </w:p>
    <w:tbl>
      <w:tblPr>
        <w:tblStyle w:val="Table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008">
            <w:pPr>
              <w:spacing w:after="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GUIÓN LITERARIO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9">
            <w:pPr>
              <w:spacing w:after="0" w:lineRule="auto"/>
              <w:jc w:val="both"/>
              <w:rPr>
                <w:rFonts w:ascii="Arial" w:cs="Arial" w:eastAsia="Arial" w:hAnsi="Arial"/>
                <w:sz w:val="20"/>
                <w:szCs w:val="20"/>
              </w:rPr>
            </w:pPr>
            <w:bookmarkStart w:colFirst="0" w:colLast="0" w:name="_heading=h.3znysh7" w:id="2"/>
            <w:bookmarkEnd w:id="2"/>
            <w:r w:rsidDel="00000000" w:rsidR="00000000" w:rsidRPr="00000000">
              <w:rPr>
                <w:rFonts w:ascii="Arial" w:cs="Arial" w:eastAsia="Arial" w:hAnsi="Arial"/>
                <w:sz w:val="20"/>
                <w:szCs w:val="20"/>
                <w:rtl w:val="0"/>
              </w:rPr>
              <w:t xml:space="preserve">Los cambios tecnológicos del presente siglo han marcado nuestra forma de vivir; aspectos de la vida social, la economía y el entorno educativo se están transformando; así, apreciamos una era digital que cada día está más presente en todos los campos y factores como la cuarta revolución y los avances tecnológicos, contribuyen a que todos los actores deban adaptarse rápidamente al cambio y aportar a las nuevas generaciones en el desempeño eficiente de sus futuras labores.</w:t>
            </w:r>
          </w:p>
          <w:p w:rsidR="00000000" w:rsidDel="00000000" w:rsidP="00000000" w:rsidRDefault="00000000" w:rsidRPr="00000000" w14:paraId="0000000A">
            <w:pPr>
              <w:spacing w:after="0" w:lineRule="auto"/>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b w:val="1"/>
                <w:sz w:val="20"/>
                <w:szCs w:val="20"/>
                <w:highlight w:val="yellow"/>
              </w:rPr>
            </w:pPr>
            <w:sdt>
              <w:sdtPr>
                <w:tag w:val="goog_rdk_0"/>
              </w:sdtPr>
              <w:sdtContent>
                <w:commentRangeStart w:id="0"/>
              </w:sdtContent>
            </w:sdt>
            <w:r w:rsidDel="00000000" w:rsidR="00000000" w:rsidRPr="00000000">
              <w:rPr>
                <w:rFonts w:ascii="Arial" w:cs="Arial" w:eastAsia="Arial" w:hAnsi="Arial"/>
                <w:b w:val="1"/>
                <w:sz w:val="20"/>
                <w:szCs w:val="20"/>
                <w:highlight w:val="yellow"/>
              </w:rPr>
              <w:drawing>
                <wp:inline distB="0" distT="0" distL="0" distR="0">
                  <wp:extent cx="5860629" cy="848124"/>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60629" cy="848124"/>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b w:val="1"/>
                <w:sz w:val="20"/>
                <w:szCs w:val="20"/>
                <w:highlight w:val="yellow"/>
              </w:rPr>
            </w:pPr>
            <w:r w:rsidDel="00000000" w:rsidR="00000000" w:rsidRPr="00000000">
              <w:rPr>
                <w:rtl w:val="0"/>
              </w:rPr>
            </w:r>
          </w:p>
        </w:tc>
      </w:tr>
    </w:tbl>
    <w:p w:rsidR="00000000" w:rsidDel="00000000" w:rsidP="00000000" w:rsidRDefault="00000000" w:rsidRPr="00000000" w14:paraId="0000000D">
      <w:pPr>
        <w:spacing w:after="0" w:lineRule="auto"/>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programa: Desafíos de la educación contemporánea</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Código: </w:t>
      </w:r>
      <w:r w:rsidDel="00000000" w:rsidR="00000000" w:rsidRPr="00000000">
        <w:rPr>
          <w:rFonts w:ascii="Arial" w:cs="Arial" w:eastAsia="Arial" w:hAnsi="Arial"/>
          <w:sz w:val="20"/>
          <w:szCs w:val="20"/>
          <w:rtl w:val="0"/>
        </w:rPr>
        <w:t xml:space="preserve">41220000</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horas: 48 horas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bookmarkStart w:colFirst="0" w:colLast="0" w:name="_heading=h.1fob9te" w:id="3"/>
      <w:bookmarkEnd w:id="3"/>
      <w:r w:rsidDel="00000000" w:rsidR="00000000" w:rsidRPr="00000000">
        <w:rPr>
          <w:rFonts w:ascii="Arial" w:cs="Arial" w:eastAsia="Arial" w:hAnsi="Arial"/>
          <w:color w:val="000000"/>
          <w:sz w:val="20"/>
          <w:szCs w:val="20"/>
          <w:rtl w:val="0"/>
        </w:rPr>
        <w:t xml:space="preserve">Duración en </w:t>
      </w:r>
      <w:r w:rsidDel="00000000" w:rsidR="00000000" w:rsidRPr="00000000">
        <w:rPr>
          <w:rFonts w:ascii="Arial" w:cs="Arial" w:eastAsia="Arial" w:hAnsi="Arial"/>
          <w:sz w:val="20"/>
          <w:szCs w:val="20"/>
          <w:rtl w:val="0"/>
        </w:rPr>
        <w:t xml:space="preserve">meses</w:t>
      </w:r>
      <w:r w:rsidDel="00000000" w:rsidR="00000000" w:rsidRPr="00000000">
        <w:rPr>
          <w:rFonts w:ascii="Arial" w:cs="Arial" w:eastAsia="Arial" w:hAnsi="Arial"/>
          <w:color w:val="000000"/>
          <w:sz w:val="20"/>
          <w:szCs w:val="20"/>
          <w:rtl w:val="0"/>
        </w:rPr>
        <w:t xml:space="preserve">: 1</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Modalidad: virtual</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36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Rule="auto"/>
        <w:ind w:left="360" w:hanging="36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Justificación del programa</w:t>
      </w:r>
    </w:p>
    <w:p w:rsidR="00000000" w:rsidDel="00000000" w:rsidP="00000000" w:rsidRDefault="00000000" w:rsidRPr="00000000" w14:paraId="0000001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diferentes sectores productivos están cambiando las dinámicas de sus requerimientos. La entrada de nuevos actores para la inversión y la innovación demanda un personal cualificado de modo distinto, específicamente requiere que las personas hayan apropiado una serie de conocimientos y habilidades transversales propios del siglo XXI, por citar algunos: fundamentos de las ciencias exactas y su relación con los procesos de ingeniería, innovación, tecnologías emergentes, megatendencias, solución de problemas, comunicaciones complejas, adaptabilidad a nuevos contextos y un conocimiento adaptable sobre la incidencia del desarrollo tecnológico en los cambios de prospectiva de cada sector. </w:t>
      </w:r>
    </w:p>
    <w:p w:rsidR="00000000" w:rsidDel="00000000" w:rsidP="00000000" w:rsidRDefault="00000000" w:rsidRPr="00000000" w14:paraId="0000001B">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curso se busca sentar las bases del reconocimiento de la necesidad de generar cambios en la educación actual. Se constituye como la puerta de acceso a una serie de tres cursos que inician con la contextualización y terminan con el análisis de una propuesta en educación STEM que permita a los docentes comenzar a innovar en las aulas a través de diseños curriculares integrativos y más articulados con las necesidades de la industria de hoy. </w:t>
      </w:r>
    </w:p>
    <w:p w:rsidR="00000000" w:rsidDel="00000000" w:rsidP="00000000" w:rsidRDefault="00000000" w:rsidRPr="00000000" w14:paraId="0000001D">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Está dirigido para un nivel de cualificación A1, cuyas funciones de las ocupaciones son, por lo general, muy variadas, demandan comprensión de lectura, transmisión de conocimiento, redacción de textos, comunicación asertiva y estrategias para el aprendizaje; y se requiere, generalmente, de estudios profesionales. Están empleados por establecimientos educativos, el Gobierno, casas editoriales o pueden trabajar de forma independiente.</w:t>
      </w:r>
    </w:p>
    <w:p w:rsidR="00000000" w:rsidDel="00000000" w:rsidP="00000000" w:rsidRDefault="00000000" w:rsidRPr="00000000" w14:paraId="0000001F">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Rule="auto"/>
        <w:ind w:left="360" w:hanging="36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Competencias a desarrollar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240201064- Identificación de las necesidades formativas contemporáneas.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360" w:hanging="36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Perfil de ingreso</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sz w:val="20"/>
          <w:szCs w:val="20"/>
        </w:rPr>
      </w:pPr>
      <w:r w:rsidDel="00000000" w:rsidR="00000000" w:rsidRPr="00000000">
        <w:rPr>
          <w:rFonts w:ascii="Arial" w:cs="Arial" w:eastAsia="Arial" w:hAnsi="Arial"/>
          <w:sz w:val="20"/>
          <w:szCs w:val="20"/>
          <w:rtl w:val="0"/>
        </w:rPr>
        <w:t xml:space="preserve">El programa “Desafíos de la educación contemporánea” va dirigido a educadores y profesionales relacionados con la labor educativa.</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Rule="auto"/>
        <w:ind w:left="360" w:hanging="36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Perfil de egreso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Rule="auto"/>
        <w:ind w:left="360" w:hanging="36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Estrategia metodológica</w:t>
      </w:r>
    </w:p>
    <w:p w:rsidR="00000000" w:rsidDel="00000000" w:rsidP="00000000" w:rsidRDefault="00000000" w:rsidRPr="00000000" w14:paraId="0000003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Centrada en la construcción de autonomía para garantizar la calidad de la formación en el marco de la formación por competencias y el uso de técnicas didácticas activas que estimulan el pensamiento para la resolución de problemas simulados y reales; y las actividades interactivas que permitan el desarrollo del pensamiento y resolución de problemas.</w:t>
      </w:r>
    </w:p>
    <w:p w:rsidR="00000000" w:rsidDel="00000000" w:rsidP="00000000" w:rsidRDefault="00000000" w:rsidRPr="00000000" w14:paraId="00000032">
      <w:pPr>
        <w:spacing w:after="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3">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plataforma permite la interacción del instructor con el aprendiz a través de la herramienta AVA.</w:t>
      </w:r>
    </w:p>
    <w:p w:rsidR="00000000" w:rsidDel="00000000" w:rsidP="00000000" w:rsidRDefault="00000000" w:rsidRPr="00000000" w14:paraId="00000034">
      <w:pPr>
        <w:spacing w:after="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5">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Igualmente, debe estimular de manera permanente la autocrítica y la reflexión del aprendiz sobre el que hacer y los resultados de aprendizaje que logra a través de la vinculación activa de las cuatro fuentes de información para la construcción de conocimiento:</w:t>
      </w:r>
    </w:p>
    <w:p w:rsidR="00000000" w:rsidDel="00000000" w:rsidP="00000000" w:rsidRDefault="00000000" w:rsidRPr="00000000" w14:paraId="00000036">
      <w:pPr>
        <w:spacing w:after="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pacing w:after="0" w:lineRule="auto"/>
        <w:ind w:left="710" w:hanging="33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instructor – Tutor.</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pacing w:after="0" w:lineRule="auto"/>
        <w:ind w:left="710" w:hanging="33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entorno.</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pacing w:after="0" w:lineRule="auto"/>
        <w:ind w:left="710" w:hanging="33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TIC.</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pacing w:after="0" w:lineRule="auto"/>
        <w:ind w:left="710" w:hanging="33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trabajo colaborativo.</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03F">
      <w:pPr>
        <w:spacing w:after="0" w:lineRule="auto"/>
        <w:jc w:val="both"/>
        <w:rPr>
          <w:rFonts w:ascii="Arial" w:cs="Arial" w:eastAsia="Arial" w:hAnsi="Arial"/>
          <w:b w:val="1"/>
          <w:sz w:val="20"/>
          <w:szCs w:val="20"/>
        </w:rPr>
      </w:pPr>
      <w:r w:rsidDel="00000000" w:rsidR="00000000" w:rsidRPr="00000000">
        <w:rPr>
          <w:rtl w:val="0"/>
        </w:rPr>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302"/>
        <w:gridCol w:w="1701"/>
        <w:gridCol w:w="2977"/>
        <w:gridCol w:w="1525"/>
        <w:tblGridChange w:id="0">
          <w:tblGrid>
            <w:gridCol w:w="1242"/>
            <w:gridCol w:w="2302"/>
            <w:gridCol w:w="1701"/>
            <w:gridCol w:w="2977"/>
            <w:gridCol w:w="152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40">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41">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42">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43">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44">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blHeader w:val="0"/>
        </w:trPr>
        <w:tc>
          <w:tcPr>
            <w:vMerge w:val="restart"/>
          </w:tcPr>
          <w:p w:rsidR="00000000" w:rsidDel="00000000" w:rsidP="00000000" w:rsidRDefault="00000000" w:rsidRPr="00000000" w14:paraId="0000004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04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Iván Mauricio González</w:t>
            </w:r>
          </w:p>
        </w:tc>
        <w:tc>
          <w:tcPr/>
          <w:p w:rsidR="00000000" w:rsidDel="00000000" w:rsidP="00000000" w:rsidRDefault="00000000" w:rsidRPr="00000000" w14:paraId="0000004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Experto temático</w:t>
            </w:r>
          </w:p>
        </w:tc>
        <w:tc>
          <w:tcPr/>
          <w:p w:rsidR="00000000" w:rsidDel="00000000" w:rsidP="00000000" w:rsidRDefault="00000000" w:rsidRPr="00000000" w14:paraId="0000004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de Diseño e Innovación Tecnológica Industrial. Regional Risaralda.</w:t>
            </w:r>
          </w:p>
        </w:tc>
        <w:tc>
          <w:tcPr/>
          <w:p w:rsidR="00000000" w:rsidDel="00000000" w:rsidP="00000000" w:rsidRDefault="00000000" w:rsidRPr="00000000" w14:paraId="00000049">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Noviembre 2020</w:t>
            </w:r>
          </w:p>
        </w:tc>
      </w:tr>
      <w:tr>
        <w:trPr>
          <w:cantSplit w:val="0"/>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María Cristina Hurtado Zúñiga</w:t>
            </w:r>
          </w:p>
        </w:tc>
        <w:tc>
          <w:tcPr/>
          <w:p w:rsidR="00000000" w:rsidDel="00000000" w:rsidP="00000000" w:rsidRDefault="00000000" w:rsidRPr="00000000" w14:paraId="0000004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Experta temática</w:t>
            </w:r>
          </w:p>
        </w:tc>
        <w:tc>
          <w:tcPr/>
          <w:p w:rsidR="00000000" w:rsidDel="00000000" w:rsidP="00000000" w:rsidRDefault="00000000" w:rsidRPr="00000000" w14:paraId="0000004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de Diseño Tecnológico Industrial - Regional Valle.</w:t>
            </w:r>
          </w:p>
        </w:tc>
        <w:tc>
          <w:tcPr/>
          <w:p w:rsidR="00000000" w:rsidDel="00000000" w:rsidP="00000000" w:rsidRDefault="00000000" w:rsidRPr="00000000" w14:paraId="0000004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Zvi Daniel Grosman Landáez</w:t>
            </w:r>
          </w:p>
        </w:tc>
        <w:tc>
          <w:tcPr/>
          <w:p w:rsidR="00000000" w:rsidDel="00000000" w:rsidP="00000000" w:rsidRDefault="00000000" w:rsidRPr="00000000" w14:paraId="0000005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Diseñador Instruccional</w:t>
              <w:tab/>
            </w:r>
          </w:p>
        </w:tc>
        <w:tc>
          <w:tcPr/>
          <w:p w:rsidR="00000000" w:rsidDel="00000000" w:rsidP="00000000" w:rsidRDefault="00000000" w:rsidRPr="00000000" w14:paraId="0000005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Tolima – Centro Agropecuario La Granja</w:t>
              <w:tab/>
            </w:r>
          </w:p>
        </w:tc>
        <w:tc>
          <w:tcPr/>
          <w:p w:rsidR="00000000" w:rsidDel="00000000" w:rsidP="00000000" w:rsidRDefault="00000000" w:rsidRPr="00000000" w14:paraId="0000005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Carolina Coca Salazar</w:t>
            </w:r>
          </w:p>
        </w:tc>
        <w:tc>
          <w:tcPr/>
          <w:p w:rsidR="00000000" w:rsidDel="00000000" w:rsidP="00000000" w:rsidRDefault="00000000" w:rsidRPr="00000000" w14:paraId="00000056">
            <w:pPr>
              <w:spacing w:after="0" w:lineRule="auto"/>
              <w:jc w:val="both"/>
              <w:rPr>
                <w:rFonts w:ascii="Arial" w:cs="Arial" w:eastAsia="Arial" w:hAnsi="Arial"/>
                <w:sz w:val="20"/>
                <w:szCs w:val="20"/>
              </w:rPr>
            </w:pPr>
            <w:bookmarkStart w:colFirst="0" w:colLast="0" w:name="_heading=h.2et92p0" w:id="4"/>
            <w:bookmarkEnd w:id="4"/>
            <w:r w:rsidDel="00000000" w:rsidR="00000000" w:rsidRPr="00000000">
              <w:rPr>
                <w:rFonts w:ascii="Arial" w:cs="Arial" w:eastAsia="Arial" w:hAnsi="Arial"/>
                <w:sz w:val="20"/>
                <w:szCs w:val="20"/>
                <w:rtl w:val="0"/>
              </w:rPr>
              <w:t xml:space="preserve">Revisora Metodológica y Pedagógica</w:t>
            </w:r>
          </w:p>
        </w:tc>
        <w:tc>
          <w:tcPr/>
          <w:p w:rsidR="00000000" w:rsidDel="00000000" w:rsidP="00000000" w:rsidRDefault="00000000" w:rsidRPr="00000000" w14:paraId="0000005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Centro de Diseño y Metrología </w:t>
            </w:r>
          </w:p>
        </w:tc>
        <w:tc>
          <w:tcPr/>
          <w:p w:rsidR="00000000" w:rsidDel="00000000" w:rsidP="00000000" w:rsidRDefault="00000000" w:rsidRPr="00000000" w14:paraId="0000005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blHeader w:val="0"/>
        </w:trPr>
        <w:tc>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José Gabriel Ortiz Abella</w:t>
            </w:r>
          </w:p>
        </w:tc>
        <w:tc>
          <w:tcPr/>
          <w:p w:rsidR="00000000" w:rsidDel="00000000" w:rsidP="00000000" w:rsidRDefault="00000000" w:rsidRPr="00000000" w14:paraId="0000005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Corrector de estilo</w:t>
            </w:r>
          </w:p>
        </w:tc>
        <w:tc>
          <w:tcPr/>
          <w:p w:rsidR="00000000" w:rsidDel="00000000" w:rsidP="00000000" w:rsidRDefault="00000000" w:rsidRPr="00000000" w14:paraId="0000005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p>
        </w:tc>
        <w:tc>
          <w:tcPr/>
          <w:p w:rsidR="00000000" w:rsidDel="00000000" w:rsidP="00000000" w:rsidRDefault="00000000" w:rsidRPr="00000000" w14:paraId="0000005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del 2021.</w:t>
            </w:r>
          </w:p>
        </w:tc>
      </w:tr>
    </w:tbl>
    <w:p w:rsidR="00000000" w:rsidDel="00000000" w:rsidP="00000000" w:rsidRDefault="00000000" w:rsidRPr="00000000" w14:paraId="0000005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(diligenciar únicamente si realiza ajustes a la guía)</w:t>
      </w:r>
    </w:p>
    <w:p w:rsidR="00000000" w:rsidDel="00000000" w:rsidP="00000000" w:rsidRDefault="00000000" w:rsidRPr="00000000" w14:paraId="00000061">
      <w:pPr>
        <w:spacing w:after="0" w:lineRule="auto"/>
        <w:rPr>
          <w:rFonts w:ascii="Arial" w:cs="Arial" w:eastAsia="Arial" w:hAnsi="Arial"/>
          <w:sz w:val="20"/>
          <w:szCs w:val="20"/>
        </w:rPr>
      </w:pPr>
      <w:r w:rsidDel="00000000" w:rsidR="00000000" w:rsidRPr="00000000">
        <w:rPr>
          <w:rtl w:val="0"/>
        </w:rPr>
      </w:r>
    </w:p>
    <w:tbl>
      <w:tblPr>
        <w:tblStyle w:val="Table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6"/>
        <w:gridCol w:w="2636"/>
        <w:gridCol w:w="1534"/>
        <w:gridCol w:w="1586"/>
        <w:gridCol w:w="852"/>
        <w:gridCol w:w="1913"/>
        <w:tblGridChange w:id="0">
          <w:tblGrid>
            <w:gridCol w:w="1226"/>
            <w:gridCol w:w="2636"/>
            <w:gridCol w:w="1534"/>
            <w:gridCol w:w="1586"/>
            <w:gridCol w:w="852"/>
            <w:gridCol w:w="191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62">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3">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64">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65">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66">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67">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68">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69">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A">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B">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C">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D">
            <w:pPr>
              <w:spacing w:after="0" w:lineRule="auto"/>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6E">
      <w:pPr>
        <w:spacing w:after="0" w:lineRule="auto"/>
        <w:rPr>
          <w:rFonts w:ascii="Arial" w:cs="Arial" w:eastAsia="Arial" w:hAnsi="Arial"/>
          <w:color w:val="000000"/>
          <w:sz w:val="20"/>
          <w:szCs w:val="20"/>
        </w:rPr>
      </w:pPr>
      <w:r w:rsidDel="00000000" w:rsidR="00000000" w:rsidRPr="00000000">
        <w:rPr>
          <w:rtl w:val="0"/>
        </w:rPr>
      </w:r>
    </w:p>
    <w:sectPr>
      <w:headerReference r:id="rId10" w:type="default"/>
      <w:headerReference r:id="rId11" w:type="first"/>
      <w:footerReference r:id="rId12" w:type="default"/>
      <w:pgSz w:h="15840" w:w="12240" w:orient="portrait"/>
      <w:pgMar w:bottom="1418" w:top="1779" w:left="1560" w:right="104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0" w:date="2021-08-19T07:49: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guion para el video se encuentra en la carpeta de formato_DI de información del programa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595959"/>
        <w:sz w:val="18"/>
        <w:szCs w:val="1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2746057</wp:posOffset>
          </wp:positionH>
          <wp:positionV relativeFrom="topMargin">
            <wp:posOffset>314325</wp:posOffset>
          </wp:positionV>
          <wp:extent cx="628650" cy="609600"/>
          <wp:effectExtent b="0" l="0" r="0" t="0"/>
          <wp:wrapNone/>
          <wp:docPr id="10" name="image1.png"/>
          <a:graphic>
            <a:graphicData uri="http://schemas.openxmlformats.org/drawingml/2006/picture">
              <pic:pic>
                <pic:nvPicPr>
                  <pic:cNvPr id="0" name="image1.png"/>
                  <pic:cNvPicPr preferRelativeResize="0"/>
                </pic:nvPicPr>
                <pic:blipFill>
                  <a:blip r:embed="rId1"/>
                  <a:srcRect b="0" l="88752" r="0" t="-6729"/>
                  <a:stretch>
                    <a:fillRect/>
                  </a:stretch>
                </pic:blipFill>
                <pic:spPr>
                  <a:xfrm>
                    <a:off x="0" y="0"/>
                    <a:ext cx="628650" cy="609600"/>
                  </a:xfrm>
                  <a:prstGeom prst="rect"/>
                  <a:ln/>
                </pic:spPr>
              </pic:pic>
            </a:graphicData>
          </a:graphic>
        </wp:anchor>
      </w:drawing>
    </w:r>
    <w:r w:rsidDel="00000000" w:rsidR="00000000" w:rsidRPr="00000000">
      <w:rPr>
        <w:color w:val="000000"/>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419"/>
        <w:tab w:val="right" w:pos="8838"/>
        <w:tab w:val="right" w:pos="8413"/>
      </w:tabs>
      <w:spacing w:after="0" w:line="240" w:lineRule="auto"/>
      <w:ind w:left="-1134"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7"/>
      <w:numFmt w:val="bullet"/>
      <w:lvlText w:val="-"/>
      <w:lvlJc w:val="left"/>
      <w:pPr>
        <w:ind w:left="1425" w:hanging="705"/>
      </w:pPr>
      <w:rPr>
        <w:rFonts w:ascii="Arial" w:cs="Arial" w:eastAsia="Arial" w:hAnsi="Arial"/>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semiHidden w:val="1"/>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val="1"/>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style>
  <w:style w:type="paragraph" w:styleId="Ttulode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Ind w:w="0.0" w:type="dxa"/>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Ind w:w="0.0" w:type="dxa"/>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paragraph" w:styleId="text-muted" w:customStyle="1">
    <w:name w:val="text-muted"/>
    <w:basedOn w:val="Normal"/>
    <w:rsid w:val="00A074D8"/>
    <w:pPr>
      <w:spacing w:after="100" w:afterAutospacing="1" w:before="100" w:beforeAutospacing="1" w:line="240" w:lineRule="auto"/>
    </w:pPr>
    <w:rPr>
      <w:rFonts w:ascii="Times New Roman" w:eastAsia="Times New Roman" w:hAnsi="Times New Roman"/>
      <w:sz w:val="24"/>
      <w:szCs w:val="24"/>
      <w:lang w:eastAsia="es-CO"/>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5.0" w:type="dxa"/>
        <w:left w:w="15.0" w:type="dxa"/>
        <w:bottom w:w="15.0" w:type="dxa"/>
        <w:right w:w="15.0" w:type="dxa"/>
      </w:tblCellMar>
    </w:tblPr>
  </w:style>
  <w:style w:type="table" w:styleId="a0" w:customStyle="1">
    <w:basedOn w:val="TableNormal2"/>
    <w:tblPr>
      <w:tblStyleRowBandSize w:val="1"/>
      <w:tblStyleColBandSize w:val="1"/>
      <w:tblCellMar>
        <w:top w:w="0.0" w:type="dxa"/>
        <w:left w:w="115.0" w:type="dxa"/>
        <w:bottom w:w="0.0" w:type="dxa"/>
        <w:right w:w="115.0" w:type="dxa"/>
      </w:tblCellMar>
    </w:tblPr>
  </w:style>
  <w:style w:type="table" w:styleId="a1" w:customStyle="1">
    <w:basedOn w:val="TableNormal2"/>
    <w:tblPr>
      <w:tblStyleRowBandSize w:val="1"/>
      <w:tblStyleColBandSize w:val="1"/>
      <w:tblCellMar>
        <w:top w:w="0.0" w:type="dxa"/>
        <w:left w:w="115.0" w:type="dxa"/>
        <w:bottom w:w="0.0" w:type="dxa"/>
        <w:right w:w="115.0" w:type="dxa"/>
      </w:tblCellMar>
    </w:tblPr>
  </w:style>
  <w:style w:type="character" w:styleId="UnresolvedMention" w:customStyle="1">
    <w:name w:val="Unresolved Mention"/>
    <w:basedOn w:val="Fuentedeprrafopredeter"/>
    <w:uiPriority w:val="99"/>
    <w:semiHidden w:val="1"/>
    <w:unhideWhenUsed w:val="1"/>
    <w:rsid w:val="00B36FBC"/>
    <w:rPr>
      <w:color w:val="605e5c"/>
      <w:shd w:color="auto" w:fill="e1dfdd" w:val="clear"/>
    </w:rPr>
  </w:style>
  <w:style w:type="table" w:styleId="a2" w:customStyle="1">
    <w:basedOn w:val="TableNormal2"/>
    <w:tblPr>
      <w:tblStyleRowBandSize w:val="1"/>
      <w:tblStyleColBandSize w:val="1"/>
      <w:tblCellMar>
        <w:top w:w="15.0" w:type="dxa"/>
        <w:left w:w="115.0" w:type="dxa"/>
        <w:bottom w:w="15.0" w:type="dxa"/>
        <w:right w:w="115.0" w:type="dxa"/>
      </w:tblCellMar>
    </w:tblPr>
  </w:style>
  <w:style w:type="table" w:styleId="a3" w:customStyle="1">
    <w:basedOn w:val="TableNormal2"/>
    <w:tblPr>
      <w:tblStyleRowBandSize w:val="1"/>
      <w:tblStyleColBandSize w:val="1"/>
      <w:tblCellMar>
        <w:top w:w="15.0" w:type="dxa"/>
        <w:left w:w="115.0" w:type="dxa"/>
        <w:bottom w:w="15.0" w:type="dxa"/>
        <w:right w:w="115.0" w:type="dxa"/>
      </w:tblCellMar>
    </w:tblPr>
  </w:style>
  <w:style w:type="table" w:styleId="a4" w:customStyle="1">
    <w:basedOn w:val="TableNormal2"/>
    <w:tblPr>
      <w:tblStyleRowBandSize w:val="1"/>
      <w:tblStyleColBandSize w:val="1"/>
      <w:tblCellMar>
        <w:top w:w="15.0" w:type="dxa"/>
        <w:left w:w="115.0" w:type="dxa"/>
        <w:bottom w:w="15.0" w:type="dxa"/>
        <w:right w:w="115.0" w:type="dxa"/>
      </w:tblCellMar>
    </w:tblPr>
  </w:style>
  <w:style w:type="table" w:styleId="a5" w:customStyle="1">
    <w:basedOn w:val="TableNormal1"/>
    <w:tblPr>
      <w:tblStyleRowBandSize w:val="1"/>
      <w:tblStyleColBandSize w:val="1"/>
      <w:tblCellMar>
        <w:top w:w="15.0" w:type="dxa"/>
        <w:left w:w="115.0" w:type="dxa"/>
        <w:bottom w:w="15.0" w:type="dxa"/>
        <w:right w:w="115.0" w:type="dxa"/>
      </w:tblCellMar>
    </w:tblPr>
  </w:style>
  <w:style w:type="table" w:styleId="a6" w:customStyle="1">
    <w:basedOn w:val="TableNormal1"/>
    <w:tblPr>
      <w:tblStyleRowBandSize w:val="1"/>
      <w:tblStyleColBandSize w:val="1"/>
      <w:tblCellMar>
        <w:top w:w="15.0" w:type="dxa"/>
        <w:left w:w="115.0" w:type="dxa"/>
        <w:bottom w:w="15.0" w:type="dxa"/>
        <w:right w:w="115.0" w:type="dxa"/>
      </w:tblCellMar>
    </w:tblPr>
  </w:style>
  <w:style w:type="table" w:styleId="a7" w:customStyle="1">
    <w:basedOn w:val="TableNormal1"/>
    <w:tblPr>
      <w:tblStyleRowBandSize w:val="1"/>
      <w:tblStyleColBandSize w:val="1"/>
      <w:tblCellMar>
        <w:top w:w="15.0" w:type="dxa"/>
        <w:left w:w="115.0" w:type="dxa"/>
        <w:bottom w:w="15.0" w:type="dxa"/>
        <w:right w:w="115.0" w:type="dxa"/>
      </w:tblCellMar>
    </w:tblPr>
  </w:style>
  <w:style w:type="table" w:styleId="a8" w:customStyle="1">
    <w:basedOn w:val="TableNormal0"/>
    <w:tblPr>
      <w:tblStyleRowBandSize w:val="1"/>
      <w:tblStyleColBandSize w:val="1"/>
      <w:tblCellMar>
        <w:top w:w="15.0" w:type="dxa"/>
        <w:left w:w="115.0" w:type="dxa"/>
        <w:bottom w:w="15.0" w:type="dxa"/>
        <w:right w:w="115.0" w:type="dxa"/>
      </w:tblCellMar>
    </w:tblPr>
  </w:style>
  <w:style w:type="table" w:styleId="a9" w:customStyle="1">
    <w:basedOn w:val="TableNormal0"/>
    <w:tblPr>
      <w:tblStyleRowBandSize w:val="1"/>
      <w:tblStyleColBandSize w:val="1"/>
      <w:tblCellMar>
        <w:top w:w="15.0" w:type="dxa"/>
        <w:left w:w="115.0" w:type="dxa"/>
        <w:bottom w:w="15.0" w:type="dxa"/>
        <w:right w:w="115.0" w:type="dxa"/>
      </w:tblCellMar>
    </w:tblPr>
  </w:style>
  <w:style w:type="table" w:styleId="aa" w:customStyle="1">
    <w:basedOn w:val="TableNormal0"/>
    <w:tblPr>
      <w:tblStyleRowBandSize w:val="1"/>
      <w:tblStyleColBandSize w:val="1"/>
      <w:tblCellMar>
        <w:top w:w="15.0" w:type="dxa"/>
        <w:left w:w="115.0" w:type="dxa"/>
        <w:bottom w:w="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LOwO7xt+f5MmVCiYWw8IYLTvQ==">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2021-08-19T14:44:00Z</dcterms:created>
  <dc:creator>ASTRID SUAREZ</dc:creator>
</cp:coreProperties>
</file>