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sidP="001A33D0">
      <w:pPr>
        <w:spacing w:before="0" w:after="0"/>
      </w:pPr>
      <w:r w:rsidRPr="00906CA5">
        <w:rPr>
          <w:noProof/>
        </w:rPr>
        <w:drawing>
          <wp:anchor distT="0" distB="0" distL="114300" distR="114300" simplePos="0" relativeHeight="251659264" behindDoc="1" locked="0" layoutInCell="1" allowOverlap="1" wp14:anchorId="6A55977C" wp14:editId="40DEBFEB">
            <wp:simplePos x="0" y="0"/>
            <wp:positionH relativeFrom="column">
              <wp:posOffset>-748665</wp:posOffset>
            </wp:positionH>
            <wp:positionV relativeFrom="paragraph">
              <wp:posOffset>-1053465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1A33D0">
      <w:pPr>
        <w:spacing w:before="0" w:after="0"/>
        <w:rPr>
          <w:rFonts w:ascii="Calibri" w:hAnsi="Calibri"/>
          <w:b/>
          <w:bCs/>
          <w:color w:val="000000" w:themeColor="text1"/>
          <w:kern w:val="0"/>
          <w14:ligatures w14:val="none"/>
        </w:rPr>
      </w:pPr>
    </w:p>
    <w:p w14:paraId="37B855DA" w14:textId="77777777" w:rsidR="00C407C1" w:rsidRDefault="00C407C1" w:rsidP="001A33D0">
      <w:pPr>
        <w:spacing w:before="0" w:after="0"/>
        <w:rPr>
          <w:rFonts w:ascii="Calibri" w:hAnsi="Calibri"/>
          <w:b/>
          <w:bCs/>
          <w:color w:val="000000" w:themeColor="text1"/>
          <w:kern w:val="0"/>
          <w14:ligatures w14:val="none"/>
        </w:rPr>
      </w:pPr>
    </w:p>
    <w:p w14:paraId="7B13D87E" w14:textId="77777777" w:rsidR="00C407C1" w:rsidRDefault="00C407C1" w:rsidP="001A33D0">
      <w:pPr>
        <w:spacing w:before="0" w:after="0"/>
        <w:rPr>
          <w:rFonts w:ascii="Calibri" w:hAnsi="Calibri"/>
          <w:b/>
          <w:bCs/>
          <w:color w:val="000000" w:themeColor="text1"/>
          <w:kern w:val="0"/>
          <w14:ligatures w14:val="none"/>
        </w:rPr>
      </w:pPr>
    </w:p>
    <w:p w14:paraId="235ED061" w14:textId="55FF1B9A" w:rsidR="00C407C1" w:rsidRDefault="008C077B" w:rsidP="001A33D0">
      <w:pPr>
        <w:spacing w:before="0" w:after="0"/>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2E61221A">
                <wp:simplePos x="0" y="0"/>
                <wp:positionH relativeFrom="column">
                  <wp:posOffset>-710565</wp:posOffset>
                </wp:positionH>
                <wp:positionV relativeFrom="paragraph">
                  <wp:posOffset>335280</wp:posOffset>
                </wp:positionV>
                <wp:extent cx="7795895" cy="196215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96215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3CF006" id="Rectángulo 3" o:spid="_x0000_s1026" alt="&quot;&quot;" style="position:absolute;margin-left:-55.95pt;margin-top:26.4pt;width:613.85pt;height:154.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" fillcolor="#00314d" stroked="f" strokeweight="1pt"/>
            </w:pict>
          </mc:Fallback>
        </mc:AlternateContent>
      </w:r>
      <w:r w:rsidR="00744751" w:rsidRPr="00906CA5">
        <w:rPr>
          <w:noProof/>
        </w:rPr>
        <mc:AlternateContent>
          <mc:Choice Requires="wps">
            <w:drawing>
              <wp:anchor distT="45720" distB="45720" distL="114300" distR="114300" simplePos="0" relativeHeight="251663360" behindDoc="0" locked="0" layoutInCell="1" allowOverlap="1" wp14:anchorId="2E2DABF6" wp14:editId="6ED606FB">
                <wp:simplePos x="0" y="0"/>
                <wp:positionH relativeFrom="margin">
                  <wp:align>right</wp:align>
                </wp:positionH>
                <wp:positionV relativeFrom="paragraph">
                  <wp:posOffset>403788</wp:posOffset>
                </wp:positionV>
                <wp:extent cx="6737231" cy="16954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7231" cy="1695450"/>
                        </a:xfrm>
                        <a:prstGeom prst="rect">
                          <a:avLst/>
                        </a:prstGeom>
                        <a:noFill/>
                        <a:ln>
                          <a:noFill/>
                        </a:ln>
                        <a:effectLst/>
                      </wps:spPr>
                      <wps:txbx>
                        <w:txbxContent>
                          <w:p w14:paraId="13999F63" w14:textId="7206D840" w:rsidR="00C407C1" w:rsidRPr="001B0890" w:rsidRDefault="00DC39FF" w:rsidP="004B22E3">
                            <w:pPr>
                              <w:pStyle w:val="TituloPortada"/>
                              <w:ind w:firstLine="0"/>
                              <w:rPr>
                                <w:lang w:val="es-MX"/>
                              </w:rPr>
                            </w:pPr>
                            <w:r>
                              <w:rPr>
                                <w:lang w:val="es-MX"/>
                              </w:rPr>
                              <w:t>Cálculo e interpretación de indicadores financieros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79.3pt;margin-top:31.8pt;width:530.5pt;height:133.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" filled="f" stroked="f">
                <v:textbox>
                  <w:txbxContent>
                    <w:p w14:paraId="13999F63" w14:textId="7206D840" w:rsidR="00C407C1" w:rsidRPr="001B0890" w:rsidRDefault="00DC39FF" w:rsidP="004B22E3">
                      <w:pPr>
                        <w:pStyle w:val="TituloPortada"/>
                        <w:ind w:firstLine="0"/>
                        <w:rPr>
                          <w:lang w:val="es-MX"/>
                        </w:rPr>
                      </w:pPr>
                      <w:r>
                        <w:rPr>
                          <w:lang w:val="es-MX"/>
                        </w:rPr>
                        <w:t>Cálculo e interpretación de indicadores financieros</w:t>
                      </w:r>
                    </w:p>
                  </w:txbxContent>
                </v:textbox>
                <w10:wrap anchorx="margin"/>
              </v:shape>
            </w:pict>
          </mc:Fallback>
        </mc:AlternateContent>
      </w:r>
    </w:p>
    <w:p w14:paraId="752FAC0E" w14:textId="18E88FF0" w:rsidR="00C407C1" w:rsidRDefault="00C407C1" w:rsidP="001A33D0">
      <w:pPr>
        <w:spacing w:before="0" w:after="0"/>
        <w:rPr>
          <w:rFonts w:ascii="Calibri" w:hAnsi="Calibri"/>
          <w:b/>
          <w:bCs/>
          <w:color w:val="000000" w:themeColor="text1"/>
          <w:kern w:val="0"/>
          <w14:ligatures w14:val="none"/>
        </w:rPr>
      </w:pPr>
    </w:p>
    <w:p w14:paraId="318F596D" w14:textId="4CEF3FA4" w:rsidR="00C407C1" w:rsidRDefault="00C407C1" w:rsidP="001A33D0">
      <w:pPr>
        <w:spacing w:before="0" w:after="0"/>
        <w:rPr>
          <w:rFonts w:ascii="Calibri" w:hAnsi="Calibri"/>
          <w:b/>
          <w:bCs/>
          <w:color w:val="000000" w:themeColor="text1"/>
          <w:kern w:val="0"/>
          <w14:ligatures w14:val="none"/>
        </w:rPr>
      </w:pPr>
    </w:p>
    <w:p w14:paraId="6EE52F01" w14:textId="63A5E710" w:rsidR="00C407C1" w:rsidRDefault="00C407C1" w:rsidP="001A33D0">
      <w:pPr>
        <w:spacing w:before="0" w:after="0"/>
        <w:rPr>
          <w:rFonts w:ascii="Calibri" w:hAnsi="Calibri"/>
          <w:b/>
          <w:bCs/>
          <w:color w:val="000000" w:themeColor="text1"/>
          <w:kern w:val="0"/>
          <w14:ligatures w14:val="none"/>
        </w:rPr>
      </w:pPr>
    </w:p>
    <w:p w14:paraId="3677C0C6" w14:textId="77777777" w:rsidR="00C407C1" w:rsidRDefault="00C407C1" w:rsidP="001A33D0">
      <w:pPr>
        <w:spacing w:before="0" w:after="0"/>
        <w:rPr>
          <w:rFonts w:ascii="Calibri" w:hAnsi="Calibri"/>
          <w:b/>
          <w:bCs/>
          <w:color w:val="000000" w:themeColor="text1"/>
          <w:kern w:val="0"/>
          <w14:ligatures w14:val="none"/>
        </w:rPr>
      </w:pPr>
    </w:p>
    <w:p w14:paraId="36A78229" w14:textId="452744BA" w:rsidR="00C407C1" w:rsidRDefault="00C407C1" w:rsidP="001A33D0">
      <w:pPr>
        <w:spacing w:before="0" w:after="0"/>
        <w:rPr>
          <w:rFonts w:ascii="Calibri" w:hAnsi="Calibri"/>
          <w:b/>
          <w:bCs/>
          <w:color w:val="000000" w:themeColor="text1"/>
          <w:kern w:val="0"/>
          <w14:ligatures w14:val="none"/>
        </w:rPr>
      </w:pPr>
    </w:p>
    <w:p w14:paraId="1094487F" w14:textId="77777777" w:rsidR="00B91F5A" w:rsidRDefault="00B91F5A" w:rsidP="001A33D0">
      <w:pPr>
        <w:spacing w:before="0" w:after="0"/>
        <w:rPr>
          <w:rFonts w:ascii="Calibri" w:hAnsi="Calibri"/>
          <w:b/>
          <w:bCs/>
          <w:color w:val="000000" w:themeColor="text1"/>
          <w:kern w:val="0"/>
          <w14:ligatures w14:val="none"/>
        </w:rPr>
      </w:pPr>
    </w:p>
    <w:p w14:paraId="5D6CDAFD" w14:textId="77777777" w:rsidR="00437DC5" w:rsidRDefault="00437DC5" w:rsidP="001A33D0">
      <w:pPr>
        <w:spacing w:before="0" w:after="0"/>
        <w:rPr>
          <w:rFonts w:ascii="Calibri" w:hAnsi="Calibri"/>
          <w:b/>
          <w:bCs/>
          <w:color w:val="000000" w:themeColor="text1"/>
          <w:kern w:val="0"/>
          <w14:ligatures w14:val="none"/>
        </w:rPr>
      </w:pPr>
    </w:p>
    <w:p w14:paraId="7819A49C" w14:textId="40822FB4" w:rsidR="00C407C1" w:rsidRPr="00C407C1" w:rsidRDefault="00C407C1" w:rsidP="001A33D0">
      <w:pPr>
        <w:spacing w:before="0" w:after="0"/>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24D9DECF" w14:textId="74C9931D" w:rsidR="00A50905" w:rsidRDefault="00437DC5" w:rsidP="00320724">
      <w:pPr>
        <w:pStyle w:val="Sangradetextonormal"/>
      </w:pPr>
      <w:r w:rsidRPr="00437DC5">
        <w:t>Este componente formativo busca que el aprendiz, comprenda, calcule e interprete los principales indicadores financieros que permiten evaluar la situación económica de una empresa. A través de ejemplos prácticos, se facilitará la aplicación de los conceptos en contextos reales que apoyen la toma de decisiones estratégicas. El enfoque será didáctico y aplicado, con cifras inventadas pero representativas del entorno empresarial colombiano.</w:t>
      </w:r>
    </w:p>
    <w:p w14:paraId="676EB408" w14:textId="0F379757" w:rsidR="00C407C1" w:rsidRPr="00B839DA" w:rsidRDefault="00437DC5" w:rsidP="00320724">
      <w:pPr>
        <w:jc w:val="center"/>
        <w:rPr>
          <w:rFonts w:ascii="Calibri" w:hAnsi="Calibri"/>
          <w:b/>
          <w:bCs/>
          <w:color w:val="000000" w:themeColor="text1"/>
          <w:kern w:val="0"/>
          <w14:ligatures w14:val="none"/>
        </w:rPr>
      </w:pPr>
      <w:r>
        <w:rPr>
          <w:noProof/>
        </w:rPr>
        <mc:AlternateContent>
          <mc:Choice Requires="wps">
            <w:drawing>
              <wp:anchor distT="0" distB="0" distL="114300" distR="114300" simplePos="0" relativeHeight="251664384" behindDoc="0" locked="0" layoutInCell="1" allowOverlap="1" wp14:anchorId="0DA9BE5F" wp14:editId="1374480E">
                <wp:simplePos x="0" y="0"/>
                <wp:positionH relativeFrom="column">
                  <wp:posOffset>359410</wp:posOffset>
                </wp:positionH>
                <wp:positionV relativeFrom="paragraph">
                  <wp:posOffset>-1270</wp:posOffset>
                </wp:positionV>
                <wp:extent cx="5943600" cy="25400"/>
                <wp:effectExtent l="0" t="0" r="19050" b="31750"/>
                <wp:wrapNone/>
                <wp:docPr id="1" name="Conector recto 1"/>
                <wp:cNvGraphicFramePr/>
                <a:graphic xmlns:a="http://schemas.openxmlformats.org/drawingml/2006/main">
                  <a:graphicData uri="http://schemas.microsoft.com/office/word/2010/wordprocessingShape">
                    <wps:wsp>
                      <wps:cNvCnPr/>
                      <wps:spPr>
                        <a:xfrm flipV="1">
                          <a:off x="0" y="0"/>
                          <a:ext cx="5943600" cy="254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8CF151" id="Conector recto 1"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8.3pt,-.1pt" to="496.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" strokecolor="black [3213]" strokeweight="1.25pt">
                <v:stroke joinstyle="miter"/>
              </v:line>
            </w:pict>
          </mc:Fallback>
        </mc:AlternateContent>
      </w:r>
      <w:r w:rsidR="002F6762">
        <w:rPr>
          <w:rFonts w:ascii="Calibri" w:hAnsi="Calibri"/>
          <w:b/>
          <w:bCs/>
          <w:color w:val="000000" w:themeColor="text1"/>
          <w:kern w:val="0"/>
          <w14:ligatures w14:val="none"/>
        </w:rPr>
        <w:t>Abril</w:t>
      </w:r>
      <w:r w:rsidR="00A00ACC">
        <w:rPr>
          <w:rFonts w:ascii="Calibri" w:hAnsi="Calibri"/>
          <w:b/>
          <w:bCs/>
          <w:color w:val="000000" w:themeColor="text1"/>
          <w:kern w:val="0"/>
          <w14:ligatures w14:val="none"/>
        </w:rPr>
        <w:t xml:space="preserve"> de 2025</w:t>
      </w:r>
      <w:r w:rsidR="00C407C1">
        <w:br w:type="page"/>
      </w:r>
    </w:p>
    <w:bookmarkStart w:id="0" w:name="_Toc201665087" w:displacedByCustomXml="next"/>
    <w:bookmarkStart w:id="1" w:name="_Toc201662325" w:displacedByCustomXml="next"/>
    <w:bookmarkStart w:id="2" w:name="_Toc197031159" w:displacedByCustomXml="next"/>
    <w:bookmarkStart w:id="3" w:name="_Toc197406375" w:displacedByCustomXml="next"/>
    <w:sdt>
      <w:sdtPr>
        <w:rPr>
          <w:rFonts w:eastAsiaTheme="minorHAnsi" w:cstheme="minorBidi"/>
          <w:b w:val="0"/>
          <w:bCs w:val="0"/>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lang w:val="es-ES"/>
        </w:rPr>
      </w:sdtEndPr>
      <w:sdtContent>
        <w:p w14:paraId="59D043FA" w14:textId="77777777" w:rsidR="00747037" w:rsidRDefault="00EC0858" w:rsidP="0061041A">
          <w:pPr>
            <w:pStyle w:val="Ttulo1"/>
            <w:rPr>
              <w:noProof/>
            </w:rPr>
          </w:pPr>
          <w:r>
            <w:t>Tabla de c</w:t>
          </w:r>
          <w:r w:rsidR="000434FA">
            <w:t>ontenido</w:t>
          </w:r>
          <w:bookmarkEnd w:id="3"/>
          <w:bookmarkEnd w:id="2"/>
          <w:bookmarkEnd w:id="1"/>
          <w:bookmarkEnd w:id="0"/>
          <w:r w:rsidR="000434FA">
            <w:rPr>
              <w:lang w:val="es-CO"/>
            </w:rPr>
            <w:fldChar w:fldCharType="begin"/>
          </w:r>
          <w:r w:rsidR="000434FA">
            <w:instrText xml:space="preserve"> TOC \o "1-3" \h \z \u </w:instrText>
          </w:r>
          <w:r w:rsidR="000434FA">
            <w:rPr>
              <w:lang w:val="es-CO"/>
            </w:rPr>
            <w:fldChar w:fldCharType="separate"/>
          </w:r>
        </w:p>
        <w:p w14:paraId="3B1A2419" w14:textId="74DF05FC" w:rsidR="00747037" w:rsidRDefault="00342B58">
          <w:pPr>
            <w:pStyle w:val="TDC1"/>
            <w:rPr>
              <w:rFonts w:eastAsiaTheme="minorEastAsia"/>
              <w:noProof/>
              <w:kern w:val="0"/>
              <w:sz w:val="22"/>
              <w:lang w:eastAsia="es-CO"/>
              <w14:ligatures w14:val="none"/>
            </w:rPr>
          </w:pPr>
          <w:hyperlink w:anchor="_Toc201665088" w:history="1">
            <w:r w:rsidR="00747037" w:rsidRPr="00037AA2">
              <w:rPr>
                <w:rStyle w:val="Hipervnculo"/>
                <w:noProof/>
              </w:rPr>
              <w:t>Introducción</w:t>
            </w:r>
            <w:r w:rsidR="00747037">
              <w:rPr>
                <w:noProof/>
                <w:webHidden/>
              </w:rPr>
              <w:tab/>
            </w:r>
            <w:r w:rsidR="00747037">
              <w:rPr>
                <w:noProof/>
                <w:webHidden/>
              </w:rPr>
              <w:fldChar w:fldCharType="begin"/>
            </w:r>
            <w:r w:rsidR="00747037">
              <w:rPr>
                <w:noProof/>
                <w:webHidden/>
              </w:rPr>
              <w:instrText xml:space="preserve"> PAGEREF _Toc201665088 \h </w:instrText>
            </w:r>
            <w:r w:rsidR="00747037">
              <w:rPr>
                <w:noProof/>
                <w:webHidden/>
              </w:rPr>
            </w:r>
            <w:r w:rsidR="00747037">
              <w:rPr>
                <w:noProof/>
                <w:webHidden/>
              </w:rPr>
              <w:fldChar w:fldCharType="separate"/>
            </w:r>
            <w:r w:rsidR="001D7F1A">
              <w:rPr>
                <w:noProof/>
                <w:webHidden/>
              </w:rPr>
              <w:t>1</w:t>
            </w:r>
            <w:r w:rsidR="00747037">
              <w:rPr>
                <w:noProof/>
                <w:webHidden/>
              </w:rPr>
              <w:fldChar w:fldCharType="end"/>
            </w:r>
          </w:hyperlink>
        </w:p>
        <w:p w14:paraId="74E79863" w14:textId="49B07F38" w:rsidR="00747037" w:rsidRDefault="00342B58">
          <w:pPr>
            <w:pStyle w:val="TDC1"/>
            <w:tabs>
              <w:tab w:val="left" w:pos="1320"/>
            </w:tabs>
            <w:rPr>
              <w:rFonts w:eastAsiaTheme="minorEastAsia"/>
              <w:noProof/>
              <w:kern w:val="0"/>
              <w:sz w:val="22"/>
              <w:lang w:eastAsia="es-CO"/>
              <w14:ligatures w14:val="none"/>
            </w:rPr>
          </w:pPr>
          <w:hyperlink w:anchor="_Toc201665089" w:history="1">
            <w:r w:rsidR="00747037" w:rsidRPr="00037AA2">
              <w:rPr>
                <w:rStyle w:val="Hipervnculo"/>
                <w:noProof/>
              </w:rPr>
              <w:t>1.</w:t>
            </w:r>
            <w:r w:rsidR="00747037">
              <w:rPr>
                <w:rFonts w:eastAsiaTheme="minorEastAsia"/>
                <w:noProof/>
                <w:kern w:val="0"/>
                <w:sz w:val="22"/>
                <w:lang w:eastAsia="es-CO"/>
                <w14:ligatures w14:val="none"/>
              </w:rPr>
              <w:tab/>
            </w:r>
            <w:r w:rsidR="00747037" w:rsidRPr="00037AA2">
              <w:rPr>
                <w:rStyle w:val="Hipervnculo"/>
                <w:noProof/>
              </w:rPr>
              <w:t>Conceptos generales de los indicadores financieros</w:t>
            </w:r>
            <w:r w:rsidR="00747037">
              <w:rPr>
                <w:noProof/>
                <w:webHidden/>
              </w:rPr>
              <w:tab/>
            </w:r>
            <w:r w:rsidR="00747037">
              <w:rPr>
                <w:noProof/>
                <w:webHidden/>
              </w:rPr>
              <w:fldChar w:fldCharType="begin"/>
            </w:r>
            <w:r w:rsidR="00747037">
              <w:rPr>
                <w:noProof/>
                <w:webHidden/>
              </w:rPr>
              <w:instrText xml:space="preserve"> PAGEREF _Toc201665089 \h </w:instrText>
            </w:r>
            <w:r w:rsidR="00747037">
              <w:rPr>
                <w:noProof/>
                <w:webHidden/>
              </w:rPr>
            </w:r>
            <w:r w:rsidR="00747037">
              <w:rPr>
                <w:noProof/>
                <w:webHidden/>
              </w:rPr>
              <w:fldChar w:fldCharType="separate"/>
            </w:r>
            <w:r w:rsidR="001D7F1A">
              <w:rPr>
                <w:noProof/>
                <w:webHidden/>
              </w:rPr>
              <w:t>4</w:t>
            </w:r>
            <w:r w:rsidR="00747037">
              <w:rPr>
                <w:noProof/>
                <w:webHidden/>
              </w:rPr>
              <w:fldChar w:fldCharType="end"/>
            </w:r>
          </w:hyperlink>
        </w:p>
        <w:p w14:paraId="73CE0ED7" w14:textId="024AC5C7" w:rsidR="00747037" w:rsidRDefault="00342B58">
          <w:pPr>
            <w:pStyle w:val="TDC2"/>
            <w:tabs>
              <w:tab w:val="right" w:leader="dot" w:pos="9962"/>
            </w:tabs>
            <w:rPr>
              <w:rFonts w:eastAsiaTheme="minorEastAsia"/>
              <w:noProof/>
              <w:kern w:val="0"/>
              <w:sz w:val="22"/>
              <w:lang w:eastAsia="es-CO"/>
              <w14:ligatures w14:val="none"/>
            </w:rPr>
          </w:pPr>
          <w:hyperlink w:anchor="_Toc201665090" w:history="1">
            <w:r w:rsidR="00747037" w:rsidRPr="00037AA2">
              <w:rPr>
                <w:rStyle w:val="Hipervnculo"/>
                <w:noProof/>
              </w:rPr>
              <w:t>1.1 Indicadores de liquidez</w:t>
            </w:r>
            <w:r w:rsidR="00747037">
              <w:rPr>
                <w:noProof/>
                <w:webHidden/>
              </w:rPr>
              <w:tab/>
            </w:r>
            <w:r w:rsidR="00747037">
              <w:rPr>
                <w:noProof/>
                <w:webHidden/>
              </w:rPr>
              <w:fldChar w:fldCharType="begin"/>
            </w:r>
            <w:r w:rsidR="00747037">
              <w:rPr>
                <w:noProof/>
                <w:webHidden/>
              </w:rPr>
              <w:instrText xml:space="preserve"> PAGEREF _Toc201665090 \h </w:instrText>
            </w:r>
            <w:r w:rsidR="00747037">
              <w:rPr>
                <w:noProof/>
                <w:webHidden/>
              </w:rPr>
            </w:r>
            <w:r w:rsidR="00747037">
              <w:rPr>
                <w:noProof/>
                <w:webHidden/>
              </w:rPr>
              <w:fldChar w:fldCharType="separate"/>
            </w:r>
            <w:r w:rsidR="001D7F1A">
              <w:rPr>
                <w:noProof/>
                <w:webHidden/>
              </w:rPr>
              <w:t>8</w:t>
            </w:r>
            <w:r w:rsidR="00747037">
              <w:rPr>
                <w:noProof/>
                <w:webHidden/>
              </w:rPr>
              <w:fldChar w:fldCharType="end"/>
            </w:r>
          </w:hyperlink>
        </w:p>
        <w:p w14:paraId="431C3821" w14:textId="4460B6AA" w:rsidR="00747037" w:rsidRDefault="00342B58">
          <w:pPr>
            <w:pStyle w:val="TDC2"/>
            <w:tabs>
              <w:tab w:val="right" w:leader="dot" w:pos="9962"/>
            </w:tabs>
            <w:rPr>
              <w:rFonts w:eastAsiaTheme="minorEastAsia"/>
              <w:noProof/>
              <w:kern w:val="0"/>
              <w:sz w:val="22"/>
              <w:lang w:eastAsia="es-CO"/>
              <w14:ligatures w14:val="none"/>
            </w:rPr>
          </w:pPr>
          <w:hyperlink w:anchor="_Toc201665091" w:history="1">
            <w:r w:rsidR="00747037" w:rsidRPr="00037AA2">
              <w:rPr>
                <w:rStyle w:val="Hipervnculo"/>
                <w:noProof/>
              </w:rPr>
              <w:t>1.2 Indicadores de endeudamiento</w:t>
            </w:r>
            <w:r w:rsidR="00747037">
              <w:rPr>
                <w:noProof/>
                <w:webHidden/>
              </w:rPr>
              <w:tab/>
            </w:r>
            <w:r w:rsidR="00747037">
              <w:rPr>
                <w:noProof/>
                <w:webHidden/>
              </w:rPr>
              <w:fldChar w:fldCharType="begin"/>
            </w:r>
            <w:r w:rsidR="00747037">
              <w:rPr>
                <w:noProof/>
                <w:webHidden/>
              </w:rPr>
              <w:instrText xml:space="preserve"> PAGEREF _Toc201665091 \h </w:instrText>
            </w:r>
            <w:r w:rsidR="00747037">
              <w:rPr>
                <w:noProof/>
                <w:webHidden/>
              </w:rPr>
            </w:r>
            <w:r w:rsidR="00747037">
              <w:rPr>
                <w:noProof/>
                <w:webHidden/>
              </w:rPr>
              <w:fldChar w:fldCharType="separate"/>
            </w:r>
            <w:r w:rsidR="001D7F1A">
              <w:rPr>
                <w:noProof/>
                <w:webHidden/>
              </w:rPr>
              <w:t>20</w:t>
            </w:r>
            <w:r w:rsidR="00747037">
              <w:rPr>
                <w:noProof/>
                <w:webHidden/>
              </w:rPr>
              <w:fldChar w:fldCharType="end"/>
            </w:r>
          </w:hyperlink>
        </w:p>
        <w:p w14:paraId="2CA224BA" w14:textId="075B3F82" w:rsidR="00747037" w:rsidRDefault="00342B58">
          <w:pPr>
            <w:pStyle w:val="TDC2"/>
            <w:tabs>
              <w:tab w:val="right" w:leader="dot" w:pos="9962"/>
            </w:tabs>
            <w:rPr>
              <w:rFonts w:eastAsiaTheme="minorEastAsia"/>
              <w:noProof/>
              <w:kern w:val="0"/>
              <w:sz w:val="22"/>
              <w:lang w:eastAsia="es-CO"/>
              <w14:ligatures w14:val="none"/>
            </w:rPr>
          </w:pPr>
          <w:hyperlink w:anchor="_Toc201665092" w:history="1">
            <w:r w:rsidR="00747037" w:rsidRPr="00037AA2">
              <w:rPr>
                <w:rStyle w:val="Hipervnculo"/>
                <w:noProof/>
              </w:rPr>
              <w:t>1.3. Indicadores de eficiencia y gestión</w:t>
            </w:r>
            <w:r w:rsidR="00747037">
              <w:rPr>
                <w:noProof/>
                <w:webHidden/>
              </w:rPr>
              <w:tab/>
            </w:r>
            <w:r w:rsidR="00747037">
              <w:rPr>
                <w:noProof/>
                <w:webHidden/>
              </w:rPr>
              <w:fldChar w:fldCharType="begin"/>
            </w:r>
            <w:r w:rsidR="00747037">
              <w:rPr>
                <w:noProof/>
                <w:webHidden/>
              </w:rPr>
              <w:instrText xml:space="preserve"> PAGEREF _Toc201665092 \h </w:instrText>
            </w:r>
            <w:r w:rsidR="00747037">
              <w:rPr>
                <w:noProof/>
                <w:webHidden/>
              </w:rPr>
            </w:r>
            <w:r w:rsidR="00747037">
              <w:rPr>
                <w:noProof/>
                <w:webHidden/>
              </w:rPr>
              <w:fldChar w:fldCharType="separate"/>
            </w:r>
            <w:r w:rsidR="001D7F1A">
              <w:rPr>
                <w:noProof/>
                <w:webHidden/>
              </w:rPr>
              <w:t>26</w:t>
            </w:r>
            <w:r w:rsidR="00747037">
              <w:rPr>
                <w:noProof/>
                <w:webHidden/>
              </w:rPr>
              <w:fldChar w:fldCharType="end"/>
            </w:r>
          </w:hyperlink>
        </w:p>
        <w:p w14:paraId="6367CC22" w14:textId="5F9511ED" w:rsidR="00747037" w:rsidRDefault="00342B58">
          <w:pPr>
            <w:pStyle w:val="TDC2"/>
            <w:tabs>
              <w:tab w:val="right" w:leader="dot" w:pos="9962"/>
            </w:tabs>
            <w:rPr>
              <w:rFonts w:eastAsiaTheme="minorEastAsia"/>
              <w:noProof/>
              <w:kern w:val="0"/>
              <w:sz w:val="22"/>
              <w:lang w:eastAsia="es-CO"/>
              <w14:ligatures w14:val="none"/>
            </w:rPr>
          </w:pPr>
          <w:hyperlink w:anchor="_Toc201665093" w:history="1">
            <w:r w:rsidR="00747037" w:rsidRPr="00037AA2">
              <w:rPr>
                <w:rStyle w:val="Hipervnculo"/>
                <w:noProof/>
              </w:rPr>
              <w:t>1.4 Indicadores de rentabilidad</w:t>
            </w:r>
            <w:r w:rsidR="00747037">
              <w:rPr>
                <w:noProof/>
                <w:webHidden/>
              </w:rPr>
              <w:tab/>
            </w:r>
            <w:r w:rsidR="00747037">
              <w:rPr>
                <w:noProof/>
                <w:webHidden/>
              </w:rPr>
              <w:fldChar w:fldCharType="begin"/>
            </w:r>
            <w:r w:rsidR="00747037">
              <w:rPr>
                <w:noProof/>
                <w:webHidden/>
              </w:rPr>
              <w:instrText xml:space="preserve"> PAGEREF _Toc201665093 \h </w:instrText>
            </w:r>
            <w:r w:rsidR="00747037">
              <w:rPr>
                <w:noProof/>
                <w:webHidden/>
              </w:rPr>
            </w:r>
            <w:r w:rsidR="00747037">
              <w:rPr>
                <w:noProof/>
                <w:webHidden/>
              </w:rPr>
              <w:fldChar w:fldCharType="separate"/>
            </w:r>
            <w:r w:rsidR="001D7F1A">
              <w:rPr>
                <w:noProof/>
                <w:webHidden/>
              </w:rPr>
              <w:t>32</w:t>
            </w:r>
            <w:r w:rsidR="00747037">
              <w:rPr>
                <w:noProof/>
                <w:webHidden/>
              </w:rPr>
              <w:fldChar w:fldCharType="end"/>
            </w:r>
          </w:hyperlink>
        </w:p>
        <w:p w14:paraId="200F2904" w14:textId="74DF8B8F" w:rsidR="00747037" w:rsidRDefault="00342B58">
          <w:pPr>
            <w:pStyle w:val="TDC1"/>
            <w:tabs>
              <w:tab w:val="left" w:pos="1320"/>
            </w:tabs>
            <w:rPr>
              <w:rFonts w:eastAsiaTheme="minorEastAsia"/>
              <w:noProof/>
              <w:kern w:val="0"/>
              <w:sz w:val="22"/>
              <w:lang w:eastAsia="es-CO"/>
              <w14:ligatures w14:val="none"/>
            </w:rPr>
          </w:pPr>
          <w:hyperlink w:anchor="_Toc201665094" w:history="1">
            <w:r w:rsidR="00747037" w:rsidRPr="00037AA2">
              <w:rPr>
                <w:rStyle w:val="Hipervnculo"/>
                <w:noProof/>
              </w:rPr>
              <w:t>2.</w:t>
            </w:r>
            <w:r w:rsidR="00747037">
              <w:rPr>
                <w:rFonts w:eastAsiaTheme="minorEastAsia"/>
                <w:noProof/>
                <w:kern w:val="0"/>
                <w:sz w:val="22"/>
                <w:lang w:eastAsia="es-CO"/>
                <w14:ligatures w14:val="none"/>
              </w:rPr>
              <w:tab/>
            </w:r>
            <w:r w:rsidR="00747037" w:rsidRPr="00037AA2">
              <w:rPr>
                <w:rStyle w:val="Hipervnculo"/>
                <w:noProof/>
              </w:rPr>
              <w:t>La aplicación de los indicadores financieros en la toma de decisiones</w:t>
            </w:r>
            <w:r w:rsidR="00747037">
              <w:rPr>
                <w:noProof/>
                <w:webHidden/>
              </w:rPr>
              <w:tab/>
            </w:r>
            <w:r w:rsidR="00747037">
              <w:rPr>
                <w:noProof/>
                <w:webHidden/>
              </w:rPr>
              <w:fldChar w:fldCharType="begin"/>
            </w:r>
            <w:r w:rsidR="00747037">
              <w:rPr>
                <w:noProof/>
                <w:webHidden/>
              </w:rPr>
              <w:instrText xml:space="preserve"> PAGEREF _Toc201665094 \h </w:instrText>
            </w:r>
            <w:r w:rsidR="00747037">
              <w:rPr>
                <w:noProof/>
                <w:webHidden/>
              </w:rPr>
            </w:r>
            <w:r w:rsidR="00747037">
              <w:rPr>
                <w:noProof/>
                <w:webHidden/>
              </w:rPr>
              <w:fldChar w:fldCharType="separate"/>
            </w:r>
            <w:r w:rsidR="001D7F1A">
              <w:rPr>
                <w:noProof/>
                <w:webHidden/>
              </w:rPr>
              <w:t>38</w:t>
            </w:r>
            <w:r w:rsidR="00747037">
              <w:rPr>
                <w:noProof/>
                <w:webHidden/>
              </w:rPr>
              <w:fldChar w:fldCharType="end"/>
            </w:r>
          </w:hyperlink>
        </w:p>
        <w:p w14:paraId="00A5512E" w14:textId="1500436F" w:rsidR="00747037" w:rsidRDefault="00342B58">
          <w:pPr>
            <w:pStyle w:val="TDC1"/>
            <w:tabs>
              <w:tab w:val="left" w:pos="1320"/>
            </w:tabs>
            <w:rPr>
              <w:rFonts w:eastAsiaTheme="minorEastAsia"/>
              <w:noProof/>
              <w:kern w:val="0"/>
              <w:sz w:val="22"/>
              <w:lang w:eastAsia="es-CO"/>
              <w14:ligatures w14:val="none"/>
            </w:rPr>
          </w:pPr>
          <w:hyperlink w:anchor="_Toc201665095" w:history="1">
            <w:r w:rsidR="00747037" w:rsidRPr="00037AA2">
              <w:rPr>
                <w:rStyle w:val="Hipervnculo"/>
                <w:noProof/>
              </w:rPr>
              <w:t>3.</w:t>
            </w:r>
            <w:r w:rsidR="00747037">
              <w:rPr>
                <w:rFonts w:eastAsiaTheme="minorEastAsia"/>
                <w:noProof/>
                <w:kern w:val="0"/>
                <w:sz w:val="22"/>
                <w:lang w:eastAsia="es-CO"/>
                <w14:ligatures w14:val="none"/>
              </w:rPr>
              <w:tab/>
            </w:r>
            <w:r w:rsidR="00747037" w:rsidRPr="00037AA2">
              <w:rPr>
                <w:rStyle w:val="Hipervnculo"/>
                <w:noProof/>
              </w:rPr>
              <w:t>Indicadores de gestión</w:t>
            </w:r>
            <w:r w:rsidR="00747037">
              <w:rPr>
                <w:noProof/>
                <w:webHidden/>
              </w:rPr>
              <w:tab/>
            </w:r>
            <w:r w:rsidR="00747037">
              <w:rPr>
                <w:noProof/>
                <w:webHidden/>
              </w:rPr>
              <w:fldChar w:fldCharType="begin"/>
            </w:r>
            <w:r w:rsidR="00747037">
              <w:rPr>
                <w:noProof/>
                <w:webHidden/>
              </w:rPr>
              <w:instrText xml:space="preserve"> PAGEREF _Toc201665095 \h </w:instrText>
            </w:r>
            <w:r w:rsidR="00747037">
              <w:rPr>
                <w:noProof/>
                <w:webHidden/>
              </w:rPr>
            </w:r>
            <w:r w:rsidR="00747037">
              <w:rPr>
                <w:noProof/>
                <w:webHidden/>
              </w:rPr>
              <w:fldChar w:fldCharType="separate"/>
            </w:r>
            <w:r w:rsidR="001D7F1A">
              <w:rPr>
                <w:noProof/>
                <w:webHidden/>
              </w:rPr>
              <w:t>43</w:t>
            </w:r>
            <w:r w:rsidR="00747037">
              <w:rPr>
                <w:noProof/>
                <w:webHidden/>
              </w:rPr>
              <w:fldChar w:fldCharType="end"/>
            </w:r>
          </w:hyperlink>
        </w:p>
        <w:p w14:paraId="6127F334" w14:textId="7E8F7E70" w:rsidR="00747037" w:rsidRDefault="00342B58">
          <w:pPr>
            <w:pStyle w:val="TDC1"/>
            <w:rPr>
              <w:rFonts w:eastAsiaTheme="minorEastAsia"/>
              <w:noProof/>
              <w:kern w:val="0"/>
              <w:sz w:val="22"/>
              <w:lang w:eastAsia="es-CO"/>
              <w14:ligatures w14:val="none"/>
            </w:rPr>
          </w:pPr>
          <w:hyperlink w:anchor="_Toc201665096" w:history="1">
            <w:r w:rsidR="00747037" w:rsidRPr="00037AA2">
              <w:rPr>
                <w:rStyle w:val="Hipervnculo"/>
                <w:noProof/>
              </w:rPr>
              <w:t>Síntesis</w:t>
            </w:r>
            <w:r w:rsidR="00747037">
              <w:rPr>
                <w:noProof/>
                <w:webHidden/>
              </w:rPr>
              <w:tab/>
            </w:r>
            <w:r w:rsidR="00747037">
              <w:rPr>
                <w:noProof/>
                <w:webHidden/>
              </w:rPr>
              <w:fldChar w:fldCharType="begin"/>
            </w:r>
            <w:r w:rsidR="00747037">
              <w:rPr>
                <w:noProof/>
                <w:webHidden/>
              </w:rPr>
              <w:instrText xml:space="preserve"> PAGEREF _Toc201665096 \h </w:instrText>
            </w:r>
            <w:r w:rsidR="00747037">
              <w:rPr>
                <w:noProof/>
                <w:webHidden/>
              </w:rPr>
            </w:r>
            <w:r w:rsidR="00747037">
              <w:rPr>
                <w:noProof/>
                <w:webHidden/>
              </w:rPr>
              <w:fldChar w:fldCharType="separate"/>
            </w:r>
            <w:r w:rsidR="001D7F1A">
              <w:rPr>
                <w:noProof/>
                <w:webHidden/>
              </w:rPr>
              <w:t>51</w:t>
            </w:r>
            <w:r w:rsidR="00747037">
              <w:rPr>
                <w:noProof/>
                <w:webHidden/>
              </w:rPr>
              <w:fldChar w:fldCharType="end"/>
            </w:r>
          </w:hyperlink>
        </w:p>
        <w:p w14:paraId="54A9F326" w14:textId="316EF1DB" w:rsidR="00747037" w:rsidRDefault="00342B58">
          <w:pPr>
            <w:pStyle w:val="TDC1"/>
            <w:rPr>
              <w:rFonts w:eastAsiaTheme="minorEastAsia"/>
              <w:noProof/>
              <w:kern w:val="0"/>
              <w:sz w:val="22"/>
              <w:lang w:eastAsia="es-CO"/>
              <w14:ligatures w14:val="none"/>
            </w:rPr>
          </w:pPr>
          <w:hyperlink w:anchor="_Toc201665097" w:history="1">
            <w:r w:rsidR="00747037" w:rsidRPr="00037AA2">
              <w:rPr>
                <w:rStyle w:val="Hipervnculo"/>
                <w:noProof/>
              </w:rPr>
              <w:t>Material complementario</w:t>
            </w:r>
            <w:r w:rsidR="00747037">
              <w:rPr>
                <w:noProof/>
                <w:webHidden/>
              </w:rPr>
              <w:tab/>
            </w:r>
            <w:r w:rsidR="00747037">
              <w:rPr>
                <w:noProof/>
                <w:webHidden/>
              </w:rPr>
              <w:fldChar w:fldCharType="begin"/>
            </w:r>
            <w:r w:rsidR="00747037">
              <w:rPr>
                <w:noProof/>
                <w:webHidden/>
              </w:rPr>
              <w:instrText xml:space="preserve"> PAGEREF _Toc201665097 \h </w:instrText>
            </w:r>
            <w:r w:rsidR="00747037">
              <w:rPr>
                <w:noProof/>
                <w:webHidden/>
              </w:rPr>
            </w:r>
            <w:r w:rsidR="00747037">
              <w:rPr>
                <w:noProof/>
                <w:webHidden/>
              </w:rPr>
              <w:fldChar w:fldCharType="separate"/>
            </w:r>
            <w:r w:rsidR="001D7F1A">
              <w:rPr>
                <w:noProof/>
                <w:webHidden/>
              </w:rPr>
              <w:t>53</w:t>
            </w:r>
            <w:r w:rsidR="00747037">
              <w:rPr>
                <w:noProof/>
                <w:webHidden/>
              </w:rPr>
              <w:fldChar w:fldCharType="end"/>
            </w:r>
          </w:hyperlink>
        </w:p>
        <w:p w14:paraId="16E1D545" w14:textId="45F5B711" w:rsidR="00747037" w:rsidRDefault="00342B58">
          <w:pPr>
            <w:pStyle w:val="TDC1"/>
            <w:rPr>
              <w:rFonts w:eastAsiaTheme="minorEastAsia"/>
              <w:noProof/>
              <w:kern w:val="0"/>
              <w:sz w:val="22"/>
              <w:lang w:eastAsia="es-CO"/>
              <w14:ligatures w14:val="none"/>
            </w:rPr>
          </w:pPr>
          <w:hyperlink w:anchor="_Toc201665098" w:history="1">
            <w:r w:rsidR="00747037" w:rsidRPr="00037AA2">
              <w:rPr>
                <w:rStyle w:val="Hipervnculo"/>
                <w:noProof/>
              </w:rPr>
              <w:t>Glosario</w:t>
            </w:r>
            <w:r w:rsidR="00747037">
              <w:rPr>
                <w:noProof/>
                <w:webHidden/>
              </w:rPr>
              <w:tab/>
            </w:r>
            <w:r w:rsidR="00747037">
              <w:rPr>
                <w:noProof/>
                <w:webHidden/>
              </w:rPr>
              <w:fldChar w:fldCharType="begin"/>
            </w:r>
            <w:r w:rsidR="00747037">
              <w:rPr>
                <w:noProof/>
                <w:webHidden/>
              </w:rPr>
              <w:instrText xml:space="preserve"> PAGEREF _Toc201665098 \h </w:instrText>
            </w:r>
            <w:r w:rsidR="00747037">
              <w:rPr>
                <w:noProof/>
                <w:webHidden/>
              </w:rPr>
            </w:r>
            <w:r w:rsidR="00747037">
              <w:rPr>
                <w:noProof/>
                <w:webHidden/>
              </w:rPr>
              <w:fldChar w:fldCharType="separate"/>
            </w:r>
            <w:r w:rsidR="001D7F1A">
              <w:rPr>
                <w:noProof/>
                <w:webHidden/>
              </w:rPr>
              <w:t>55</w:t>
            </w:r>
            <w:r w:rsidR="00747037">
              <w:rPr>
                <w:noProof/>
                <w:webHidden/>
              </w:rPr>
              <w:fldChar w:fldCharType="end"/>
            </w:r>
          </w:hyperlink>
        </w:p>
        <w:p w14:paraId="70BF7116" w14:textId="18D0FC9E" w:rsidR="00747037" w:rsidRDefault="00342B58">
          <w:pPr>
            <w:pStyle w:val="TDC1"/>
            <w:rPr>
              <w:rFonts w:eastAsiaTheme="minorEastAsia"/>
              <w:noProof/>
              <w:kern w:val="0"/>
              <w:sz w:val="22"/>
              <w:lang w:eastAsia="es-CO"/>
              <w14:ligatures w14:val="none"/>
            </w:rPr>
          </w:pPr>
          <w:hyperlink w:anchor="_Toc201665099" w:history="1">
            <w:r w:rsidR="00747037" w:rsidRPr="00037AA2">
              <w:rPr>
                <w:rStyle w:val="Hipervnculo"/>
                <w:noProof/>
              </w:rPr>
              <w:t>Referencias bibliográficas</w:t>
            </w:r>
            <w:r w:rsidR="00747037">
              <w:rPr>
                <w:noProof/>
                <w:webHidden/>
              </w:rPr>
              <w:tab/>
            </w:r>
            <w:r w:rsidR="00747037">
              <w:rPr>
                <w:noProof/>
                <w:webHidden/>
              </w:rPr>
              <w:fldChar w:fldCharType="begin"/>
            </w:r>
            <w:r w:rsidR="00747037">
              <w:rPr>
                <w:noProof/>
                <w:webHidden/>
              </w:rPr>
              <w:instrText xml:space="preserve"> PAGEREF _Toc201665099 \h </w:instrText>
            </w:r>
            <w:r w:rsidR="00747037">
              <w:rPr>
                <w:noProof/>
                <w:webHidden/>
              </w:rPr>
            </w:r>
            <w:r w:rsidR="00747037">
              <w:rPr>
                <w:noProof/>
                <w:webHidden/>
              </w:rPr>
              <w:fldChar w:fldCharType="separate"/>
            </w:r>
            <w:r w:rsidR="001D7F1A">
              <w:rPr>
                <w:noProof/>
                <w:webHidden/>
              </w:rPr>
              <w:t>56</w:t>
            </w:r>
            <w:r w:rsidR="00747037">
              <w:rPr>
                <w:noProof/>
                <w:webHidden/>
              </w:rPr>
              <w:fldChar w:fldCharType="end"/>
            </w:r>
          </w:hyperlink>
        </w:p>
        <w:p w14:paraId="7B623B98" w14:textId="2A3F8299" w:rsidR="00747037" w:rsidRDefault="00342B58">
          <w:pPr>
            <w:pStyle w:val="TDC1"/>
            <w:rPr>
              <w:rFonts w:eastAsiaTheme="minorEastAsia"/>
              <w:noProof/>
              <w:kern w:val="0"/>
              <w:sz w:val="22"/>
              <w:lang w:eastAsia="es-CO"/>
              <w14:ligatures w14:val="none"/>
            </w:rPr>
          </w:pPr>
          <w:hyperlink w:anchor="_Toc201665100" w:history="1">
            <w:r w:rsidR="00747037" w:rsidRPr="00037AA2">
              <w:rPr>
                <w:rStyle w:val="Hipervnculo"/>
                <w:noProof/>
              </w:rPr>
              <w:t>Créditos</w:t>
            </w:r>
            <w:r w:rsidR="00747037">
              <w:rPr>
                <w:noProof/>
                <w:webHidden/>
              </w:rPr>
              <w:tab/>
            </w:r>
            <w:r w:rsidR="00747037">
              <w:rPr>
                <w:noProof/>
                <w:webHidden/>
              </w:rPr>
              <w:fldChar w:fldCharType="begin"/>
            </w:r>
            <w:r w:rsidR="00747037">
              <w:rPr>
                <w:noProof/>
                <w:webHidden/>
              </w:rPr>
              <w:instrText xml:space="preserve"> PAGEREF _Toc201665100 \h </w:instrText>
            </w:r>
            <w:r w:rsidR="00747037">
              <w:rPr>
                <w:noProof/>
                <w:webHidden/>
              </w:rPr>
            </w:r>
            <w:r w:rsidR="00747037">
              <w:rPr>
                <w:noProof/>
                <w:webHidden/>
              </w:rPr>
              <w:fldChar w:fldCharType="separate"/>
            </w:r>
            <w:r w:rsidR="001D7F1A">
              <w:rPr>
                <w:noProof/>
                <w:webHidden/>
              </w:rPr>
              <w:t>57</w:t>
            </w:r>
            <w:r w:rsidR="00747037">
              <w:rPr>
                <w:noProof/>
                <w:webHidden/>
              </w:rPr>
              <w:fldChar w:fldCharType="end"/>
            </w:r>
          </w:hyperlink>
        </w:p>
        <w:p w14:paraId="3AFC5851" w14:textId="739A9A53" w:rsidR="000434FA" w:rsidRDefault="000434FA" w:rsidP="001A33D0">
          <w:pPr>
            <w:pStyle w:val="TDC1"/>
            <w:spacing w:before="0" w:after="0"/>
          </w:pPr>
          <w:r>
            <w:rPr>
              <w:b/>
              <w:bCs/>
              <w:lang w:val="es-ES"/>
            </w:rPr>
            <w:fldChar w:fldCharType="end"/>
          </w:r>
        </w:p>
      </w:sdtContent>
    </w:sdt>
    <w:p w14:paraId="64058420" w14:textId="77777777" w:rsidR="007F2B44" w:rsidRPr="007F2B44" w:rsidRDefault="007F2B44" w:rsidP="001A33D0">
      <w:pPr>
        <w:spacing w:before="0" w:after="0"/>
        <w:sectPr w:rsidR="007F2B44" w:rsidRPr="007F2B44" w:rsidSect="001A6D42">
          <w:footerReference w:type="default" r:id="rId9"/>
          <w:pgSz w:w="12240" w:h="15840"/>
          <w:pgMar w:top="1701" w:right="1134" w:bottom="1134" w:left="1134" w:header="709" w:footer="709" w:gutter="0"/>
          <w:cols w:space="708"/>
          <w:docGrid w:linePitch="360"/>
        </w:sectPr>
      </w:pPr>
    </w:p>
    <w:p w14:paraId="51859525" w14:textId="74A3B8CA" w:rsidR="007F2B44" w:rsidRPr="00320724" w:rsidRDefault="007F2B44" w:rsidP="0061041A">
      <w:pPr>
        <w:pStyle w:val="Titulosgenerales"/>
      </w:pPr>
      <w:bookmarkStart w:id="4" w:name="_Toc201665088"/>
      <w:r w:rsidRPr="00320724">
        <w:lastRenderedPageBreak/>
        <w:t>Introducción</w:t>
      </w:r>
      <w:bookmarkEnd w:id="4"/>
    </w:p>
    <w:p w14:paraId="731099A7" w14:textId="77777777" w:rsidR="00320724" w:rsidRPr="00320724" w:rsidRDefault="00320724" w:rsidP="00320724">
      <w:r w:rsidRPr="00320724">
        <w:t>Este componente formativo tiene como objetivo proporcionar a los aprendices del SENA las herramientas necesarias para comprender, calcular e interpretar los principales indicadores financieros utilizados en la evaluación de la situación económica de las empresas. A través de una metodología práctica y accesible, se abordarán conceptos clave como los indicadores de liquidez, endeudamiento, rentabilidad y eficiencia, fundamentales para la toma de decisiones estratégicas en el ámbito financiero. Mediante ejemplos representativos del entorno empresarial colombiano, los aprendices podrán aplicar estos conceptos a situaciones reales, facilitando así su aprendizaje y comprensión. Además, se utilizarán herramientas didácticas que promuevan la participación activa, ayudándolos a interpretar los resultados obtenidos y tomar decisiones informadas basadas en análisis financieros rigurosos. El componente se desarrollará de manera didáctica, con un enfoque práctico que permite vincular la teoría con la práctica, fortaleciendo las competencias en el análisis y manejo de indicadores financieros en contextos organizacionales.</w:t>
      </w:r>
    </w:p>
    <w:p w14:paraId="6575EA32" w14:textId="66DB98B9" w:rsidR="003C202B" w:rsidRPr="00320724" w:rsidRDefault="00320724" w:rsidP="00320724">
      <w:r w:rsidRPr="00320724">
        <w:t>Partiendo de lo anterior, se invita a que acceda al siguiente video, el cual relaciona la temática a tratar durante este componente formativo.</w:t>
      </w:r>
    </w:p>
    <w:p w14:paraId="3B744E9A" w14:textId="77777777" w:rsidR="00C56FE8" w:rsidRDefault="00C56FE8">
      <w:pPr>
        <w:spacing w:before="0" w:after="160" w:line="259" w:lineRule="auto"/>
        <w:ind w:firstLine="0"/>
        <w:rPr>
          <w:b/>
          <w:szCs w:val="28"/>
          <w:lang w:val="es-MX"/>
        </w:rPr>
      </w:pPr>
      <w:r>
        <w:rPr>
          <w:szCs w:val="28"/>
          <w:lang w:val="es-MX"/>
        </w:rPr>
        <w:br w:type="page"/>
      </w:r>
    </w:p>
    <w:p w14:paraId="3D5B67B1" w14:textId="4642AA46" w:rsidR="00FE2AA6" w:rsidRPr="00FE2AA6" w:rsidRDefault="00FE2AA6" w:rsidP="001A33D0">
      <w:pPr>
        <w:pStyle w:val="TituloPortada"/>
        <w:spacing w:before="0" w:after="0" w:line="360" w:lineRule="auto"/>
        <w:ind w:firstLine="0"/>
        <w:jc w:val="center"/>
        <w:rPr>
          <w:color w:val="auto"/>
          <w:sz w:val="28"/>
          <w:szCs w:val="28"/>
          <w:lang w:val="es-MX"/>
        </w:rPr>
      </w:pPr>
      <w:r>
        <w:rPr>
          <w:color w:val="auto"/>
          <w:sz w:val="28"/>
          <w:szCs w:val="28"/>
          <w:lang w:val="es-MX"/>
        </w:rPr>
        <w:lastRenderedPageBreak/>
        <w:t xml:space="preserve">Video 1. </w:t>
      </w:r>
      <w:r w:rsidR="005D3C40">
        <w:rPr>
          <w:b w:val="0"/>
          <w:bCs/>
          <w:color w:val="auto"/>
          <w:sz w:val="28"/>
          <w:szCs w:val="28"/>
          <w:lang w:val="es-MX"/>
        </w:rPr>
        <w:t>Cálculo e interpretación de indicadores financieros</w:t>
      </w:r>
    </w:p>
    <w:p w14:paraId="4FE8676D" w14:textId="63AF4A97" w:rsidR="007F2B44" w:rsidRPr="00A57A9E" w:rsidRDefault="00C93107" w:rsidP="001A33D0">
      <w:pPr>
        <w:spacing w:before="0" w:after="0"/>
        <w:ind w:right="49" w:firstLine="0"/>
        <w:jc w:val="center"/>
      </w:pPr>
      <w:r>
        <w:rPr>
          <w:noProof/>
        </w:rPr>
        <w:drawing>
          <wp:inline distT="0" distB="0" distL="0" distR="0" wp14:anchorId="56CD7B6A" wp14:editId="3050A583">
            <wp:extent cx="6332220" cy="3561715"/>
            <wp:effectExtent l="0" t="0" r="0" b="635"/>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1D4A860" w14:textId="67F51436" w:rsidR="007F2B44" w:rsidRDefault="00342B58" w:rsidP="001A33D0">
      <w:pPr>
        <w:spacing w:before="0" w:after="0"/>
        <w:ind w:firstLine="0"/>
        <w:jc w:val="center"/>
        <w:rPr>
          <w:rStyle w:val="Hipervnculo"/>
          <w:b/>
          <w:color w:val="002060"/>
        </w:rPr>
      </w:pPr>
      <w:hyperlink r:id="rId11" w:history="1">
        <w:r w:rsidR="007F2B44" w:rsidRPr="00DC3088">
          <w:rPr>
            <w:rStyle w:val="Hipervnculo"/>
            <w:b/>
            <w:color w:val="002060"/>
          </w:rPr>
          <w:t xml:space="preserve">Enlace de reproducción </w:t>
        </w:r>
        <w:r w:rsidR="007F2B44" w:rsidRPr="00DC3088">
          <w:rPr>
            <w:rStyle w:val="Hipervnculo"/>
            <w:b/>
            <w:color w:val="002060"/>
          </w:rPr>
          <w:t>d</w:t>
        </w:r>
        <w:r w:rsidR="007F2B44" w:rsidRPr="00DC3088">
          <w:rPr>
            <w:rStyle w:val="Hipervnculo"/>
            <w:b/>
            <w:color w:val="002060"/>
          </w:rPr>
          <w:t>el video</w:t>
        </w:r>
      </w:hyperlink>
    </w:p>
    <w:p w14:paraId="18438EC1" w14:textId="77777777" w:rsidR="00C871FF" w:rsidRPr="00DC3088" w:rsidRDefault="00C871FF" w:rsidP="001A33D0">
      <w:pPr>
        <w:spacing w:before="0" w:after="0"/>
        <w:ind w:firstLine="0"/>
        <w:jc w:val="center"/>
        <w:rPr>
          <w:rStyle w:val="Hipervnculo"/>
          <w:b/>
          <w:color w:val="002060"/>
        </w:rPr>
      </w:pPr>
    </w:p>
    <w:tbl>
      <w:tblPr>
        <w:tblStyle w:val="Tablaconcuadrcula"/>
        <w:tblW w:w="0" w:type="auto"/>
        <w:tblLook w:val="04A0" w:firstRow="1" w:lastRow="0" w:firstColumn="1" w:lastColumn="0" w:noHBand="0" w:noVBand="1"/>
      </w:tblPr>
      <w:tblGrid>
        <w:gridCol w:w="9962"/>
      </w:tblGrid>
      <w:tr w:rsidR="007F2B44" w:rsidRPr="00A57A9E" w14:paraId="647F6E79" w14:textId="77777777" w:rsidTr="008C72B5">
        <w:tc>
          <w:tcPr>
            <w:tcW w:w="9962" w:type="dxa"/>
          </w:tcPr>
          <w:p w14:paraId="764C344D" w14:textId="17E343B2" w:rsidR="007F2B44" w:rsidRPr="00885D57" w:rsidRDefault="004C2B96" w:rsidP="001A33D0">
            <w:pPr>
              <w:spacing w:before="0" w:after="0"/>
              <w:ind w:firstLine="0"/>
              <w:jc w:val="center"/>
              <w:rPr>
                <w:bCs/>
              </w:rPr>
            </w:pPr>
            <w:r>
              <w:rPr>
                <w:b/>
              </w:rPr>
              <w:t xml:space="preserve">Video 1. </w:t>
            </w:r>
            <w:r w:rsidR="007F2B44" w:rsidRPr="00A57A9E">
              <w:rPr>
                <w:b/>
              </w:rPr>
              <w:t xml:space="preserve">Síntesis del video: </w:t>
            </w:r>
            <w:r w:rsidR="00885D57">
              <w:rPr>
                <w:bCs/>
              </w:rPr>
              <w:t>Cálculo e interpretación de indicadores financieros</w:t>
            </w:r>
          </w:p>
        </w:tc>
      </w:tr>
      <w:tr w:rsidR="007F2B44" w:rsidRPr="00A57A9E" w14:paraId="1FE8CEA4" w14:textId="77777777" w:rsidTr="008C72B5">
        <w:tc>
          <w:tcPr>
            <w:tcW w:w="9962" w:type="dxa"/>
          </w:tcPr>
          <w:p w14:paraId="4B3A92B9" w14:textId="77777777" w:rsidR="00171B1B" w:rsidRDefault="00885D57" w:rsidP="005B33D9">
            <w:r>
              <w:t xml:space="preserve">Este componente formativo presenta los principales indicadores financieros utilizados para evaluar </w:t>
            </w:r>
            <w:r w:rsidR="000B79B3">
              <w:t>la situación económica de una empresa</w:t>
            </w:r>
            <w:r w:rsidR="00CE2667">
              <w:t>.</w:t>
            </w:r>
          </w:p>
          <w:p w14:paraId="0E128CDB" w14:textId="48B4BC64" w:rsidR="00CE2667" w:rsidRDefault="00CE2667" w:rsidP="005B33D9">
            <w:r>
              <w:t xml:space="preserve">Se inicia con una </w:t>
            </w:r>
            <w:r w:rsidR="004F635A">
              <w:t>definición</w:t>
            </w:r>
            <w:r>
              <w:t xml:space="preserve"> </w:t>
            </w:r>
            <w:r w:rsidR="006D26C5">
              <w:t>de</w:t>
            </w:r>
            <w:r>
              <w:t xml:space="preserve"> los indicadores financieros y su relevancia en la medición de aspectos </w:t>
            </w:r>
            <w:r w:rsidR="007F68D6">
              <w:t xml:space="preserve">clave como la liquidez, la rentabilidad, </w:t>
            </w:r>
            <w:r w:rsidR="00C4429C">
              <w:t>el endeudamiento y la eficiencia operativa.</w:t>
            </w:r>
          </w:p>
          <w:p w14:paraId="5F8EB8C7" w14:textId="77777777" w:rsidR="00C4429C" w:rsidRDefault="00C4429C" w:rsidP="005B33D9">
            <w:r>
              <w:t xml:space="preserve">Estos indicadores permiten tomar decisiones informadas basadas en </w:t>
            </w:r>
            <w:r w:rsidR="00C45848">
              <w:t>un análisis detallado de la salud financiera de la organización</w:t>
            </w:r>
            <w:r w:rsidR="007926EB">
              <w:t>.</w:t>
            </w:r>
          </w:p>
          <w:p w14:paraId="4724D78B" w14:textId="77777777" w:rsidR="005120D8" w:rsidRDefault="007926EB" w:rsidP="005B33D9">
            <w:r>
              <w:lastRenderedPageBreak/>
              <w:t xml:space="preserve">Luego, se exploran los indicadores fundamentales </w:t>
            </w:r>
            <w:r w:rsidR="00EE0FDC">
              <w:t xml:space="preserve">tales como la razón corriente, la prueba ácida, </w:t>
            </w:r>
            <w:r w:rsidR="0062747E">
              <w:t>el margen de utilidad, el ROA</w:t>
            </w:r>
            <w:r w:rsidR="00DE57B2">
              <w:t xml:space="preserve"> – Retorno sobre Activos y el ROE – Retorno sobre el Patrimonio</w:t>
            </w:r>
            <w:r w:rsidR="0062747E">
              <w:t>,</w:t>
            </w:r>
            <w:r w:rsidR="00822EF9">
              <w:t xml:space="preserve"> explicando su fórmula y su interpretación </w:t>
            </w:r>
            <w:r w:rsidR="00206733">
              <w:t>en el contexto empresarial</w:t>
            </w:r>
            <w:r w:rsidR="005120D8">
              <w:t>.</w:t>
            </w:r>
          </w:p>
          <w:p w14:paraId="07BE0595" w14:textId="457821E0" w:rsidR="007926EB" w:rsidRPr="00FA287B" w:rsidRDefault="005120D8" w:rsidP="005B33D9">
            <w:r>
              <w:t>Finalmente, se analiza como estos indicadores que interrelacionan y ofrecen una visión integral del desempeño económico de una empresa</w:t>
            </w:r>
            <w:r w:rsidR="00FA24D4">
              <w:t>, también se incluyen ejemplos práctic</w:t>
            </w:r>
            <w:r w:rsidR="008931B3">
              <w:t>o</w:t>
            </w:r>
            <w:r w:rsidR="00FA24D4">
              <w:t xml:space="preserve">s con cifras representativas </w:t>
            </w:r>
            <w:r w:rsidR="00FE0581">
              <w:t>del entorno empresarial colombiano</w:t>
            </w:r>
            <w:r w:rsidR="008931B3">
              <w:t>,</w:t>
            </w:r>
            <w:r w:rsidR="00FE0581">
              <w:t xml:space="preserve"> lo cual facilita la aplicación de los conceptos teóricos </w:t>
            </w:r>
            <w:r w:rsidR="00FD0238">
              <w:t>en situaciones reales</w:t>
            </w:r>
            <w:r w:rsidR="004176E7">
              <w:t>. A</w:t>
            </w:r>
            <w:r w:rsidR="00FD0238">
              <w:t xml:space="preserve"> través de este enfoque práctico los aprendices desarrollan competencias analíticas que les permiten </w:t>
            </w:r>
            <w:r w:rsidR="00B17503">
              <w:t xml:space="preserve">evaluar la salud financiera de una empresa, mejorando su capacidad para </w:t>
            </w:r>
            <w:r w:rsidR="008A5F44">
              <w:t>tomar decisiones estratégicas fundamentadas en indicadores financieros.</w:t>
            </w:r>
          </w:p>
        </w:tc>
      </w:tr>
    </w:tbl>
    <w:p w14:paraId="0F5CD9C0" w14:textId="77777777" w:rsidR="00804C0B" w:rsidRDefault="00804C0B" w:rsidP="0061041A">
      <w:pPr>
        <w:pStyle w:val="Ttulo1"/>
      </w:pPr>
    </w:p>
    <w:p w14:paraId="23F16BEA" w14:textId="77777777" w:rsidR="00804C0B" w:rsidRPr="00327236" w:rsidRDefault="00804C0B" w:rsidP="001A33D0">
      <w:pPr>
        <w:spacing w:before="0" w:after="0"/>
        <w:ind w:firstLine="0"/>
        <w:rPr>
          <w:rFonts w:eastAsia="Times New Roman" w:cstheme="minorHAnsi"/>
          <w:b/>
          <w:bCs/>
          <w:spacing w:val="-10"/>
          <w:kern w:val="0"/>
          <w:sz w:val="36"/>
          <w:szCs w:val="36"/>
          <w:bdr w:val="none" w:sz="0" w:space="0" w:color="auto" w:frame="1"/>
          <w:lang w:val="es-419" w:eastAsia="es-CO"/>
          <w14:ligatures w14:val="none"/>
        </w:rPr>
      </w:pPr>
      <w:r w:rsidRPr="00327236">
        <w:rPr>
          <w:sz w:val="36"/>
          <w:szCs w:val="36"/>
        </w:rPr>
        <w:br w:type="page"/>
      </w:r>
    </w:p>
    <w:p w14:paraId="71B7C302" w14:textId="6D5AA22F" w:rsidR="00C871FF" w:rsidRPr="00C871FF" w:rsidRDefault="008F0869" w:rsidP="00E727BC">
      <w:pPr>
        <w:pStyle w:val="Ttulo1"/>
        <w:numPr>
          <w:ilvl w:val="0"/>
          <w:numId w:val="33"/>
        </w:numPr>
      </w:pPr>
      <w:bookmarkStart w:id="5" w:name="_Toc201665089"/>
      <w:r>
        <w:lastRenderedPageBreak/>
        <w:t>Conceptos generales de los indicadores financieros</w:t>
      </w:r>
      <w:bookmarkEnd w:id="5"/>
    </w:p>
    <w:p w14:paraId="6219A788" w14:textId="47A154A7" w:rsidR="00F16474" w:rsidRDefault="00F16474" w:rsidP="00F16474">
      <w:r w:rsidRPr="00F16474">
        <w:t>Los indicadores financieros son herramientas cuantitativas esenciales en el análisis económico de las organizaciones. A partir de datos extraídos de los estados financieros, estos indicadores permiten construir relaciones numéricas que ayudan a entender la situación real de una empresa. Su propósito no es únicamente describir cifras, sino traducir la información contable en señales claras para evaluar la estabilidad, el rendimiento y la gestión financiera. Se convierten así en instrumentos que brindan una radiografía del estado económico de una empresa en un periodo determinado o en comparación con ejercicios anteriores o referentes del sector.</w:t>
      </w:r>
    </w:p>
    <w:p w14:paraId="681207DE" w14:textId="77777777" w:rsidR="00F16474" w:rsidRPr="00F16474" w:rsidRDefault="00F16474" w:rsidP="00F16474">
      <w:r w:rsidRPr="00F16474">
        <w:t>Según Ortiz (2011), los indicadores financieros permiten diagnosticar el funcionamiento integral de la empresa en sus dimensiones financiera, operativa y estratégica. No se trata solo de saber si una empresa gana o pierde dinero, sino de comprender cómo lo hace, con qué recursos, a qué velocidad, y con qué nivel de riesgo. De este modo, el análisis de indicadores contribuye a responder preguntas clave como:</w:t>
      </w:r>
    </w:p>
    <w:p w14:paraId="16C4BD6C" w14:textId="77777777" w:rsidR="00F16474" w:rsidRPr="00F16474" w:rsidRDefault="00F16474" w:rsidP="00E727BC">
      <w:pPr>
        <w:pStyle w:val="Prrafodelista"/>
        <w:numPr>
          <w:ilvl w:val="0"/>
          <w:numId w:val="5"/>
        </w:numPr>
      </w:pPr>
      <w:r w:rsidRPr="00F16474">
        <w:t>¿La empresa es solvente?</w:t>
      </w:r>
    </w:p>
    <w:p w14:paraId="14A38FAF" w14:textId="77777777" w:rsidR="00F16474" w:rsidRPr="00F16474" w:rsidRDefault="00F16474" w:rsidP="00E727BC">
      <w:pPr>
        <w:pStyle w:val="Prrafodelista"/>
        <w:numPr>
          <w:ilvl w:val="0"/>
          <w:numId w:val="5"/>
        </w:numPr>
      </w:pPr>
      <w:r w:rsidRPr="00F16474">
        <w:t>¿Está bien apalancada?</w:t>
      </w:r>
    </w:p>
    <w:p w14:paraId="61CBEFEF" w14:textId="77777777" w:rsidR="00F16474" w:rsidRPr="00F16474" w:rsidRDefault="00F16474" w:rsidP="00E727BC">
      <w:pPr>
        <w:pStyle w:val="Prrafodelista"/>
        <w:numPr>
          <w:ilvl w:val="0"/>
          <w:numId w:val="5"/>
        </w:numPr>
      </w:pPr>
      <w:r w:rsidRPr="00F16474">
        <w:t>¿Genera utilidades suficientes?</w:t>
      </w:r>
    </w:p>
    <w:p w14:paraId="67C088FA" w14:textId="77777777" w:rsidR="00F16474" w:rsidRPr="00F16474" w:rsidRDefault="00F16474" w:rsidP="00E727BC">
      <w:pPr>
        <w:pStyle w:val="Prrafodelista"/>
        <w:numPr>
          <w:ilvl w:val="0"/>
          <w:numId w:val="5"/>
        </w:numPr>
      </w:pPr>
      <w:r w:rsidRPr="00F16474">
        <w:t>¿Aprovecha eficientemente sus activos?</w:t>
      </w:r>
    </w:p>
    <w:p w14:paraId="362A9FEA" w14:textId="77777777" w:rsidR="00962F24" w:rsidRPr="00962F24" w:rsidRDefault="00962F24" w:rsidP="00962F24">
      <w:r w:rsidRPr="00962F24">
        <w:t>En consecuencia, estos indicadores se convierten en piezas fundamentales en la toma de decisiones empresariales fundamentadas y proactivas.</w:t>
      </w:r>
    </w:p>
    <w:p w14:paraId="1C459533" w14:textId="77777777" w:rsidR="00962F24" w:rsidRPr="00962F24" w:rsidRDefault="00962F24" w:rsidP="00962F24">
      <w:r w:rsidRPr="00962F24">
        <w:t xml:space="preserve">La utilidad de los indicadores va más allá del diagnóstico financiero. También cumplen un rol fundamental en la planificación, control y evaluación dentro del proceso </w:t>
      </w:r>
      <w:r w:rsidRPr="00962F24">
        <w:lastRenderedPageBreak/>
        <w:t>administrativo. Gerentes, inversionistas, entidades financieras y entes de control, utilizan estas métricas para:</w:t>
      </w:r>
    </w:p>
    <w:p w14:paraId="32FD111C" w14:textId="77777777" w:rsidR="003D70F4" w:rsidRPr="003D70F4" w:rsidRDefault="003D70F4" w:rsidP="00E727BC">
      <w:pPr>
        <w:pStyle w:val="Prrafodelista"/>
        <w:numPr>
          <w:ilvl w:val="0"/>
          <w:numId w:val="6"/>
        </w:numPr>
      </w:pPr>
      <w:r w:rsidRPr="003D70F4">
        <w:t>Determinar la viabilidad de un negocio.</w:t>
      </w:r>
    </w:p>
    <w:p w14:paraId="04040840" w14:textId="77777777" w:rsidR="003D70F4" w:rsidRPr="003D70F4" w:rsidRDefault="003D70F4" w:rsidP="00E727BC">
      <w:pPr>
        <w:pStyle w:val="Prrafodelista"/>
        <w:numPr>
          <w:ilvl w:val="0"/>
          <w:numId w:val="6"/>
        </w:numPr>
      </w:pPr>
      <w:r w:rsidRPr="003D70F4">
        <w:t>Establecer políticas financieras.</w:t>
      </w:r>
    </w:p>
    <w:p w14:paraId="5A6C99F3" w14:textId="77777777" w:rsidR="003D70F4" w:rsidRPr="003D70F4" w:rsidRDefault="003D70F4" w:rsidP="00E727BC">
      <w:pPr>
        <w:pStyle w:val="Prrafodelista"/>
        <w:numPr>
          <w:ilvl w:val="0"/>
          <w:numId w:val="6"/>
        </w:numPr>
      </w:pPr>
      <w:r w:rsidRPr="003D70F4">
        <w:t>Asignar presupuestos.</w:t>
      </w:r>
    </w:p>
    <w:p w14:paraId="1EC9AB43" w14:textId="6073BCB6" w:rsidR="003D70F4" w:rsidRDefault="003D70F4" w:rsidP="00E727BC">
      <w:pPr>
        <w:pStyle w:val="Prrafodelista"/>
        <w:numPr>
          <w:ilvl w:val="0"/>
          <w:numId w:val="6"/>
        </w:numPr>
      </w:pPr>
      <w:r w:rsidRPr="003D70F4">
        <w:t>Monitorear el cumplimiento de objetivos estratégicos.</w:t>
      </w:r>
    </w:p>
    <w:p w14:paraId="6CF87B04" w14:textId="77777777" w:rsidR="003D70F4" w:rsidRPr="003D70F4" w:rsidRDefault="003D70F4" w:rsidP="003D70F4">
      <w:r w:rsidRPr="003D70F4">
        <w:t>Por ello, es indispensable que su cálculo y análisis, se realicen con rigurosidad técnica y comprensión del entorno empresarial en el que opera la organización.</w:t>
      </w:r>
    </w:p>
    <w:p w14:paraId="13944B5B" w14:textId="77777777" w:rsidR="003D70F4" w:rsidRPr="003D70F4" w:rsidRDefault="003D70F4" w:rsidP="003D70F4">
      <w:pPr>
        <w:pStyle w:val="Sangradetextonormal"/>
      </w:pPr>
      <w:r w:rsidRPr="003D70F4">
        <w:t>Desde el punto de vista técnico, los indicadores financieros se definen como relaciones matemáticas entre dos o más cuentas contables de los estados financieros, como el balance general o el estado de resultados. Estas relaciones tienen sentido analítico porque permiten convertir datos aislados en información estratégica.</w:t>
      </w:r>
    </w:p>
    <w:p w14:paraId="3B1BA21F" w14:textId="77777777" w:rsidR="003D70F4" w:rsidRPr="003D70F4" w:rsidRDefault="003D70F4" w:rsidP="003D70F4">
      <w:r w:rsidRPr="003D70F4">
        <w:t>Por ejemplo, un indicador como la razón corriente (activo corriente/pasivo corriente) revela en segundos si una empresa tiene capacidad para pagar sus obligaciones inmediatas. De esta manera, los indicadores permiten transformar los datos contables —en apariencia fríos y abstractos— en criterios concretos de gestión y control.</w:t>
      </w:r>
    </w:p>
    <w:p w14:paraId="52F66FBE" w14:textId="77777777" w:rsidR="003F72FF" w:rsidRPr="003F72FF" w:rsidRDefault="003F72FF" w:rsidP="003F72FF">
      <w:pPr>
        <w:pStyle w:val="Sangradetextonormal"/>
      </w:pPr>
      <w:r w:rsidRPr="003F72FF">
        <w:t>Los indicadores financieros se agrupan comúnmente en cuatro grandes categorías, cada una con una función específica:</w:t>
      </w:r>
    </w:p>
    <w:p w14:paraId="017C0D90" w14:textId="77777777" w:rsidR="003F72FF" w:rsidRPr="003F72FF" w:rsidRDefault="003F72FF" w:rsidP="00E727BC">
      <w:pPr>
        <w:pStyle w:val="Ttulo8"/>
        <w:numPr>
          <w:ilvl w:val="0"/>
          <w:numId w:val="7"/>
        </w:numPr>
      </w:pPr>
      <w:r w:rsidRPr="003F72FF">
        <w:t>Indicadores de liquidez</w:t>
      </w:r>
    </w:p>
    <w:p w14:paraId="0F20FBFF" w14:textId="77777777" w:rsidR="003F72FF" w:rsidRPr="003F72FF" w:rsidRDefault="003F72FF" w:rsidP="00B216B6">
      <w:pPr>
        <w:pStyle w:val="Prrafodelista"/>
        <w:ind w:left="1429" w:firstLine="0"/>
      </w:pPr>
      <w:r w:rsidRPr="003F72FF">
        <w:t>Evalúan la capacidad de la empresa para cumplir compromisos a corto plazo.</w:t>
      </w:r>
    </w:p>
    <w:p w14:paraId="0B6EDFFA" w14:textId="77777777" w:rsidR="003F72FF" w:rsidRPr="003F72FF" w:rsidRDefault="003F72FF" w:rsidP="00E727BC">
      <w:pPr>
        <w:pStyle w:val="Ttulo8"/>
        <w:numPr>
          <w:ilvl w:val="0"/>
          <w:numId w:val="7"/>
        </w:numPr>
      </w:pPr>
      <w:r w:rsidRPr="003F72FF">
        <w:lastRenderedPageBreak/>
        <w:t>Indicadores de endeudamiento</w:t>
      </w:r>
    </w:p>
    <w:p w14:paraId="37933ED5" w14:textId="77777777" w:rsidR="003F72FF" w:rsidRPr="003F72FF" w:rsidRDefault="003F72FF" w:rsidP="00B216B6">
      <w:pPr>
        <w:pStyle w:val="Prrafodelista"/>
        <w:ind w:left="1429" w:firstLine="0"/>
      </w:pPr>
      <w:r w:rsidRPr="003F72FF">
        <w:t>Miden el nivel de riesgo financiero y apalancamiento.</w:t>
      </w:r>
    </w:p>
    <w:p w14:paraId="34E503F6" w14:textId="77777777" w:rsidR="003F72FF" w:rsidRPr="003F72FF" w:rsidRDefault="003F72FF" w:rsidP="00E727BC">
      <w:pPr>
        <w:pStyle w:val="Ttulo8"/>
        <w:numPr>
          <w:ilvl w:val="0"/>
          <w:numId w:val="7"/>
        </w:numPr>
      </w:pPr>
      <w:r w:rsidRPr="003F72FF">
        <w:t>Indicadores de rentabilidad</w:t>
      </w:r>
    </w:p>
    <w:p w14:paraId="50D5CD88" w14:textId="77777777" w:rsidR="003F72FF" w:rsidRPr="003F72FF" w:rsidRDefault="003F72FF" w:rsidP="00B216B6">
      <w:pPr>
        <w:pStyle w:val="Prrafodelista"/>
        <w:ind w:left="1429" w:firstLine="0"/>
      </w:pPr>
      <w:r w:rsidRPr="003F72FF">
        <w:t>Determinan la eficiencia en la generación de utilidades.</w:t>
      </w:r>
    </w:p>
    <w:p w14:paraId="2901DC79" w14:textId="77777777" w:rsidR="003F72FF" w:rsidRPr="003F72FF" w:rsidRDefault="003F72FF" w:rsidP="00E727BC">
      <w:pPr>
        <w:pStyle w:val="Ttulo8"/>
        <w:numPr>
          <w:ilvl w:val="0"/>
          <w:numId w:val="7"/>
        </w:numPr>
      </w:pPr>
      <w:r w:rsidRPr="003F72FF">
        <w:t>Indicadores de eficiencia o gestión</w:t>
      </w:r>
    </w:p>
    <w:p w14:paraId="4773D8CF" w14:textId="77777777" w:rsidR="003F72FF" w:rsidRPr="003F72FF" w:rsidRDefault="003F72FF" w:rsidP="00B216B6">
      <w:pPr>
        <w:pStyle w:val="Prrafodelista"/>
        <w:ind w:left="1429" w:firstLine="0"/>
      </w:pPr>
      <w:r w:rsidRPr="003F72FF">
        <w:t>Permiten valorar cómo se están utilizando los recursos disponibles.</w:t>
      </w:r>
    </w:p>
    <w:p w14:paraId="531B856E" w14:textId="37E08F67" w:rsidR="003D70F4" w:rsidRDefault="000B3C3F" w:rsidP="00FC558D">
      <w:pPr>
        <w:pStyle w:val="Sangradetextonormal"/>
      </w:pPr>
      <w:r w:rsidRPr="000B3C3F">
        <w:t>Los indicadores financieros, como se expuso, se agrupan en cuatro grandes categorías fundamentales, cada una enfocada en analizar aspectos distintos pero complementarios de la situación económica de una empresa. Esta clasificación facilita una comprensión integral del desempeño financiero, permitiendo a los analistas, gerentes y empresarios tomar decisiones más acertadas, basadas en datos concretos y evaluaciones objetivas. Retomando a Ortiz (2011), se da una explicación de cada una:</w:t>
      </w:r>
    </w:p>
    <w:p w14:paraId="17DCDBAF" w14:textId="77777777" w:rsidR="00FC558D" w:rsidRPr="00FC558D" w:rsidRDefault="00FC558D" w:rsidP="00E727BC">
      <w:pPr>
        <w:pStyle w:val="Prrafodelista"/>
        <w:numPr>
          <w:ilvl w:val="0"/>
          <w:numId w:val="8"/>
        </w:numPr>
        <w:rPr>
          <w:b/>
          <w:bCs/>
        </w:rPr>
      </w:pPr>
      <w:r w:rsidRPr="00FC558D">
        <w:rPr>
          <w:b/>
          <w:bCs/>
        </w:rPr>
        <w:t>Indicadores de liquidez</w:t>
      </w:r>
    </w:p>
    <w:p w14:paraId="0EE47981" w14:textId="77777777" w:rsidR="00FC558D" w:rsidRPr="00FC558D" w:rsidRDefault="00FC558D" w:rsidP="00FC558D">
      <w:pPr>
        <w:pStyle w:val="Prrafodelista"/>
        <w:ind w:left="1429" w:firstLine="0"/>
      </w:pPr>
      <w:r w:rsidRPr="00FC558D">
        <w:t>En primer lugar, se encuentran los indicadores de liquidez, cuya función principal es medir la capacidad de la empresa para atender sus obligaciones de corto plazo; es decir, estos indicadores muestran si la empresa cuenta con suficientes activos líquidos como efectivo, cuentas por cobrar o inventarios para cubrir sus deudas inmediatas. Herramientas como la razón corriente o la prueba ácida son claves para identificar si una empresa está en riesgo de insolvencia operativa, situación que puede afectar su reputación y su capacidad de continuar operando normalmente.</w:t>
      </w:r>
    </w:p>
    <w:p w14:paraId="49AF42D6" w14:textId="77777777" w:rsidR="00FC558D" w:rsidRDefault="00FC558D" w:rsidP="00FC558D">
      <w:pPr>
        <w:pStyle w:val="Prrafodelista"/>
        <w:ind w:left="1429" w:firstLine="0"/>
      </w:pPr>
    </w:p>
    <w:p w14:paraId="60287BCC" w14:textId="03540778" w:rsidR="00FC558D" w:rsidRPr="00FC558D" w:rsidRDefault="00FC558D" w:rsidP="00E727BC">
      <w:pPr>
        <w:pStyle w:val="Prrafodelista"/>
        <w:numPr>
          <w:ilvl w:val="0"/>
          <w:numId w:val="8"/>
        </w:numPr>
        <w:rPr>
          <w:b/>
          <w:bCs/>
        </w:rPr>
      </w:pPr>
      <w:r w:rsidRPr="00FC558D">
        <w:rPr>
          <w:b/>
          <w:bCs/>
        </w:rPr>
        <w:lastRenderedPageBreak/>
        <w:t>Indicadores de endeudamiento</w:t>
      </w:r>
    </w:p>
    <w:p w14:paraId="0C22290A" w14:textId="77777777" w:rsidR="00FC558D" w:rsidRPr="00FC558D" w:rsidRDefault="00FC558D" w:rsidP="00FC558D">
      <w:pPr>
        <w:pStyle w:val="Prrafodelista"/>
        <w:ind w:left="1429" w:firstLine="0"/>
      </w:pPr>
      <w:r w:rsidRPr="00FC558D">
        <w:t>En segundo lugar, están los indicadores de endeudamiento, también conocidos como indicadores de apalancamiento financiero. Estos permiten analizar el grado de dependencia que tiene la empresa de recursos ajenos; es decir, del crédito y las obligaciones financieras con terceros. Al medir la proporción de deuda frente a los activos o el patrimonio, se puede determinar si la empresa está asumiendo un nivel de riesgo adecuado o excesivo. Un endeudamiento bien manejado puede ser beneficioso para el crecimiento; sin embargo, un nivel alto y mal administrado puede comprometer la viabilidad del negocio en el largo plazo.</w:t>
      </w:r>
    </w:p>
    <w:p w14:paraId="6083E01C" w14:textId="77777777" w:rsidR="00FC558D" w:rsidRPr="00FC558D" w:rsidRDefault="00FC558D" w:rsidP="00E727BC">
      <w:pPr>
        <w:pStyle w:val="Prrafodelista"/>
        <w:numPr>
          <w:ilvl w:val="0"/>
          <w:numId w:val="8"/>
        </w:numPr>
        <w:rPr>
          <w:b/>
          <w:bCs/>
        </w:rPr>
      </w:pPr>
      <w:r w:rsidRPr="00FC558D">
        <w:rPr>
          <w:b/>
          <w:bCs/>
        </w:rPr>
        <w:t>Indicadores de rentabilidad</w:t>
      </w:r>
    </w:p>
    <w:p w14:paraId="3E398077" w14:textId="77777777" w:rsidR="00FC558D" w:rsidRPr="00FC558D" w:rsidRDefault="00FC558D" w:rsidP="00FC558D">
      <w:pPr>
        <w:pStyle w:val="Prrafodelista"/>
        <w:ind w:left="1429" w:firstLine="0"/>
      </w:pPr>
      <w:r w:rsidRPr="00FC558D">
        <w:t>En tercer lugar, se destacan los indicadores de rentabilidad, cuya función es evaluar la capacidad de la empresa para generar utilidades a partir de sus ingresos, activos o recursos propios. Estos indicadores son de especial interés para los inversionistas y propietarios, ya que reflejan el retorno que están obteniendo por su inversión. Entre los más usados se encuentran el margen de utilidad, el retorno sobre activos (ROA) y el retorno sobre patrimonio (ROE). Su análisis ayuda a entender si la empresa está utilizando adecuadamente sus recursos para producir beneficios sostenibles.</w:t>
      </w:r>
    </w:p>
    <w:p w14:paraId="53FC7E61" w14:textId="77777777" w:rsidR="00FC558D" w:rsidRPr="00FC558D" w:rsidRDefault="00FC558D" w:rsidP="00E727BC">
      <w:pPr>
        <w:pStyle w:val="Prrafodelista"/>
        <w:numPr>
          <w:ilvl w:val="0"/>
          <w:numId w:val="8"/>
        </w:numPr>
        <w:rPr>
          <w:b/>
          <w:bCs/>
        </w:rPr>
      </w:pPr>
      <w:r w:rsidRPr="00FC558D">
        <w:rPr>
          <w:b/>
          <w:bCs/>
        </w:rPr>
        <w:t>Indicadores de eficiencia o gestión</w:t>
      </w:r>
    </w:p>
    <w:p w14:paraId="18893704" w14:textId="77777777" w:rsidR="00FC558D" w:rsidRPr="00FC558D" w:rsidRDefault="00FC558D" w:rsidP="00FC558D">
      <w:pPr>
        <w:pStyle w:val="Prrafodelista"/>
        <w:ind w:left="1429" w:firstLine="0"/>
      </w:pPr>
      <w:r w:rsidRPr="00FC558D">
        <w:t xml:space="preserve">Finalmente, están los indicadores de eficiencia o gestión, los cuales se enfocan en medir qué tan bien está utilizando la empresa sus recursos para operar. Estos indicadores analizan la rotación de activos como inventarios, cuentas por cobrar y cuentas por pagar, permiten determinar si los </w:t>
      </w:r>
      <w:r w:rsidRPr="00FC558D">
        <w:lastRenderedPageBreak/>
        <w:t>procesos internos son ágiles, si el capital de trabajo está bien gestionado y si la empresa mantiene un flujo de caja saludable. Una buena eficiencia en la gestión se traduce en menor tiempo de conversión de recursos en dinero y en una mejor capacidad de respuesta ante el mercado.</w:t>
      </w:r>
    </w:p>
    <w:p w14:paraId="7CC2B7E6" w14:textId="77777777" w:rsidR="00397A92" w:rsidRPr="00397A92" w:rsidRDefault="00397A92" w:rsidP="00397A92">
      <w:pPr>
        <w:pStyle w:val="Sangradetextonormal"/>
      </w:pPr>
      <w:r w:rsidRPr="00397A92">
        <w:t>En conjunto, estas cuatro categorías de indicadores, forman un sistema de análisis que permite observar a la empresa desde múltiples ángulos financieros. Evaluarlos de forma aislada puede ser útil, pero su verdadero valor emerge cuando se analizan en conjunto, ya que permiten establecer relaciones entre liquidez, rentabilidad, endeudamiento y eficiencia, ofreciendo una visión completa y estratégica del desempeño empresarial.</w:t>
      </w:r>
    </w:p>
    <w:p w14:paraId="5515E844" w14:textId="77777777" w:rsidR="00397A92" w:rsidRPr="00397A92" w:rsidRDefault="00397A92" w:rsidP="00397A92">
      <w:pPr>
        <w:pStyle w:val="Ttulo2"/>
      </w:pPr>
      <w:bookmarkStart w:id="6" w:name="_Toc201665090"/>
      <w:r w:rsidRPr="00397A92">
        <w:t>1.1 Indicadores de liquidez</w:t>
      </w:r>
      <w:bookmarkEnd w:id="6"/>
    </w:p>
    <w:p w14:paraId="447C6054" w14:textId="30D7AF1A" w:rsidR="00397A92" w:rsidRPr="003B2D8F" w:rsidRDefault="00397A92" w:rsidP="003B2D8F">
      <w:pPr>
        <w:pStyle w:val="Sangradetextonormal"/>
      </w:pPr>
      <w:r w:rsidRPr="00397A92">
        <w:t xml:space="preserve">Los indicadores financieros se calculan a partir de los estados financieros básicos: situación financiera (el balance general), el estado de resultados y el flujo de efectivo. Además, se puede complementar la información con reportes internos, presupuestos y </w:t>
      </w:r>
      <w:r w:rsidRPr="003B2D8F">
        <w:t>comparativos sectoriales.</w:t>
      </w:r>
    </w:p>
    <w:p w14:paraId="7810F72E" w14:textId="77777777" w:rsidR="003B2D8F" w:rsidRPr="003B2D8F" w:rsidRDefault="003B2D8F" w:rsidP="003B2D8F">
      <w:r w:rsidRPr="003B2D8F">
        <w:t>Los indicadores de liquidez son herramientas financieras que permiten medir la capacidad que tiene una empresa para hacer frente a sus compromisos financieros inmediatos; es decir, sus deudas a corto plazo. Este tipo de análisis es crucial para garantizar la operatividad continua del negocio, ya que una empresa con baja liquidez corre el riesgo de no poder pagar a sus proveedores, empleados, bancos u otras entidades, lo cual puede afectar negativamente su reputación, generar intereses por mora o incluso llevarla a la insolvencia.</w:t>
      </w:r>
    </w:p>
    <w:p w14:paraId="3DE7986C" w14:textId="77777777" w:rsidR="003B2D8F" w:rsidRPr="003B2D8F" w:rsidRDefault="003B2D8F" w:rsidP="003B2D8F">
      <w:r w:rsidRPr="003B2D8F">
        <w:t>Estos indicadores se enfocan en establecer una relación entre:</w:t>
      </w:r>
    </w:p>
    <w:p w14:paraId="0EF0141A" w14:textId="52D202AC" w:rsidR="004C51DB" w:rsidRPr="00AE0D37" w:rsidRDefault="004C51DB" w:rsidP="00E727BC">
      <w:pPr>
        <w:pStyle w:val="Prrafodelista"/>
        <w:numPr>
          <w:ilvl w:val="0"/>
          <w:numId w:val="8"/>
        </w:numPr>
        <w:spacing w:afterLines="120" w:after="288"/>
        <w:textAlignment w:val="baseline"/>
        <w:rPr>
          <w:b/>
          <w:bCs/>
        </w:rPr>
      </w:pPr>
      <w:r w:rsidRPr="00AE0D37">
        <w:rPr>
          <w:b/>
          <w:bCs/>
        </w:rPr>
        <w:lastRenderedPageBreak/>
        <w:t>Activos corrientes</w:t>
      </w:r>
      <w:r w:rsidR="00AE0D37" w:rsidRPr="00AE0D37">
        <w:rPr>
          <w:b/>
          <w:bCs/>
        </w:rPr>
        <w:tab/>
      </w:r>
    </w:p>
    <w:p w14:paraId="2B3FF0DB" w14:textId="77777777" w:rsidR="004C51DB" w:rsidRPr="004C51DB" w:rsidRDefault="004C51DB" w:rsidP="00F43BB6">
      <w:pPr>
        <w:pStyle w:val="Prrafodelista"/>
        <w:spacing w:afterLines="120" w:after="288"/>
        <w:ind w:left="1429" w:firstLine="0"/>
      </w:pPr>
      <w:r w:rsidRPr="004C51DB">
        <w:t>Aquellos bienes y derechos que pueden convertirse fácilmente en efectivo en menos de un año. Entre los activos corrientes se encuentran el efectivo, las cuentas por cobrar, los inventarios y otros activos líquidos.</w:t>
      </w:r>
    </w:p>
    <w:p w14:paraId="76514516" w14:textId="77777777" w:rsidR="004C51DB" w:rsidRPr="004C51DB" w:rsidRDefault="004C51DB" w:rsidP="00E727BC">
      <w:pPr>
        <w:pStyle w:val="Prrafodelista"/>
        <w:numPr>
          <w:ilvl w:val="0"/>
          <w:numId w:val="9"/>
        </w:numPr>
        <w:rPr>
          <w:b/>
          <w:bCs/>
        </w:rPr>
      </w:pPr>
      <w:r w:rsidRPr="004C51DB">
        <w:rPr>
          <w:b/>
          <w:bCs/>
        </w:rPr>
        <w:t>Pasivos corrientes</w:t>
      </w:r>
    </w:p>
    <w:p w14:paraId="26D44226" w14:textId="77777777" w:rsidR="004C51DB" w:rsidRPr="004C51DB" w:rsidRDefault="004C51DB" w:rsidP="004C51DB">
      <w:pPr>
        <w:pStyle w:val="Prrafodelista"/>
        <w:ind w:left="1429" w:firstLine="0"/>
      </w:pPr>
      <w:r w:rsidRPr="004C51DB">
        <w:t>Representan las obligaciones que deben pagarse en ese mismo periodo. Los pasivos corrientes incluyen préstamos bancarios de corto plazo, cuentas por pagar a proveedores y otras deudas próximas a vencerse.</w:t>
      </w:r>
    </w:p>
    <w:p w14:paraId="37FA67AC" w14:textId="77777777" w:rsidR="004C51DB" w:rsidRPr="004C51DB" w:rsidRDefault="004C51DB" w:rsidP="004C51DB">
      <w:r w:rsidRPr="004C51DB">
        <w:t>El análisis de liquidez es especialmente importante en negocios que operan con márgenes ajustados o que tienen una alta rotación de inventarios y cuentas por cobrar. Incluso una empresa rentable puede atravesar problemas financieros si no gestiona adecuadamente su liquidez. Por ejemplo, si una empresa tiene muchas ventas a crédito, pero no logra recaudar a tiempo, puede enfrentar dificultades para cumplir con sus compromisos, a pesar de tener utilidades contables.</w:t>
      </w:r>
    </w:p>
    <w:p w14:paraId="1C681059" w14:textId="492CC7CC" w:rsidR="004C51DB" w:rsidRDefault="004C51DB" w:rsidP="004C51DB">
      <w:r w:rsidRPr="004C51DB">
        <w:t>Entre los indicadores más representativos de esta categoría se encuentran:</w:t>
      </w:r>
    </w:p>
    <w:p w14:paraId="7B364E43" w14:textId="77777777" w:rsidR="00A44DB2" w:rsidRPr="00A44DB2" w:rsidRDefault="00A44DB2" w:rsidP="00E727BC">
      <w:pPr>
        <w:pStyle w:val="Prrafodelista"/>
        <w:numPr>
          <w:ilvl w:val="0"/>
          <w:numId w:val="10"/>
        </w:numPr>
        <w:rPr>
          <w:b/>
          <w:bCs/>
        </w:rPr>
      </w:pPr>
      <w:r w:rsidRPr="00A44DB2">
        <w:rPr>
          <w:b/>
          <w:bCs/>
        </w:rPr>
        <w:t>La razón corriente</w:t>
      </w:r>
    </w:p>
    <w:p w14:paraId="6D654E2F" w14:textId="77777777" w:rsidR="00A44DB2" w:rsidRPr="00A44DB2" w:rsidRDefault="00A44DB2" w:rsidP="00A44DB2">
      <w:pPr>
        <w:pStyle w:val="Prrafodelista"/>
        <w:ind w:left="1429" w:firstLine="0"/>
      </w:pPr>
      <w:r w:rsidRPr="00A44DB2">
        <w:t>Relaciona los activos corrientes con los pasivos corrientes.</w:t>
      </w:r>
    </w:p>
    <w:p w14:paraId="4E79D6B8" w14:textId="77777777" w:rsidR="00A44DB2" w:rsidRPr="00A44DB2" w:rsidRDefault="00A44DB2" w:rsidP="00E727BC">
      <w:pPr>
        <w:pStyle w:val="Prrafodelista"/>
        <w:numPr>
          <w:ilvl w:val="0"/>
          <w:numId w:val="10"/>
        </w:numPr>
        <w:rPr>
          <w:b/>
          <w:bCs/>
        </w:rPr>
      </w:pPr>
      <w:r w:rsidRPr="00A44DB2">
        <w:rPr>
          <w:b/>
          <w:bCs/>
        </w:rPr>
        <w:t>La prueba ácida o razón rápida</w:t>
      </w:r>
    </w:p>
    <w:p w14:paraId="332F26B6" w14:textId="77777777" w:rsidR="00A44DB2" w:rsidRPr="00A44DB2" w:rsidRDefault="00A44DB2" w:rsidP="00A44DB2">
      <w:pPr>
        <w:pStyle w:val="Prrafodelista"/>
        <w:ind w:left="1429" w:firstLine="0"/>
      </w:pPr>
      <w:r w:rsidRPr="00A44DB2">
        <w:t>Excluye los inventarios del cálculo para mostrar una visión más estricta de la liquidez.</w:t>
      </w:r>
    </w:p>
    <w:p w14:paraId="52FC4228" w14:textId="77777777" w:rsidR="00A44DB2" w:rsidRPr="00A44DB2" w:rsidRDefault="00A44DB2" w:rsidP="00E727BC">
      <w:pPr>
        <w:pStyle w:val="Prrafodelista"/>
        <w:numPr>
          <w:ilvl w:val="0"/>
          <w:numId w:val="10"/>
        </w:numPr>
        <w:rPr>
          <w:b/>
          <w:bCs/>
        </w:rPr>
      </w:pPr>
      <w:r w:rsidRPr="00A44DB2">
        <w:rPr>
          <w:b/>
          <w:bCs/>
        </w:rPr>
        <w:t>El capital de trabajo</w:t>
      </w:r>
    </w:p>
    <w:p w14:paraId="3282DBF6" w14:textId="043BF97C" w:rsidR="00A44DB2" w:rsidRPr="00A44DB2" w:rsidRDefault="00A44DB2" w:rsidP="00A44DB2">
      <w:pPr>
        <w:pStyle w:val="Prrafodelista"/>
        <w:ind w:left="1429" w:firstLine="0"/>
      </w:pPr>
      <w:r w:rsidRPr="00A44DB2">
        <w:t>Indica cuánto exceden los activos líquidos a las obligaciones inmediatas</w:t>
      </w:r>
      <w:r>
        <w:t>.</w:t>
      </w:r>
    </w:p>
    <w:p w14:paraId="55F9B2C0" w14:textId="0BDECF95" w:rsidR="00196CD4" w:rsidRDefault="00A44DB2" w:rsidP="00A44DB2">
      <w:r w:rsidRPr="00A44DB2">
        <w:lastRenderedPageBreak/>
        <w:t>Cada uno de estos indicadores ofrece una perspectiva distinta, pero complementaria, sobre la solidez financiera de corto plazo.</w:t>
      </w:r>
    </w:p>
    <w:p w14:paraId="40835C2B" w14:textId="77777777" w:rsidR="00D56ADF" w:rsidRPr="00D56ADF" w:rsidRDefault="00D56ADF" w:rsidP="00D56ADF">
      <w:pPr>
        <w:pStyle w:val="Sangradetextonormal"/>
      </w:pPr>
      <w:r w:rsidRPr="00D56ADF">
        <w:t>Según Ortiz (2011), una correcta interpretación de los indicadores de liquidez permite tomar decisiones acertadas sobre la gestión del efectivo, la política de créditos y cobros, así como la planificación del capital de trabajo. En contextos de incertidumbre económica o cambios en la demanda, una liquidez adecuada actúa como colchón de seguridad para garantizar la continuidad del negocio. Por ello, estos indicadores deben monitorearse constantemente, compararse con promedios del sector y ajustarse a la realidad operativa de cada empresa.</w:t>
      </w:r>
    </w:p>
    <w:p w14:paraId="0A73C241" w14:textId="77777777" w:rsidR="00D56ADF" w:rsidRPr="00D56ADF" w:rsidRDefault="00D56ADF" w:rsidP="00D56ADF">
      <w:r w:rsidRPr="00D56ADF">
        <w:t>A continuación, se explica en mayor medida, cada uno de estos indicadores:</w:t>
      </w:r>
    </w:p>
    <w:p w14:paraId="15EFE8EB" w14:textId="077D4FEB" w:rsidR="00D56ADF" w:rsidRPr="008952AA" w:rsidRDefault="00D56ADF" w:rsidP="00E727BC">
      <w:pPr>
        <w:pStyle w:val="Prrafodelista"/>
        <w:numPr>
          <w:ilvl w:val="0"/>
          <w:numId w:val="11"/>
        </w:numPr>
        <w:rPr>
          <w:b/>
          <w:bCs/>
        </w:rPr>
      </w:pPr>
      <w:r w:rsidRPr="008952AA">
        <w:rPr>
          <w:b/>
          <w:bCs/>
        </w:rPr>
        <w:t>La razón corriente</w:t>
      </w:r>
    </w:p>
    <w:p w14:paraId="2FC746C7" w14:textId="77777777" w:rsidR="00D56ADF" w:rsidRPr="008952AA" w:rsidRDefault="00D56ADF" w:rsidP="008952AA">
      <w:pPr>
        <w:pStyle w:val="Prrafodelista"/>
        <w:ind w:left="1429" w:firstLine="0"/>
      </w:pPr>
      <w:r w:rsidRPr="008952AA">
        <w:t>La razón corriente es uno de los indicadores más utilizados para medir la liquidez general de una empresa. Su fórmula consiste en dividir el total de activos corrientes, entre el total de pasivos corrientes. Esta relación busca responder una pregunta clave: ¿cuántos recursos líquidos o de fácil conversión tiene la empresa por cada peso que debe pagar en el corto plazo?</w:t>
      </w:r>
    </w:p>
    <w:p w14:paraId="54EA43DF" w14:textId="77777777" w:rsidR="00D56ADF" w:rsidRPr="008952AA" w:rsidRDefault="00D56ADF" w:rsidP="008952AA">
      <w:pPr>
        <w:pStyle w:val="Prrafodelista"/>
        <w:ind w:left="1429" w:firstLine="0"/>
      </w:pPr>
      <w:r w:rsidRPr="008952AA">
        <w:t>En el ejemplo planteado, una empresa con activos corrientes por $80.000.000 y pasivos corrientes por $40.000.000, presenta una razón corriente de 2.0. Esto significa que por cada peso que debe pagar en el corto plazo, dispone de dos pesos en activos líquidos. A primera vista, esto se interpreta como una posición financiera saludable, ya que indica que la empresa tiene el doble de recursos que deudas inmediatas, lo cual le da margen para operar con tranquilidad.</w:t>
      </w:r>
    </w:p>
    <w:p w14:paraId="3A3AAF8F" w14:textId="77777777" w:rsidR="00D56ADF" w:rsidRPr="008952AA" w:rsidRDefault="00D56ADF" w:rsidP="008952AA">
      <w:pPr>
        <w:pStyle w:val="Prrafodelista"/>
        <w:ind w:left="1429" w:firstLine="0"/>
      </w:pPr>
      <w:r w:rsidRPr="008952AA">
        <w:lastRenderedPageBreak/>
        <w:t>Sin embargo, es importante tener en cuenta que una razón corriente "alta" no siempre es sinónimo de eficiencia. Por ejemplo, si buena parte de esos activos corrientes están compuestos por inventarios que no se están vendiendo o por cuentas por cobrar de difícil recaudo, entonces la empresa podría tener una liquidez “aparente”, pero no efectiva. En ese sentido, la calidad de los activos es tan importante como su cantidad.</w:t>
      </w:r>
    </w:p>
    <w:p w14:paraId="786DC9DA" w14:textId="183D8832" w:rsidR="00D56ADF" w:rsidRPr="008952AA" w:rsidRDefault="00D56ADF" w:rsidP="008952AA">
      <w:pPr>
        <w:pStyle w:val="Prrafodelista"/>
        <w:ind w:left="1429" w:firstLine="0"/>
      </w:pPr>
      <w:r w:rsidRPr="008952AA">
        <w:t>Por otro lado, una razón corriente inferior a 1.0 (es decir, cuando los pasivos superan a los activos corrientes) es una señal de alerta, ya que implica que la empresa no tiene suficientes recursos líquidos para cubrir sus deudas inmediatas. Esta situación podría poner en riesgo su operación cotidiana y obligarla a recurrir a financiamiento externo de forma urgente, generalmente con costos financieros más altos.</w:t>
      </w:r>
    </w:p>
    <w:p w14:paraId="0B9EB046" w14:textId="65B5E4AE" w:rsidR="00D56ADF" w:rsidRPr="008952AA" w:rsidRDefault="009A2C03" w:rsidP="008952AA">
      <w:pPr>
        <w:pStyle w:val="Prrafodelista"/>
        <w:ind w:left="1429" w:firstLine="0"/>
      </w:pPr>
      <w:r w:rsidRPr="008952AA">
        <w:t>De forma ideal, la razón corriente debe situarse en un rango entre 1.5 y 2.5, aunque esto puede variar dependiendo del tipo de industria. Por ejemplo, en sectores con alta rotación de inventarios como el comercio minorista, una razón corriente cercana a 1.2 podría ser aceptable. En contraste, en industrias más estables o con ciclos financieros más largos, se espera una razón corriente más elevada como señal de prudencia financiera.</w:t>
      </w:r>
      <w:r w:rsidRPr="008952AA">
        <w:br/>
        <w:t>En conclusión, este indicador no debe analizarse de manera aislada. Es recomendable complementarlo con la prueba ácida, el capital de trabajo y el análisis del flujo de efectivo, para obtener una visión completa de la capacidad real de pago de corto plazo. Además, se debe considerar la naturaleza de los acti</w:t>
      </w:r>
      <w:r w:rsidR="00507669">
        <w:t>1</w:t>
      </w:r>
      <w:r w:rsidRPr="008952AA">
        <w:t xml:space="preserve">vos, la antigüedad de las cuentas por cobrar y la </w:t>
      </w:r>
      <w:r w:rsidRPr="008952AA">
        <w:lastRenderedPageBreak/>
        <w:t>estacionalidad del negocio; factores que inciden directamente en la interpretación de la liquidez.</w:t>
      </w:r>
    </w:p>
    <w:p w14:paraId="6EC54F21" w14:textId="77777777" w:rsidR="008952AA" w:rsidRPr="008952AA" w:rsidRDefault="008952AA" w:rsidP="00E727BC">
      <w:pPr>
        <w:pStyle w:val="Prrafodelista"/>
        <w:numPr>
          <w:ilvl w:val="0"/>
          <w:numId w:val="12"/>
        </w:numPr>
        <w:rPr>
          <w:b/>
          <w:bCs/>
        </w:rPr>
      </w:pPr>
      <w:r w:rsidRPr="008952AA">
        <w:rPr>
          <w:b/>
          <w:bCs/>
        </w:rPr>
        <w:t>Prueba ácida</w:t>
      </w:r>
    </w:p>
    <w:p w14:paraId="2279984E" w14:textId="77777777" w:rsidR="008952AA" w:rsidRPr="008952AA" w:rsidRDefault="008952AA" w:rsidP="008952AA">
      <w:pPr>
        <w:pStyle w:val="Prrafodelista"/>
        <w:ind w:left="1429" w:firstLine="0"/>
      </w:pPr>
      <w:r w:rsidRPr="008952AA">
        <w:t>Fórmula</w:t>
      </w:r>
    </w:p>
    <w:p w14:paraId="2DD4B0CB" w14:textId="77777777" w:rsidR="008952AA" w:rsidRPr="008952AA" w:rsidRDefault="008952AA" w:rsidP="008952AA">
      <w:pPr>
        <w:pStyle w:val="Prrafodelista"/>
        <w:ind w:left="1429" w:firstLine="0"/>
        <w:jc w:val="center"/>
        <w:rPr>
          <w:b/>
          <w:bCs/>
        </w:rPr>
      </w:pPr>
      <w:r w:rsidRPr="008952AA">
        <w:rPr>
          <w:b/>
          <w:bCs/>
        </w:rPr>
        <w:t>Prueba Ácida = (Activo Corriente - Inventarios) / Pasivo Corriente</w:t>
      </w:r>
    </w:p>
    <w:p w14:paraId="538F2806" w14:textId="77777777" w:rsidR="008952AA" w:rsidRPr="008952AA" w:rsidRDefault="008952AA" w:rsidP="008952AA">
      <w:pPr>
        <w:pStyle w:val="Prrafodelista"/>
        <w:ind w:left="1429" w:firstLine="0"/>
      </w:pPr>
      <w:r w:rsidRPr="008952AA">
        <w:t>La prueba ácida es un indicador de liquidez más exigente que la razón corriente, ya que excluye los inventarios del activo corriente al momento de medir la capacidad de pago de una empresa. Esto se debe a que los inventarios, aunque hacen parte del capital de trabajo, no siempre se pueden convertir en efectivo de forma rápida o segura, especialmente si tienen baja rotación o están compuestos por productos obsoletos.</w:t>
      </w:r>
    </w:p>
    <w:p w14:paraId="35FF4493" w14:textId="42391CE1" w:rsidR="008952AA" w:rsidRPr="008952AA" w:rsidRDefault="008952AA" w:rsidP="008952AA">
      <w:pPr>
        <w:pStyle w:val="Prrafodelista"/>
        <w:ind w:left="1429" w:firstLine="0"/>
      </w:pPr>
      <w:r w:rsidRPr="008952AA">
        <w:t>Este indicador busca responder: ¿qué tan solvente es la empresa si se eliminan los inventarios de la ecuación? En otras palabras, ¿la organización podría pagar sus deudas inmediatas solo con su efectivo, cuentas por cobrar y otros activos más líquidos? Es una medida más conservadora de la liquidez, útil para detectar situaciones en las que la liquidez aparente podría estar sobreestimada debido a un exceso de inventarios acumulados.</w:t>
      </w:r>
    </w:p>
    <w:p w14:paraId="58037572" w14:textId="77777777" w:rsidR="008952AA" w:rsidRPr="008952AA" w:rsidRDefault="008952AA" w:rsidP="008952AA">
      <w:pPr>
        <w:pStyle w:val="Prrafodelista"/>
        <w:ind w:left="1429" w:firstLine="0"/>
        <w:rPr>
          <w:b/>
          <w:bCs/>
        </w:rPr>
      </w:pPr>
      <w:r w:rsidRPr="008952AA">
        <w:rPr>
          <w:b/>
          <w:bCs/>
        </w:rPr>
        <w:t>Ejemplo:</w:t>
      </w:r>
    </w:p>
    <w:p w14:paraId="17BD68C3" w14:textId="77777777" w:rsidR="008952AA" w:rsidRPr="008952AA" w:rsidRDefault="008952AA" w:rsidP="008952AA">
      <w:pPr>
        <w:pStyle w:val="Prrafodelista"/>
        <w:ind w:left="1429" w:firstLine="0"/>
      </w:pPr>
      <w:r w:rsidRPr="008952AA">
        <w:t>Si una empresa tiene un activo corriente de $80.000.000 y dentro de este tiene inventarios por $20.000.000, su activo corriente sin inventarios sería de $60.000.000. Si sus pasivos corrientes suman $40.000.000, entonces:</w:t>
      </w:r>
    </w:p>
    <w:p w14:paraId="5868CC37" w14:textId="77777777" w:rsidR="008952AA" w:rsidRPr="008952AA" w:rsidRDefault="008952AA" w:rsidP="008952AA">
      <w:pPr>
        <w:pStyle w:val="Prrafodelista"/>
        <w:ind w:left="1429" w:firstLine="0"/>
      </w:pPr>
      <w:r w:rsidRPr="008952AA">
        <w:t>Prueba Ácida = (80.000.000 - 20.000.000) / 40.000.000 = 1.5</w:t>
      </w:r>
    </w:p>
    <w:p w14:paraId="476F4FD8" w14:textId="77777777" w:rsidR="008952AA" w:rsidRPr="008952AA" w:rsidRDefault="008952AA" w:rsidP="008952AA">
      <w:pPr>
        <w:pStyle w:val="Prrafodelista"/>
        <w:ind w:left="1429" w:firstLine="0"/>
      </w:pPr>
      <w:r w:rsidRPr="008952AA">
        <w:t xml:space="preserve">Este resultado significa que la empresa tiene $1,50 por cada $1 de deuda de corto plazo, considerando únicamente sus activos más líquidos (excluyendo los inventarios). Esta es una señal positiva, ya que muestra </w:t>
      </w:r>
      <w:r w:rsidRPr="008952AA">
        <w:lastRenderedPageBreak/>
        <w:t>que, en caso de urgencia, la empresa podría cubrir sus obligaciones sin necesidad de liquidar inventarios, lo que generalmente requiere más tiempo y puede implicar descuentos u otras pérdidas.</w:t>
      </w:r>
    </w:p>
    <w:p w14:paraId="3811965C" w14:textId="77777777" w:rsidR="008952AA" w:rsidRPr="008952AA" w:rsidRDefault="008952AA" w:rsidP="008952AA">
      <w:pPr>
        <w:pStyle w:val="Prrafodelista"/>
        <w:ind w:left="1429" w:firstLine="0"/>
      </w:pPr>
      <w:r w:rsidRPr="008952AA">
        <w:t>Ahora bien, si la prueba ácida resulta inferior a 1.0, la empresa podría estar enfrentando un riesgo real de iliquidez, especialmente si sus inventarios no se venden con facilidad. Esto puede ocurrir en empresas que tienen mucho inventario inmovilizado o que dependen demasiado de ventas a crédito, sin una política de cobranza efectiva.</w:t>
      </w:r>
    </w:p>
    <w:p w14:paraId="15C22B61" w14:textId="77777777" w:rsidR="008952AA" w:rsidRPr="008952AA" w:rsidRDefault="008952AA" w:rsidP="008952AA">
      <w:pPr>
        <w:pStyle w:val="Prrafodelista"/>
        <w:ind w:left="1429" w:firstLine="0"/>
      </w:pPr>
      <w:r w:rsidRPr="008952AA">
        <w:t>Por el contrario, una prueba ácida excesivamente alta, por ejemplo, superior a 3.0 también podría ser motivo de análisis, ya que indicaría que la empresa está acumulando demasiado efectivo o cuentas por cobrar, en lugar de invertir esos recursos de manera productiva. En estos casos, se debe evaluar si se están desaprovechando oportunidades de crecimiento o mejora operativa.</w:t>
      </w:r>
    </w:p>
    <w:p w14:paraId="2415CE83" w14:textId="228B5F83" w:rsidR="008952AA" w:rsidRPr="008952AA" w:rsidRDefault="008952AA" w:rsidP="008952AA">
      <w:pPr>
        <w:pStyle w:val="Prrafodelista"/>
        <w:ind w:left="1429" w:firstLine="0"/>
        <w:rPr>
          <w:color w:val="12263F"/>
          <w:sz w:val="24"/>
          <w:szCs w:val="24"/>
          <w:lang w:eastAsia="es-CO"/>
        </w:rPr>
      </w:pPr>
      <w:r w:rsidRPr="008952AA">
        <w:t>Según Ortiz (2011), la prueba ácida es uno de los indicadores más confiables para evaluar la liquidez de una empresa, siempre y cuando se complemente con el análisis de la estructura de los activos corrientes, el comportamiento histórico de los cobros y el contexto financiero de la organización. Su interpretación no debe hacerse de forma aislada, sino en conjunto con otros indicadores y datos cualitativos del entorno empresarial</w:t>
      </w:r>
      <w:r w:rsidRPr="008952AA">
        <w:rPr>
          <w:color w:val="12263F"/>
          <w:shd w:val="clear" w:color="auto" w:fill="E5E9FE"/>
        </w:rPr>
        <w:t>.</w:t>
      </w:r>
    </w:p>
    <w:p w14:paraId="507C59D4" w14:textId="77777777" w:rsidR="005E7E87" w:rsidRPr="005E7E87" w:rsidRDefault="005E7E87" w:rsidP="00E727BC">
      <w:pPr>
        <w:pStyle w:val="Prrafodelista"/>
        <w:numPr>
          <w:ilvl w:val="0"/>
          <w:numId w:val="13"/>
        </w:numPr>
        <w:rPr>
          <w:b/>
          <w:bCs/>
        </w:rPr>
      </w:pPr>
      <w:r w:rsidRPr="005E7E87">
        <w:rPr>
          <w:b/>
          <w:bCs/>
        </w:rPr>
        <w:t>Capital de trabajo</w:t>
      </w:r>
    </w:p>
    <w:p w14:paraId="4D8EF55A" w14:textId="77777777" w:rsidR="005E7E87" w:rsidRPr="005E7E87" w:rsidRDefault="005E7E87" w:rsidP="005E7E87">
      <w:pPr>
        <w:pStyle w:val="Prrafodelista"/>
        <w:ind w:left="1429" w:firstLine="0"/>
      </w:pPr>
      <w:r w:rsidRPr="005E7E87">
        <w:t>Fórmula</w:t>
      </w:r>
    </w:p>
    <w:p w14:paraId="006767A6" w14:textId="77777777" w:rsidR="005E7E87" w:rsidRPr="005E7E87" w:rsidRDefault="005E7E87" w:rsidP="005E7E87">
      <w:pPr>
        <w:pStyle w:val="Prrafodelista"/>
        <w:ind w:left="1429" w:firstLine="0"/>
        <w:jc w:val="center"/>
        <w:rPr>
          <w:b/>
          <w:bCs/>
        </w:rPr>
      </w:pPr>
      <w:r w:rsidRPr="005E7E87">
        <w:rPr>
          <w:b/>
          <w:bCs/>
        </w:rPr>
        <w:t>Capital de Trabajo = Activo Corriente - Pasivo Corriente</w:t>
      </w:r>
    </w:p>
    <w:p w14:paraId="19FFF8A4" w14:textId="77777777" w:rsidR="005E7E87" w:rsidRPr="005E7E87" w:rsidRDefault="005E7E87" w:rsidP="005E7E87">
      <w:pPr>
        <w:pStyle w:val="Prrafodelista"/>
        <w:ind w:left="1429" w:firstLine="0"/>
      </w:pPr>
      <w:r w:rsidRPr="005E7E87">
        <w:lastRenderedPageBreak/>
        <w:t>El capital de trabajo es uno de los indicadores más fundamentales en la gestión financiera de una empresa, ya que representa la cantidad de recursos líquidos disponibles para operar el negocio una vez se han descontado las obligaciones inmediatas. En otras palabras, es el “colchón” que tiene la organización para sostener su funcionamiento diario, sin recurrir a financiamiento externo o incurrir en mora con sus compromisos financieros de corto plazo.</w:t>
      </w:r>
    </w:p>
    <w:p w14:paraId="0BF25AF0" w14:textId="77777777" w:rsidR="005E7E87" w:rsidRPr="005E7E87" w:rsidRDefault="005E7E87" w:rsidP="005E7E87">
      <w:pPr>
        <w:pStyle w:val="Prrafodelista"/>
        <w:ind w:left="1429" w:firstLine="0"/>
      </w:pPr>
      <w:r w:rsidRPr="005E7E87">
        <w:t>Este indicador se calcula simplemente restando los pasivos corrientes (deudas que vencen en menos de un año) de los activos corrientes (efectivo, cuentas por cobrar, inventarios, etc.).</w:t>
      </w:r>
    </w:p>
    <w:p w14:paraId="6BA46153" w14:textId="77777777" w:rsidR="005E7E87" w:rsidRPr="005E7E87" w:rsidRDefault="005E7E87" w:rsidP="005E7E87">
      <w:pPr>
        <w:pStyle w:val="Prrafodelista"/>
        <w:ind w:left="1429" w:firstLine="0"/>
        <w:rPr>
          <w:b/>
          <w:bCs/>
        </w:rPr>
      </w:pPr>
      <w:r w:rsidRPr="005E7E87">
        <w:rPr>
          <w:b/>
          <w:bCs/>
        </w:rPr>
        <w:t>Ejemplo:</w:t>
      </w:r>
    </w:p>
    <w:p w14:paraId="1C36A890" w14:textId="77777777" w:rsidR="005E7E87" w:rsidRPr="005E7E87" w:rsidRDefault="005E7E87" w:rsidP="005E7E87">
      <w:pPr>
        <w:pStyle w:val="Prrafodelista"/>
        <w:ind w:left="1429" w:firstLine="0"/>
      </w:pPr>
      <w:r w:rsidRPr="005E7E87">
        <w:t>Si una empresa tiene activos corrientes por $80.000.000 y pasivos corrientes por $40.000.000, su capital de trabajo será de $40.000.000. Esto significa que, una vez pagadas todas sus deudas inmediatas, aún le quedarán $40 millones para cubrir operaciones como compras, nómina, pagos de servicios, y otras necesidades operativas.</w:t>
      </w:r>
    </w:p>
    <w:p w14:paraId="77ED5614" w14:textId="77777777" w:rsidR="005E7E87" w:rsidRPr="005E7E87" w:rsidRDefault="005E7E87" w:rsidP="005E7E87">
      <w:pPr>
        <w:pStyle w:val="Prrafodelista"/>
        <w:ind w:left="1429" w:firstLine="0"/>
      </w:pPr>
      <w:r w:rsidRPr="005E7E87">
        <w:t>Una lectura positiva del capital de trabajo, implica que la empresa tiene margen de maniobra para operar sin depender exclusivamente de líneas de crédito u otras formas de financiamiento de emergencia. Sin embargo, un capital de trabajo excesivamente alto podría significar que la empresa tiene recursos ociosos (por ejemplo, mucho efectivo sin invertir, o inventarios innecesarios), lo cual también puede ser ineficiente. Por eso, más que su valor absoluto, lo importante es que este indicador esté en equilibrio con el tamaño y tipo de operación de la empresa.</w:t>
      </w:r>
    </w:p>
    <w:p w14:paraId="670C3F30" w14:textId="77777777" w:rsidR="005E7E87" w:rsidRPr="005E7E87" w:rsidRDefault="005E7E87" w:rsidP="005E7E87">
      <w:pPr>
        <w:pStyle w:val="Prrafodelista"/>
        <w:ind w:left="1429" w:firstLine="0"/>
      </w:pPr>
      <w:r w:rsidRPr="005E7E87">
        <w:lastRenderedPageBreak/>
        <w:t>Cuando el capital de trabajo es negativo (es decir, cuando el pasivo corriente supera al activo corriente), la empresa se encuentra en una situación crítica: no tiene suficientes recursos para atender sus compromisos de corto plazo, lo que puede generar problemas de liquidez, pérdida de confianza con los proveedores, dificultades para sostener la operación y eventualmente, insolvencia. Retomando a Ortiz (2011), esta situación es especialmente riesgosa en contextos de alta inflación, incertidumbre económica o baja rotación de cartera.</w:t>
      </w:r>
    </w:p>
    <w:p w14:paraId="5BE11371" w14:textId="77777777" w:rsidR="005E7E87" w:rsidRPr="005E7E87" w:rsidRDefault="005E7E87" w:rsidP="005E7E87">
      <w:pPr>
        <w:pStyle w:val="Prrafodelista"/>
        <w:ind w:left="1429" w:firstLine="0"/>
      </w:pPr>
      <w:r w:rsidRPr="005E7E87">
        <w:t>Este indicador se calcula simplemente restando los pasivos corrientes (deudas que vencen en menos de un año) de los activos corrientes (efectivo, cuentas por cobrar, inventarios, etc.).</w:t>
      </w:r>
    </w:p>
    <w:p w14:paraId="626F0146" w14:textId="77777777" w:rsidR="005E7E87" w:rsidRPr="005E7E87" w:rsidRDefault="005E7E87" w:rsidP="00E727BC">
      <w:pPr>
        <w:pStyle w:val="Prrafodelista"/>
        <w:numPr>
          <w:ilvl w:val="0"/>
          <w:numId w:val="14"/>
        </w:numPr>
        <w:ind w:left="1701" w:hanging="283"/>
      </w:pPr>
      <w:r w:rsidRPr="005E7E87">
        <w:t>La adquisición de materias primas.</w:t>
      </w:r>
    </w:p>
    <w:p w14:paraId="5790C966" w14:textId="77777777" w:rsidR="005E7E87" w:rsidRPr="005E7E87" w:rsidRDefault="005E7E87" w:rsidP="00E727BC">
      <w:pPr>
        <w:pStyle w:val="Prrafodelista"/>
        <w:numPr>
          <w:ilvl w:val="0"/>
          <w:numId w:val="14"/>
        </w:numPr>
        <w:ind w:left="1701" w:hanging="283"/>
      </w:pPr>
      <w:r w:rsidRPr="005E7E87">
        <w:t>El cumplimiento de la producción.</w:t>
      </w:r>
    </w:p>
    <w:p w14:paraId="688B2844" w14:textId="77777777" w:rsidR="005E7E87" w:rsidRPr="005E7E87" w:rsidRDefault="005E7E87" w:rsidP="00E727BC">
      <w:pPr>
        <w:pStyle w:val="Prrafodelista"/>
        <w:numPr>
          <w:ilvl w:val="0"/>
          <w:numId w:val="14"/>
        </w:numPr>
        <w:ind w:left="1701" w:hanging="283"/>
      </w:pPr>
      <w:r w:rsidRPr="005E7E87">
        <w:t>La atención de la demanda.</w:t>
      </w:r>
    </w:p>
    <w:p w14:paraId="3D94AD38" w14:textId="77777777" w:rsidR="005E7E87" w:rsidRPr="005E7E87" w:rsidRDefault="005E7E87" w:rsidP="00E727BC">
      <w:pPr>
        <w:pStyle w:val="Prrafodelista"/>
        <w:numPr>
          <w:ilvl w:val="0"/>
          <w:numId w:val="14"/>
        </w:numPr>
        <w:ind w:left="1701" w:hanging="283"/>
      </w:pPr>
      <w:r w:rsidRPr="005E7E87">
        <w:t>La administración eficiente del crédito a clientes.</w:t>
      </w:r>
    </w:p>
    <w:p w14:paraId="19BE055F" w14:textId="77777777" w:rsidR="005E7E87" w:rsidRPr="005E7E87" w:rsidRDefault="005E7E87" w:rsidP="005E7E87">
      <w:pPr>
        <w:pStyle w:val="Prrafodelista"/>
        <w:ind w:left="1429" w:firstLine="0"/>
      </w:pPr>
      <w:r w:rsidRPr="005E7E87">
        <w:t>Es por esto que su monitoreo constante es vital para mantener una operación fluida y evitar interrupciones que afecten la productividad y la satisfacción del cliente.</w:t>
      </w:r>
    </w:p>
    <w:p w14:paraId="29E0DA17" w14:textId="77777777" w:rsidR="005E7E87" w:rsidRPr="005E7E87" w:rsidRDefault="005E7E87" w:rsidP="005E7E87">
      <w:pPr>
        <w:pStyle w:val="Prrafodelista"/>
        <w:ind w:left="1429" w:firstLine="0"/>
        <w:rPr>
          <w:color w:val="12263F"/>
          <w:sz w:val="24"/>
        </w:rPr>
      </w:pPr>
      <w:r w:rsidRPr="005E7E87">
        <w:t>En síntesis, el capital de trabajo no solo es un reflejo de la liquidez de una empresa, sino también de su capacidad de adaptación, resistencia financiera y eficiencia operativa. Administrarlo correctamente implica mantener un equilibrio saludable entre las cuentas por cobrar, los inventarios y las cuentas por pagar, de manera que se asegure un flujo de efectivo constante y sostenible a lo largo del tiempo</w:t>
      </w:r>
      <w:r w:rsidRPr="005E7E87">
        <w:rPr>
          <w:color w:val="12263F"/>
          <w:sz w:val="24"/>
        </w:rPr>
        <w:t>.</w:t>
      </w:r>
    </w:p>
    <w:p w14:paraId="56FD34B5" w14:textId="77777777" w:rsidR="009A2C03" w:rsidRPr="00D56ADF" w:rsidRDefault="009A2C03" w:rsidP="00D56ADF">
      <w:pPr>
        <w:spacing w:before="0" w:after="100" w:afterAutospacing="1" w:line="240" w:lineRule="auto"/>
        <w:ind w:firstLine="0"/>
        <w:textAlignment w:val="baseline"/>
        <w:rPr>
          <w:rFonts w:ascii="Roboto" w:eastAsia="Times New Roman" w:hAnsi="Roboto" w:cs="Times New Roman"/>
          <w:color w:val="12263F"/>
          <w:kern w:val="0"/>
          <w:sz w:val="24"/>
          <w:szCs w:val="24"/>
          <w:lang w:eastAsia="es-CO"/>
          <w14:ligatures w14:val="none"/>
        </w:rPr>
      </w:pPr>
    </w:p>
    <w:p w14:paraId="6988FAAB" w14:textId="77777777" w:rsidR="00D42422" w:rsidRPr="00D42422" w:rsidRDefault="00D42422" w:rsidP="00D42422">
      <w:pPr>
        <w:rPr>
          <w:b/>
          <w:bCs/>
        </w:rPr>
      </w:pPr>
      <w:r w:rsidRPr="00D42422">
        <w:rPr>
          <w:b/>
          <w:bCs/>
        </w:rPr>
        <w:lastRenderedPageBreak/>
        <w:t>Ciclo de Conversión de Efectivo (CCE)</w:t>
      </w:r>
    </w:p>
    <w:p w14:paraId="3EF1B6C8" w14:textId="77777777" w:rsidR="00D42422" w:rsidRPr="00D42422" w:rsidRDefault="00D42422" w:rsidP="00D42422">
      <w:r w:rsidRPr="00D42422">
        <w:t>Es un indicador financiero clave dentro del análisis de eficiencia y gestión operativa de una empresa. Este ciclo mide el tiempo promedio que tarda la empresa en convertir sus inversiones en inventarios y cuentas por cobrar en efectivo proveniente de las ventas, descontando el tiempo que tarda en pagar a sus proveedores. En otras palabras, el CCE permite calcular cuántos días tarda el dinero en dar la vuelta completa al proceso operativo: desde que se invierte en inventario, se vende, se cobra y se vuelve a tener disponible en caja.</w:t>
      </w:r>
    </w:p>
    <w:p w14:paraId="59FDE734" w14:textId="77777777" w:rsidR="00D42422" w:rsidRPr="00D42422" w:rsidRDefault="00D42422" w:rsidP="00D42422">
      <w:r w:rsidRPr="00D42422">
        <w:t>Este ciclo se calcula mediante la siguiente fórmula:</w:t>
      </w:r>
    </w:p>
    <w:p w14:paraId="7C9B99D7" w14:textId="77777777" w:rsidR="00D42422" w:rsidRPr="00D42422" w:rsidRDefault="00D42422" w:rsidP="00D42422">
      <w:pPr>
        <w:ind w:firstLine="0"/>
        <w:rPr>
          <w:b/>
          <w:bCs/>
        </w:rPr>
      </w:pPr>
      <w:r w:rsidRPr="00D42422">
        <w:rPr>
          <w:b/>
          <w:bCs/>
        </w:rPr>
        <w:t>CCE = Días de inventario + Días de cuentas por cobrar - Días de cuentas por pagar</w:t>
      </w:r>
    </w:p>
    <w:p w14:paraId="0FBC4D04" w14:textId="77777777" w:rsidR="00D42422" w:rsidRPr="00D42422" w:rsidRDefault="00D42422" w:rsidP="00D42422">
      <w:r w:rsidRPr="00D42422">
        <w:t>Cada uno de estos componentes representa una etapa del ciclo financiero-operativo:</w:t>
      </w:r>
    </w:p>
    <w:p w14:paraId="45E34D92" w14:textId="77777777" w:rsidR="00D42422" w:rsidRPr="00D42422" w:rsidRDefault="00D42422" w:rsidP="00E727BC">
      <w:pPr>
        <w:pStyle w:val="Prrafodelista"/>
        <w:numPr>
          <w:ilvl w:val="0"/>
          <w:numId w:val="15"/>
        </w:numPr>
      </w:pPr>
      <w:r w:rsidRPr="00CF0425">
        <w:rPr>
          <w:b/>
          <w:bCs/>
        </w:rPr>
        <w:t>Días de inventario</w:t>
      </w:r>
      <w:r w:rsidRPr="00D42422">
        <w:t>: número promedio de días que tarda la empresa en vender su inventario.</w:t>
      </w:r>
    </w:p>
    <w:p w14:paraId="3C23BFF1" w14:textId="77777777" w:rsidR="00D42422" w:rsidRPr="00D42422" w:rsidRDefault="00D42422" w:rsidP="00E727BC">
      <w:pPr>
        <w:pStyle w:val="Prrafodelista"/>
        <w:numPr>
          <w:ilvl w:val="0"/>
          <w:numId w:val="15"/>
        </w:numPr>
      </w:pPr>
      <w:r w:rsidRPr="00CF0425">
        <w:rPr>
          <w:b/>
          <w:bCs/>
        </w:rPr>
        <w:t>Días de cuentas por cobrar</w:t>
      </w:r>
      <w:r w:rsidRPr="00D42422">
        <w:t>: tiempo que tarda en cobrarle a los clientes después de la venta.</w:t>
      </w:r>
    </w:p>
    <w:p w14:paraId="42875B97" w14:textId="647B17B2" w:rsidR="00D42422" w:rsidRPr="00D42422" w:rsidRDefault="00D42422" w:rsidP="00E727BC">
      <w:pPr>
        <w:pStyle w:val="Prrafodelista"/>
        <w:numPr>
          <w:ilvl w:val="0"/>
          <w:numId w:val="15"/>
        </w:numPr>
      </w:pPr>
      <w:r w:rsidRPr="00CF0425">
        <w:rPr>
          <w:b/>
          <w:bCs/>
        </w:rPr>
        <w:t>Días de cuentas por pagar</w:t>
      </w:r>
      <w:r w:rsidRPr="00D42422">
        <w:t>: plazo promedio que tiene la empresa para pagar a sus proveedores.</w:t>
      </w:r>
    </w:p>
    <w:p w14:paraId="5DD17DEE" w14:textId="77777777" w:rsidR="00D42422" w:rsidRPr="00D42422" w:rsidRDefault="00D42422" w:rsidP="00D42422">
      <w:r w:rsidRPr="00D42422">
        <w:t>Por ejemplo, si una empresa tarda en promedio 45 días en vender sus inventarios, 30 días en cobrar a sus clientes y tiene un plazo de 35 días para pagar a sus proveedores, el cálculo sería:</w:t>
      </w:r>
    </w:p>
    <w:p w14:paraId="48D8F7A4" w14:textId="77777777" w:rsidR="00D42422" w:rsidRPr="00F33311" w:rsidRDefault="00D42422" w:rsidP="00F33311">
      <w:pPr>
        <w:jc w:val="center"/>
        <w:rPr>
          <w:b/>
          <w:bCs/>
        </w:rPr>
      </w:pPr>
      <w:r w:rsidRPr="00F33311">
        <w:rPr>
          <w:b/>
          <w:bCs/>
        </w:rPr>
        <w:t>CCE = 45 + 30 - 35 = 40 días</w:t>
      </w:r>
    </w:p>
    <w:p w14:paraId="46A122CC" w14:textId="77777777" w:rsidR="00D42422" w:rsidRPr="00D42422" w:rsidRDefault="00D42422" w:rsidP="00D42422">
      <w:pPr>
        <w:rPr>
          <w:rFonts w:eastAsia="Times New Roman" w:cs="Times New Roman"/>
          <w:kern w:val="0"/>
          <w:sz w:val="24"/>
          <w:szCs w:val="24"/>
          <w:lang w:eastAsia="es-CO"/>
          <w14:ligatures w14:val="none"/>
        </w:rPr>
      </w:pPr>
      <w:r w:rsidRPr="00D42422">
        <w:lastRenderedPageBreak/>
        <w:t>Esto significa, que, desde el momento en que la empresa invierte en inventario, hasta que recupera el efectivo de la venta, pasan 40 días en los que debe financiar sus operaciones. Este periodo debe ser gestionado con especial atención, ya que cuanto más corto sea el ciclo de conversión, mayor será la liquidez y eficiencia en el uso del capital de trabajo</w:t>
      </w:r>
      <w:r w:rsidRPr="00D42422">
        <w:rPr>
          <w:rFonts w:eastAsia="Times New Roman" w:cs="Times New Roman"/>
          <w:kern w:val="0"/>
          <w:sz w:val="24"/>
          <w:szCs w:val="24"/>
          <w:lang w:eastAsia="es-CO"/>
          <w14:ligatures w14:val="none"/>
        </w:rPr>
        <w:t>.</w:t>
      </w:r>
    </w:p>
    <w:p w14:paraId="7DCE502E" w14:textId="3A35636E" w:rsidR="00A44DB2" w:rsidRPr="00267860" w:rsidRDefault="00267860" w:rsidP="00267860">
      <w:r w:rsidRPr="00267860">
        <w:t>Con respecto a los CCE:</w:t>
      </w:r>
    </w:p>
    <w:p w14:paraId="75204A37" w14:textId="77777777" w:rsidR="00267860" w:rsidRPr="00267860" w:rsidRDefault="00267860" w:rsidP="00E727BC">
      <w:pPr>
        <w:pStyle w:val="Prrafodelista"/>
        <w:numPr>
          <w:ilvl w:val="0"/>
          <w:numId w:val="16"/>
        </w:numPr>
        <w:rPr>
          <w:b/>
          <w:bCs/>
        </w:rPr>
      </w:pPr>
      <w:r w:rsidRPr="00267860">
        <w:rPr>
          <w:b/>
          <w:bCs/>
        </w:rPr>
        <w:t>CCE positivo</w:t>
      </w:r>
    </w:p>
    <w:p w14:paraId="72CC0B80" w14:textId="77777777" w:rsidR="00267860" w:rsidRPr="00267860" w:rsidRDefault="00267860" w:rsidP="00267860">
      <w:pPr>
        <w:pStyle w:val="Prrafodelista"/>
        <w:ind w:left="1429" w:firstLine="0"/>
      </w:pPr>
      <w:r w:rsidRPr="00267860">
        <w:t>Indica que la empresa necesita financiar parte del ciclo operativo con recursos propios o con deuda, ya que debe esperar a recuperar el efectivo.</w:t>
      </w:r>
    </w:p>
    <w:p w14:paraId="25B5F5FA" w14:textId="77777777" w:rsidR="00267860" w:rsidRPr="00267860" w:rsidRDefault="00267860" w:rsidP="00E727BC">
      <w:pPr>
        <w:pStyle w:val="Prrafodelista"/>
        <w:numPr>
          <w:ilvl w:val="0"/>
          <w:numId w:val="16"/>
        </w:numPr>
        <w:rPr>
          <w:b/>
          <w:bCs/>
        </w:rPr>
      </w:pPr>
      <w:r w:rsidRPr="00267860">
        <w:rPr>
          <w:b/>
          <w:bCs/>
        </w:rPr>
        <w:t>CCE negativo</w:t>
      </w:r>
    </w:p>
    <w:p w14:paraId="50AA43CC" w14:textId="77777777" w:rsidR="00267860" w:rsidRPr="00267860" w:rsidRDefault="00267860" w:rsidP="00267860">
      <w:pPr>
        <w:pStyle w:val="Prrafodelista"/>
        <w:ind w:left="1429" w:firstLine="0"/>
      </w:pPr>
      <w:r w:rsidRPr="00267860">
        <w:t>Puede interpretarse favorablemente, ya que implica que la empresa recibe el pago de sus clientes antes de tener que pagar a sus proveedores.</w:t>
      </w:r>
    </w:p>
    <w:p w14:paraId="59DF424B" w14:textId="77777777" w:rsidR="00267860" w:rsidRPr="00267860" w:rsidRDefault="00267860" w:rsidP="00267860">
      <w:r w:rsidRPr="00267860">
        <w:t xml:space="preserve">Este es el caso típico de grandes cadenas de </w:t>
      </w:r>
      <w:proofErr w:type="spellStart"/>
      <w:r w:rsidRPr="00267860">
        <w:t>retail</w:t>
      </w:r>
      <w:proofErr w:type="spellEnd"/>
      <w:r w:rsidRPr="00267860">
        <w:t xml:space="preserve"> o supermercados, que venden en efectivo y pagan a sus proveedores a crédito, lo cual mejora significativamente su flujo de caja.</w:t>
      </w:r>
    </w:p>
    <w:p w14:paraId="64FF2AEF" w14:textId="77777777" w:rsidR="00267860" w:rsidRPr="00267860" w:rsidRDefault="00267860" w:rsidP="00267860">
      <w:r w:rsidRPr="00267860">
        <w:t>Ahora bien, un CCE demasiado largo puede ser una señal de problemas en la rotación de inventarios o en la gestión de cartera, lo que puede provocar escasez de efectivo, mayores costos financieros o incluso frenar el crecimiento del negocio. Por eso, las empresas deben trabajar en estrategias para acelerar las ventas, reducir los plazos de cobro y negociar mejores condiciones con sus proveedores.</w:t>
      </w:r>
    </w:p>
    <w:p w14:paraId="2C1EFE0C" w14:textId="77777777" w:rsidR="00267860" w:rsidRPr="00267860" w:rsidRDefault="00267860" w:rsidP="00552870">
      <w:pPr>
        <w:pStyle w:val="Sangradetextonormal"/>
      </w:pPr>
      <w:r w:rsidRPr="00267860">
        <w:t xml:space="preserve">Ortiz (2011), hace referencia a que el ciclo de conversión de efectivo, es un indicador esencial para comprender cómo se está utilizando el capital de trabajo en las operaciones cotidianas. Su análisis, permite anticipar tensiones de liquidez, optimizar </w:t>
      </w:r>
      <w:r w:rsidRPr="00267860">
        <w:lastRenderedPageBreak/>
        <w:t>procesos logísticos y financieros, además de diseñar políticas de crédito y compras más eficientes. En empresas en crecimiento, controlar el CCE puede marcar la diferencia entre el éxito y el estancamiento.</w:t>
      </w:r>
    </w:p>
    <w:p w14:paraId="235C471B" w14:textId="77777777" w:rsidR="00552870" w:rsidRPr="00552870" w:rsidRDefault="00552870" w:rsidP="00552870">
      <w:pPr>
        <w:pStyle w:val="Ttulo8"/>
      </w:pPr>
      <w:r w:rsidRPr="00552870">
        <w:t>Análisis de la liquidez</w:t>
      </w:r>
    </w:p>
    <w:p w14:paraId="4AC49FEA" w14:textId="77777777" w:rsidR="00552870" w:rsidRPr="00552870" w:rsidRDefault="00552870" w:rsidP="00552870">
      <w:r w:rsidRPr="00552870">
        <w:t>El análisis de la liquidez es una herramienta fundamental para evaluar la capacidad de una empresa de cumplir con sus compromisos financieros a corto plazo, sin necesidad de recurrir a financiación externa o venta urgente de activos. Se trata de analizar si la organización dispone de recursos suficientes y con disponibilidad inmediata (o casi inmediata) para afrontar sus obligaciones dentro del ciclo operativo normal.</w:t>
      </w:r>
    </w:p>
    <w:p w14:paraId="7437B7FF" w14:textId="77777777" w:rsidR="00552870" w:rsidRPr="00552870" w:rsidRDefault="00552870" w:rsidP="00552870">
      <w:r w:rsidRPr="00552870">
        <w:t>Una liquidez insuficiente, evidenciada a través de indicadores como una razón corriente menor a 1.0, una prueba ácida preocupantemente baja o un capital de trabajo negativo, representa una alerta crítica para la empresa. Esta situación puede derivar en retrasos en los pagos a proveedores, sanciones por incumplimientos contractuales, pérdida de credibilidad en el mercado e incluso, en casos extremos, en una crisis de insolvencia. Es decir, la empresa podría no tener la capacidad para sostener su operación diaria, a pesar de ser potencialmente rentable desde el punto de vista contable.</w:t>
      </w:r>
    </w:p>
    <w:p w14:paraId="2D3453D8" w14:textId="2713F949" w:rsidR="00267860" w:rsidRPr="00552870" w:rsidRDefault="00552870" w:rsidP="00552870">
      <w:pPr>
        <w:pStyle w:val="Sangradetextonormal"/>
      </w:pPr>
      <w:r w:rsidRPr="00552870">
        <w:t xml:space="preserve">Por ejemplo, una empresa que venda mucho y genere utilidades sobre el papel, pero tenga un largo periodo de recaudo de cartera, podría experimentar dificultades para pagar su nómina, proveedores o impuestos si no cuenta con reservas de liquidez suficientes. Esto ocurre con frecuencia en negocios que ofrecen ventas a crédito, pero no implementan una política efectiva de cobranza. En este caso, la liquidez deficiente </w:t>
      </w:r>
      <w:r w:rsidRPr="00552870">
        <w:lastRenderedPageBreak/>
        <w:t>puede ser consecuencia de una mala gestión de cuentas por cobrar, más que de falta de ingresos.</w:t>
      </w:r>
    </w:p>
    <w:p w14:paraId="5948DA6D" w14:textId="77777777" w:rsidR="00552870" w:rsidRPr="00552870" w:rsidRDefault="00552870" w:rsidP="00552870">
      <w:r w:rsidRPr="00552870">
        <w:t>En el otro extremo, una liquidez excesiva también puede ser motivo de análisis. Si una empresa mantiene una razón corriente muy alta (por ejemplo, mayor a 3.0) o acumula grandes saldos de efectivo sin destinarlos a inversiones productivas, puede estar cayendo en una ineficiencia en el uso de sus recursos. El capital sin utilizar pierde valor en términos reales (por inflación) y representa oportunidades no aprovechadas para expandirse, mejorar procesos, capacitar personal, adquirir tecnología o aumentar la competitividad. En otras palabras, tener demasiada liquidez puede reflejar una actitud conservadora extrema o una falta de estrategia financiera clara.</w:t>
      </w:r>
    </w:p>
    <w:p w14:paraId="5AF07D75" w14:textId="77777777" w:rsidR="00552870" w:rsidRPr="00552870" w:rsidRDefault="00552870" w:rsidP="00552870">
      <w:r w:rsidRPr="00552870">
        <w:t>Lo ideal, como lo plantea Ortiz (2011), es mantener la liquidez en niveles adecuados al tipo de negocio, su ciclo operativo y el contexto del sector. Una empresa comercial, por ejemplo, puede operar cómodamente con una razón corriente cercana a 1.5, mientras que una industria pesada, con mayores riesgos financieros y necesidades de reposición de inventarios, podría requerir niveles de liquidez más altos. No existe un único estándar universal, pero sí debe buscarse un equilibrio sano y sostenible.</w:t>
      </w:r>
    </w:p>
    <w:p w14:paraId="5709E6FE" w14:textId="77777777" w:rsidR="00552870" w:rsidRPr="00552870" w:rsidRDefault="00552870" w:rsidP="00552870">
      <w:r w:rsidRPr="00552870">
        <w:t>En conclusión, el análisis de la liquidez no debe limitarse a la observación de un número o fórmula, sino que debe considerar el comportamiento histórico, la calidad de los activos líquidos, la rotación del capital de trabajo, las políticas de crédito y cobro, así como la planificación financiera de la empresa. Una buena liquidez garantiza estabilidad, confianza y capacidad de maniobra; pero, debe estar alineada con la rentabilidad y eficiencia para no convertirse en una barrera silenciosa al crecimiento.</w:t>
      </w:r>
    </w:p>
    <w:p w14:paraId="2D3C1BB0" w14:textId="352B458F" w:rsidR="003B2D8F" w:rsidRPr="004C51DB" w:rsidRDefault="003B2D8F">
      <w:pPr>
        <w:spacing w:before="0" w:after="160" w:line="259" w:lineRule="auto"/>
        <w:ind w:firstLine="0"/>
        <w:rPr>
          <w:rFonts w:eastAsia="Times New Roman" w:cstheme="minorHAnsi"/>
          <w:b/>
          <w:bCs/>
          <w:spacing w:val="-10"/>
          <w:kern w:val="0"/>
          <w:sz w:val="36"/>
          <w:szCs w:val="36"/>
          <w:bdr w:val="none" w:sz="0" w:space="0" w:color="auto" w:frame="1"/>
          <w:lang w:eastAsia="es-CO"/>
          <w14:ligatures w14:val="none"/>
        </w:rPr>
      </w:pPr>
    </w:p>
    <w:p w14:paraId="44FD3768" w14:textId="77777777" w:rsidR="0020633F" w:rsidRPr="0020633F" w:rsidRDefault="0020633F" w:rsidP="0020633F">
      <w:pPr>
        <w:pStyle w:val="Ttulo2"/>
      </w:pPr>
      <w:bookmarkStart w:id="7" w:name="_Toc201665091"/>
      <w:r w:rsidRPr="0020633F">
        <w:lastRenderedPageBreak/>
        <w:t>1.2 Indicadores de endeudamiento</w:t>
      </w:r>
      <w:bookmarkEnd w:id="7"/>
    </w:p>
    <w:p w14:paraId="41436274" w14:textId="77777777" w:rsidR="0020633F" w:rsidRPr="0020633F" w:rsidRDefault="0020633F" w:rsidP="0020633F">
      <w:r w:rsidRPr="0020633F">
        <w:t>Estos indicadores permiten analizar el grado de dependencia que tiene una empresa, respecto a recursos financieros de terceros; es decir, si su operación se financia mayoritariamente con capital propio o con deuda. Este tipo de indicadores es esencial para evaluar la solvencia financiera de la organización, el nivel de riesgo al que está expuesta y su capacidad para responder ante sus obligaciones.</w:t>
      </w:r>
    </w:p>
    <w:p w14:paraId="2D7D421F" w14:textId="77777777" w:rsidR="001361DE" w:rsidRPr="001361DE" w:rsidRDefault="001361DE" w:rsidP="001361DE">
      <w:r w:rsidRPr="001361DE">
        <w:t>Ortiz (2011), al respecto, indica que un nivel adecuado de endeudamiento puede potenciar el crecimiento de una empresa, siempre que la rentabilidad generada por los activos adquiridos con deuda supere el costo financiero de esa misma deuda. No obstante, un endeudamiento excesivo compromete la estabilidad financiera, limita la capacidad de maniobra, encarece el crédito futuro y puede generar desconfianza en inversionistas, proveedores y entidades bancarias.</w:t>
      </w:r>
    </w:p>
    <w:p w14:paraId="395E65D8" w14:textId="77777777" w:rsidR="001361DE" w:rsidRPr="001361DE" w:rsidRDefault="001361DE" w:rsidP="001361DE">
      <w:pPr>
        <w:pStyle w:val="Sangradetextonormal"/>
      </w:pPr>
      <w:r w:rsidRPr="001361DE">
        <w:t>Con respecto a los indicadores de endeudamiento, se deben tener los siguientes procesos, los cuales se detallan a continuación; hay que tener presente, que cada uno lleva una fórmula en dichos procesos, los cuales se ejemplifican e interpretan a la realidad:</w:t>
      </w:r>
    </w:p>
    <w:p w14:paraId="0A2EE65E" w14:textId="77777777" w:rsidR="000052B7" w:rsidRPr="000052B7" w:rsidRDefault="000052B7" w:rsidP="00E727BC">
      <w:pPr>
        <w:pStyle w:val="Prrafodelista"/>
        <w:numPr>
          <w:ilvl w:val="0"/>
          <w:numId w:val="17"/>
        </w:numPr>
        <w:rPr>
          <w:b/>
          <w:bCs/>
        </w:rPr>
      </w:pPr>
      <w:r w:rsidRPr="000052B7">
        <w:rPr>
          <w:b/>
          <w:bCs/>
        </w:rPr>
        <w:t>Razón de endeudamiento</w:t>
      </w:r>
    </w:p>
    <w:p w14:paraId="44486CFB" w14:textId="77777777" w:rsidR="000052B7" w:rsidRPr="000052B7" w:rsidRDefault="000052B7" w:rsidP="000052B7">
      <w:pPr>
        <w:pStyle w:val="Prrafodelista"/>
        <w:ind w:left="1429" w:firstLine="0"/>
        <w:rPr>
          <w:b/>
          <w:bCs/>
        </w:rPr>
      </w:pPr>
      <w:r w:rsidRPr="000052B7">
        <w:rPr>
          <w:b/>
          <w:bCs/>
        </w:rPr>
        <w:t>Fórmula</w:t>
      </w:r>
    </w:p>
    <w:p w14:paraId="2989A1F1" w14:textId="77777777" w:rsidR="000052B7" w:rsidRPr="000052B7" w:rsidRDefault="000052B7" w:rsidP="004176DB">
      <w:pPr>
        <w:pStyle w:val="Prrafodelista"/>
        <w:ind w:left="1429" w:firstLine="0"/>
        <w:jc w:val="center"/>
      </w:pPr>
      <w:r w:rsidRPr="000052B7">
        <w:t>Razón de Endeudamiento = Pasivo Total / Activo Total</w:t>
      </w:r>
    </w:p>
    <w:p w14:paraId="20165C57" w14:textId="77777777" w:rsidR="000052B7" w:rsidRPr="000052B7" w:rsidRDefault="000052B7" w:rsidP="000052B7">
      <w:pPr>
        <w:pStyle w:val="Prrafodelista"/>
        <w:ind w:left="1429" w:firstLine="0"/>
        <w:rPr>
          <w:b/>
          <w:bCs/>
        </w:rPr>
      </w:pPr>
      <w:r w:rsidRPr="000052B7">
        <w:rPr>
          <w:b/>
          <w:bCs/>
        </w:rPr>
        <w:t>Ejemplo</w:t>
      </w:r>
    </w:p>
    <w:p w14:paraId="14E13B84" w14:textId="77777777" w:rsidR="000052B7" w:rsidRPr="000052B7" w:rsidRDefault="000052B7" w:rsidP="000052B7">
      <w:pPr>
        <w:pStyle w:val="Prrafodelista"/>
        <w:ind w:left="1429" w:firstLine="0"/>
      </w:pPr>
      <w:r w:rsidRPr="000052B7">
        <w:t>Pasivo total = $120.000.000</w:t>
      </w:r>
    </w:p>
    <w:p w14:paraId="1FB4FC7D" w14:textId="77777777" w:rsidR="000052B7" w:rsidRPr="000052B7" w:rsidRDefault="000052B7" w:rsidP="000052B7">
      <w:pPr>
        <w:pStyle w:val="Prrafodelista"/>
        <w:ind w:left="1429" w:firstLine="0"/>
      </w:pPr>
      <w:r w:rsidRPr="000052B7">
        <w:t>Activo total = $300.000.000</w:t>
      </w:r>
    </w:p>
    <w:p w14:paraId="7D471076" w14:textId="77777777" w:rsidR="000052B7" w:rsidRPr="000052B7" w:rsidRDefault="000052B7" w:rsidP="000052B7">
      <w:pPr>
        <w:pStyle w:val="Prrafodelista"/>
        <w:ind w:left="1429" w:firstLine="0"/>
      </w:pPr>
      <w:r w:rsidRPr="000052B7">
        <w:t>Razón de Endeudamiento = 120.000.000 / 300.000.000 = 0.40 o 40 %</w:t>
      </w:r>
    </w:p>
    <w:p w14:paraId="5B3255FB" w14:textId="77777777" w:rsidR="000052B7" w:rsidRDefault="000052B7" w:rsidP="000052B7">
      <w:pPr>
        <w:pStyle w:val="Prrafodelista"/>
        <w:ind w:left="1429" w:firstLine="0"/>
        <w:rPr>
          <w:b/>
          <w:bCs/>
        </w:rPr>
      </w:pPr>
    </w:p>
    <w:p w14:paraId="2A4F82E4" w14:textId="497CFE3D" w:rsidR="000052B7" w:rsidRPr="000052B7" w:rsidRDefault="000052B7" w:rsidP="000052B7">
      <w:pPr>
        <w:pStyle w:val="Prrafodelista"/>
        <w:ind w:left="1429" w:firstLine="0"/>
        <w:rPr>
          <w:b/>
          <w:bCs/>
        </w:rPr>
      </w:pPr>
      <w:r w:rsidRPr="000052B7">
        <w:rPr>
          <w:b/>
          <w:bCs/>
        </w:rPr>
        <w:lastRenderedPageBreak/>
        <w:t>Interpretación</w:t>
      </w:r>
    </w:p>
    <w:p w14:paraId="475D40C4" w14:textId="7712F264" w:rsidR="000052B7" w:rsidRPr="000052B7" w:rsidRDefault="000052B7" w:rsidP="000052B7">
      <w:pPr>
        <w:pStyle w:val="Prrafodelista"/>
        <w:ind w:left="1429" w:firstLine="0"/>
      </w:pPr>
      <w:r w:rsidRPr="000052B7">
        <w:t>Esto indica que el 40 % de los activos están financiados con recursos de terceros y el 60 % con capital propio. Un nivel de endeudamiento entre el 40 % y el 60 % puede considerarse razonable, dependiendo del sector. Niveles superiores podrían implicar alto riesgo financiero.</w:t>
      </w:r>
    </w:p>
    <w:p w14:paraId="5B9146E2" w14:textId="77777777" w:rsidR="000344D2" w:rsidRPr="000344D2" w:rsidRDefault="000344D2" w:rsidP="00E727BC">
      <w:pPr>
        <w:pStyle w:val="Prrafodelista"/>
        <w:numPr>
          <w:ilvl w:val="0"/>
          <w:numId w:val="17"/>
        </w:numPr>
        <w:rPr>
          <w:b/>
          <w:bCs/>
        </w:rPr>
      </w:pPr>
      <w:r w:rsidRPr="000344D2">
        <w:rPr>
          <w:b/>
          <w:bCs/>
        </w:rPr>
        <w:t>Cobertura de intereses</w:t>
      </w:r>
    </w:p>
    <w:p w14:paraId="6F5931A0" w14:textId="77777777" w:rsidR="000344D2" w:rsidRPr="000344D2" w:rsidRDefault="000344D2" w:rsidP="000344D2">
      <w:pPr>
        <w:pStyle w:val="Prrafodelista"/>
        <w:ind w:left="1429" w:firstLine="0"/>
        <w:rPr>
          <w:b/>
          <w:bCs/>
        </w:rPr>
      </w:pPr>
      <w:r w:rsidRPr="000344D2">
        <w:rPr>
          <w:b/>
          <w:bCs/>
        </w:rPr>
        <w:t>Fórmula</w:t>
      </w:r>
    </w:p>
    <w:p w14:paraId="4BD1CC0C" w14:textId="77777777" w:rsidR="000344D2" w:rsidRPr="004176DB" w:rsidRDefault="000344D2" w:rsidP="000344D2">
      <w:pPr>
        <w:pStyle w:val="Prrafodelista"/>
        <w:ind w:left="1429" w:firstLine="0"/>
        <w:jc w:val="center"/>
      </w:pPr>
      <w:r w:rsidRPr="004176DB">
        <w:t>Cobertura de Intereses = Utilidad Operacional / Gastos por Intereses</w:t>
      </w:r>
    </w:p>
    <w:p w14:paraId="4A8DCB31" w14:textId="77777777" w:rsidR="000344D2" w:rsidRPr="000344D2" w:rsidRDefault="000344D2" w:rsidP="000344D2">
      <w:pPr>
        <w:pStyle w:val="Prrafodelista"/>
        <w:ind w:left="1429" w:firstLine="0"/>
        <w:rPr>
          <w:b/>
          <w:bCs/>
        </w:rPr>
      </w:pPr>
      <w:r w:rsidRPr="000344D2">
        <w:rPr>
          <w:b/>
          <w:bCs/>
        </w:rPr>
        <w:t>Ejemplo</w:t>
      </w:r>
    </w:p>
    <w:p w14:paraId="3CB8E0AE" w14:textId="77777777" w:rsidR="000344D2" w:rsidRPr="000344D2" w:rsidRDefault="000344D2" w:rsidP="000344D2">
      <w:pPr>
        <w:pStyle w:val="Prrafodelista"/>
        <w:ind w:left="1429" w:firstLine="0"/>
      </w:pPr>
      <w:r w:rsidRPr="000344D2">
        <w:t>Utilidad operacional = $80.000.000</w:t>
      </w:r>
    </w:p>
    <w:p w14:paraId="1B9050CD" w14:textId="77777777" w:rsidR="000344D2" w:rsidRPr="000344D2" w:rsidRDefault="000344D2" w:rsidP="000344D2">
      <w:pPr>
        <w:pStyle w:val="Prrafodelista"/>
        <w:ind w:left="1429" w:firstLine="0"/>
      </w:pPr>
      <w:r w:rsidRPr="000344D2">
        <w:t>Gastos financieros = $20.000.000</w:t>
      </w:r>
    </w:p>
    <w:p w14:paraId="0A7876EF" w14:textId="77777777" w:rsidR="000344D2" w:rsidRPr="000344D2" w:rsidRDefault="000344D2" w:rsidP="000344D2">
      <w:pPr>
        <w:pStyle w:val="Prrafodelista"/>
        <w:ind w:left="1429" w:firstLine="0"/>
      </w:pPr>
      <w:r w:rsidRPr="000344D2">
        <w:t>Cobertura = 80.000.000 / 20.000.000 = 4 veces</w:t>
      </w:r>
    </w:p>
    <w:p w14:paraId="4A77539D" w14:textId="77777777" w:rsidR="000344D2" w:rsidRPr="000344D2" w:rsidRDefault="000344D2" w:rsidP="000344D2">
      <w:pPr>
        <w:pStyle w:val="Prrafodelista"/>
        <w:ind w:left="1429" w:firstLine="0"/>
        <w:rPr>
          <w:b/>
          <w:bCs/>
        </w:rPr>
      </w:pPr>
      <w:r w:rsidRPr="000344D2">
        <w:rPr>
          <w:b/>
          <w:bCs/>
        </w:rPr>
        <w:t>Interpretación</w:t>
      </w:r>
    </w:p>
    <w:p w14:paraId="5ECF8EFE" w14:textId="77777777" w:rsidR="000344D2" w:rsidRPr="000344D2" w:rsidRDefault="000344D2" w:rsidP="000344D2">
      <w:pPr>
        <w:pStyle w:val="Prrafodelista"/>
        <w:ind w:left="1429" w:firstLine="0"/>
      </w:pPr>
      <w:r w:rsidRPr="000344D2">
        <w:t>Esto significa que la empresa genera 4 veces más utilidad operativa de la necesaria para cubrir los intereses de su deuda. Un índice menor a 2 es preocupante, ya que indica dificultades para sostener el servicio de la deuda sin comprometer otras operaciones.</w:t>
      </w:r>
    </w:p>
    <w:p w14:paraId="0BE76BBE" w14:textId="77777777" w:rsidR="004176DB" w:rsidRPr="004176DB" w:rsidRDefault="004176DB" w:rsidP="00E727BC">
      <w:pPr>
        <w:pStyle w:val="Prrafodelista"/>
        <w:numPr>
          <w:ilvl w:val="0"/>
          <w:numId w:val="17"/>
        </w:numPr>
        <w:rPr>
          <w:b/>
          <w:bCs/>
        </w:rPr>
      </w:pPr>
      <w:r w:rsidRPr="004176DB">
        <w:rPr>
          <w:b/>
          <w:bCs/>
        </w:rPr>
        <w:t>Apalancamiento financiero</w:t>
      </w:r>
    </w:p>
    <w:p w14:paraId="481D2008" w14:textId="77777777" w:rsidR="004176DB" w:rsidRPr="004176DB" w:rsidRDefault="004176DB" w:rsidP="004176DB">
      <w:pPr>
        <w:pStyle w:val="Prrafodelista"/>
        <w:ind w:left="1429" w:firstLine="0"/>
        <w:rPr>
          <w:b/>
          <w:bCs/>
          <w:lang w:eastAsia="es-CO"/>
        </w:rPr>
      </w:pPr>
      <w:r w:rsidRPr="004176DB">
        <w:rPr>
          <w:b/>
          <w:bCs/>
          <w:bdr w:val="none" w:sz="0" w:space="0" w:color="auto" w:frame="1"/>
          <w:lang w:eastAsia="es-CO"/>
        </w:rPr>
        <w:t>Fórmula</w:t>
      </w:r>
    </w:p>
    <w:p w14:paraId="20629BBD" w14:textId="77777777" w:rsidR="004176DB" w:rsidRPr="004176DB" w:rsidRDefault="004176DB" w:rsidP="004176DB">
      <w:pPr>
        <w:pStyle w:val="Prrafodelista"/>
        <w:ind w:left="1429" w:firstLine="0"/>
        <w:jc w:val="center"/>
        <w:rPr>
          <w:lang w:eastAsia="es-CO"/>
        </w:rPr>
      </w:pPr>
      <w:r w:rsidRPr="004176DB">
        <w:rPr>
          <w:lang w:eastAsia="es-CO"/>
        </w:rPr>
        <w:t>Apalancamiento = Activos Totales / Patrimonio</w:t>
      </w:r>
    </w:p>
    <w:p w14:paraId="01FD6A6B" w14:textId="77777777" w:rsidR="004176DB" w:rsidRPr="004176DB" w:rsidRDefault="004176DB" w:rsidP="004176DB">
      <w:pPr>
        <w:pStyle w:val="Prrafodelista"/>
        <w:ind w:left="1429" w:firstLine="0"/>
        <w:rPr>
          <w:b/>
          <w:bCs/>
          <w:lang w:eastAsia="es-CO"/>
        </w:rPr>
      </w:pPr>
      <w:r w:rsidRPr="004176DB">
        <w:rPr>
          <w:b/>
          <w:bCs/>
          <w:bdr w:val="none" w:sz="0" w:space="0" w:color="auto" w:frame="1"/>
          <w:lang w:eastAsia="es-CO"/>
        </w:rPr>
        <w:t>Ejemplo</w:t>
      </w:r>
    </w:p>
    <w:p w14:paraId="71E84CA8" w14:textId="77777777" w:rsidR="004176DB" w:rsidRPr="004176DB" w:rsidRDefault="004176DB" w:rsidP="004176DB">
      <w:pPr>
        <w:pStyle w:val="Prrafodelista"/>
        <w:ind w:left="1429" w:firstLine="0"/>
        <w:rPr>
          <w:lang w:eastAsia="es-CO"/>
        </w:rPr>
      </w:pPr>
      <w:r w:rsidRPr="004176DB">
        <w:rPr>
          <w:lang w:eastAsia="es-CO"/>
        </w:rPr>
        <w:t>Activos = $300.000.000</w:t>
      </w:r>
    </w:p>
    <w:p w14:paraId="77D1B54D" w14:textId="77777777" w:rsidR="004176DB" w:rsidRPr="004176DB" w:rsidRDefault="004176DB" w:rsidP="004176DB">
      <w:pPr>
        <w:pStyle w:val="Prrafodelista"/>
        <w:ind w:left="1429" w:firstLine="0"/>
        <w:rPr>
          <w:lang w:eastAsia="es-CO"/>
        </w:rPr>
      </w:pPr>
      <w:r w:rsidRPr="004176DB">
        <w:rPr>
          <w:lang w:eastAsia="es-CO"/>
        </w:rPr>
        <w:t>Patrimonio = $180.000.000</w:t>
      </w:r>
    </w:p>
    <w:p w14:paraId="43254DDF" w14:textId="77777777" w:rsidR="004176DB" w:rsidRPr="004176DB" w:rsidRDefault="004176DB" w:rsidP="004176DB">
      <w:pPr>
        <w:pStyle w:val="Prrafodelista"/>
        <w:ind w:left="1429" w:firstLine="0"/>
        <w:rPr>
          <w:lang w:eastAsia="es-CO"/>
        </w:rPr>
      </w:pPr>
      <w:r w:rsidRPr="004176DB">
        <w:rPr>
          <w:lang w:eastAsia="es-CO"/>
        </w:rPr>
        <w:t>Apalancamiento = 300.000.000 / 180.000.000 = 1.67</w:t>
      </w:r>
    </w:p>
    <w:p w14:paraId="09294A71" w14:textId="77777777" w:rsidR="004176DB" w:rsidRPr="004176DB" w:rsidRDefault="004176DB" w:rsidP="004176DB">
      <w:pPr>
        <w:pStyle w:val="Prrafodelista"/>
        <w:ind w:left="1429" w:firstLine="0"/>
        <w:rPr>
          <w:b/>
          <w:bCs/>
          <w:lang w:eastAsia="es-CO"/>
        </w:rPr>
      </w:pPr>
      <w:r w:rsidRPr="004176DB">
        <w:rPr>
          <w:b/>
          <w:bCs/>
          <w:bdr w:val="none" w:sz="0" w:space="0" w:color="auto" w:frame="1"/>
          <w:lang w:eastAsia="es-CO"/>
        </w:rPr>
        <w:t>Interpretación</w:t>
      </w:r>
    </w:p>
    <w:p w14:paraId="10199025" w14:textId="77777777" w:rsidR="004176DB" w:rsidRPr="004176DB" w:rsidRDefault="004176DB" w:rsidP="004176DB">
      <w:pPr>
        <w:pStyle w:val="Prrafodelista"/>
        <w:ind w:left="1429" w:firstLine="0"/>
        <w:rPr>
          <w:lang w:eastAsia="es-CO"/>
        </w:rPr>
      </w:pPr>
      <w:r w:rsidRPr="004176DB">
        <w:rPr>
          <w:lang w:eastAsia="es-CO"/>
        </w:rPr>
        <w:lastRenderedPageBreak/>
        <w:t>Por cada peso invertido por los socios, la empresa ha financiado $1.67 en activos. Un apalancamiento moderado (entre 1.5 y 2.0) puede ser positivo si la rentabilidad de los activos supera el costo del financiamiento.</w:t>
      </w:r>
    </w:p>
    <w:p w14:paraId="261C6487" w14:textId="77777777" w:rsidR="001C30AD" w:rsidRPr="001C30AD" w:rsidRDefault="001C30AD" w:rsidP="00E727BC">
      <w:pPr>
        <w:pStyle w:val="Prrafodelista"/>
        <w:numPr>
          <w:ilvl w:val="0"/>
          <w:numId w:val="17"/>
        </w:numPr>
        <w:rPr>
          <w:b/>
          <w:bCs/>
        </w:rPr>
      </w:pPr>
      <w:r w:rsidRPr="001C30AD">
        <w:rPr>
          <w:b/>
          <w:bCs/>
        </w:rPr>
        <w:t>Endeudamiento del patrimonio</w:t>
      </w:r>
    </w:p>
    <w:p w14:paraId="2A49491D" w14:textId="77777777" w:rsidR="001C30AD" w:rsidRPr="001C30AD" w:rsidRDefault="001C30AD" w:rsidP="001C30AD">
      <w:pPr>
        <w:pStyle w:val="Prrafodelista"/>
        <w:ind w:left="1429" w:firstLine="0"/>
        <w:rPr>
          <w:b/>
          <w:bCs/>
        </w:rPr>
      </w:pPr>
      <w:r w:rsidRPr="001C30AD">
        <w:rPr>
          <w:b/>
          <w:bCs/>
        </w:rPr>
        <w:t>Fórmula</w:t>
      </w:r>
    </w:p>
    <w:p w14:paraId="5886AE9B" w14:textId="77777777" w:rsidR="001C30AD" w:rsidRPr="001C30AD" w:rsidRDefault="001C30AD" w:rsidP="001C30AD">
      <w:pPr>
        <w:pStyle w:val="Prrafodelista"/>
        <w:ind w:left="1429" w:firstLine="0"/>
        <w:jc w:val="center"/>
      </w:pPr>
      <w:r w:rsidRPr="001C30AD">
        <w:t>Endeudamiento del Patrimonio = Pasivo Total / Patrimonio</w:t>
      </w:r>
    </w:p>
    <w:p w14:paraId="41E55EAE" w14:textId="77777777" w:rsidR="001C30AD" w:rsidRPr="001C30AD" w:rsidRDefault="001C30AD" w:rsidP="001C30AD">
      <w:pPr>
        <w:pStyle w:val="Prrafodelista"/>
        <w:ind w:left="1429" w:firstLine="0"/>
        <w:rPr>
          <w:b/>
          <w:bCs/>
        </w:rPr>
      </w:pPr>
      <w:r w:rsidRPr="001C30AD">
        <w:rPr>
          <w:b/>
          <w:bCs/>
        </w:rPr>
        <w:t>Ejemplo</w:t>
      </w:r>
    </w:p>
    <w:p w14:paraId="176E020B" w14:textId="77777777" w:rsidR="001C30AD" w:rsidRPr="001C30AD" w:rsidRDefault="001C30AD" w:rsidP="001C30AD">
      <w:pPr>
        <w:pStyle w:val="Prrafodelista"/>
        <w:ind w:left="1429" w:firstLine="0"/>
      </w:pPr>
      <w:r w:rsidRPr="001C30AD">
        <w:t>Pasivo = $120.000.000</w:t>
      </w:r>
    </w:p>
    <w:p w14:paraId="725128C0" w14:textId="77777777" w:rsidR="001C30AD" w:rsidRPr="001C30AD" w:rsidRDefault="001C30AD" w:rsidP="001C30AD">
      <w:pPr>
        <w:pStyle w:val="Prrafodelista"/>
        <w:ind w:left="1429" w:firstLine="0"/>
      </w:pPr>
      <w:r w:rsidRPr="001C30AD">
        <w:t>Patrimonio = $180.000.000</w:t>
      </w:r>
    </w:p>
    <w:p w14:paraId="2E9535E7" w14:textId="77777777" w:rsidR="001C30AD" w:rsidRPr="001C30AD" w:rsidRDefault="001C30AD" w:rsidP="001C30AD">
      <w:pPr>
        <w:pStyle w:val="Prrafodelista"/>
        <w:ind w:left="1429" w:firstLine="0"/>
      </w:pPr>
      <w:r w:rsidRPr="001C30AD">
        <w:t>Endeudamiento del Patrimonio = 120.000.000 / 180.000.000 = 0.67</w:t>
      </w:r>
    </w:p>
    <w:p w14:paraId="2D41A4FA" w14:textId="77777777" w:rsidR="001C30AD" w:rsidRPr="001C30AD" w:rsidRDefault="001C30AD" w:rsidP="001C30AD">
      <w:pPr>
        <w:pStyle w:val="Prrafodelista"/>
        <w:ind w:left="1429" w:firstLine="0"/>
        <w:rPr>
          <w:b/>
          <w:bCs/>
        </w:rPr>
      </w:pPr>
      <w:r w:rsidRPr="001C30AD">
        <w:rPr>
          <w:b/>
          <w:bCs/>
        </w:rPr>
        <w:t>Interpretación</w:t>
      </w:r>
    </w:p>
    <w:p w14:paraId="4A62DE4A" w14:textId="77777777" w:rsidR="001C30AD" w:rsidRPr="001C30AD" w:rsidRDefault="001C30AD" w:rsidP="001C30AD">
      <w:pPr>
        <w:pStyle w:val="Prrafodelista"/>
        <w:ind w:left="1429" w:firstLine="0"/>
      </w:pPr>
      <w:r w:rsidRPr="001C30AD">
        <w:t>Por cada peso de capital propio, la empresa tiene $0.67 en deudas. Este indicador es útil para evaluar la estructura de capital y el riesgo asumido por los accionistas. Valores mayores a 1 indican que la empresa depende más de la deuda que de su propio capital.</w:t>
      </w:r>
    </w:p>
    <w:p w14:paraId="45F4A3DA" w14:textId="77777777" w:rsidR="00585771" w:rsidRPr="00585771" w:rsidRDefault="00585771" w:rsidP="00E727BC">
      <w:pPr>
        <w:pStyle w:val="Prrafodelista"/>
        <w:numPr>
          <w:ilvl w:val="0"/>
          <w:numId w:val="17"/>
        </w:numPr>
        <w:rPr>
          <w:b/>
          <w:bCs/>
        </w:rPr>
      </w:pPr>
      <w:r w:rsidRPr="00585771">
        <w:rPr>
          <w:b/>
          <w:bCs/>
        </w:rPr>
        <w:t>Pasivo corriente sobre total pasivo</w:t>
      </w:r>
    </w:p>
    <w:p w14:paraId="553EC33A" w14:textId="77777777" w:rsidR="00585771" w:rsidRPr="00585771" w:rsidRDefault="00585771" w:rsidP="00585771">
      <w:pPr>
        <w:pStyle w:val="Prrafodelista"/>
        <w:ind w:left="1429" w:firstLine="0"/>
        <w:rPr>
          <w:b/>
          <w:bCs/>
        </w:rPr>
      </w:pPr>
      <w:r w:rsidRPr="00585771">
        <w:rPr>
          <w:b/>
          <w:bCs/>
        </w:rPr>
        <w:t>Fórmula</w:t>
      </w:r>
    </w:p>
    <w:p w14:paraId="63D46A86" w14:textId="77777777" w:rsidR="00585771" w:rsidRPr="00585771" w:rsidRDefault="00585771" w:rsidP="00585771">
      <w:pPr>
        <w:pStyle w:val="Prrafodelista"/>
        <w:ind w:left="1429" w:firstLine="0"/>
      </w:pPr>
      <w:r w:rsidRPr="00585771">
        <w:t>Pasivo Corriente / Pasivo Total</w:t>
      </w:r>
    </w:p>
    <w:p w14:paraId="67078A71" w14:textId="77777777" w:rsidR="00585771" w:rsidRPr="00585771" w:rsidRDefault="00585771" w:rsidP="00585771">
      <w:pPr>
        <w:pStyle w:val="Prrafodelista"/>
        <w:ind w:left="1429" w:firstLine="0"/>
        <w:rPr>
          <w:b/>
          <w:bCs/>
        </w:rPr>
      </w:pPr>
      <w:r w:rsidRPr="00585771">
        <w:rPr>
          <w:b/>
          <w:bCs/>
        </w:rPr>
        <w:t>Ejemplo</w:t>
      </w:r>
    </w:p>
    <w:p w14:paraId="2757033E" w14:textId="77777777" w:rsidR="00585771" w:rsidRPr="00585771" w:rsidRDefault="00585771" w:rsidP="00585771">
      <w:pPr>
        <w:pStyle w:val="Prrafodelista"/>
        <w:ind w:left="1429" w:firstLine="0"/>
      </w:pPr>
      <w:r w:rsidRPr="00585771">
        <w:t>Pasivo corriente = $70.000.000</w:t>
      </w:r>
    </w:p>
    <w:p w14:paraId="50243478" w14:textId="77777777" w:rsidR="00585771" w:rsidRPr="00585771" w:rsidRDefault="00585771" w:rsidP="00585771">
      <w:pPr>
        <w:pStyle w:val="Prrafodelista"/>
        <w:ind w:left="1429" w:firstLine="0"/>
      </w:pPr>
      <w:r w:rsidRPr="00585771">
        <w:t>Pasivo total = $120.000.000</w:t>
      </w:r>
    </w:p>
    <w:p w14:paraId="17FDBC5C" w14:textId="77777777" w:rsidR="00585771" w:rsidRPr="00585771" w:rsidRDefault="00585771" w:rsidP="00585771">
      <w:pPr>
        <w:pStyle w:val="Prrafodelista"/>
        <w:ind w:left="1429" w:firstLine="0"/>
      </w:pPr>
      <w:r w:rsidRPr="00585771">
        <w:t>Resultado: 70.000.000 / 120.000.000 = 0.583 o 58.3 %</w:t>
      </w:r>
    </w:p>
    <w:p w14:paraId="7C2FC3F3" w14:textId="77777777" w:rsidR="00585771" w:rsidRPr="00585771" w:rsidRDefault="00585771" w:rsidP="00585771">
      <w:pPr>
        <w:pStyle w:val="Prrafodelista"/>
        <w:ind w:left="1429" w:firstLine="0"/>
        <w:rPr>
          <w:b/>
          <w:bCs/>
        </w:rPr>
      </w:pPr>
      <w:r w:rsidRPr="00585771">
        <w:rPr>
          <w:b/>
          <w:bCs/>
        </w:rPr>
        <w:t>Interpretación</w:t>
      </w:r>
    </w:p>
    <w:p w14:paraId="4F7D39C3" w14:textId="11D33F24" w:rsidR="00585771" w:rsidRPr="00585771" w:rsidRDefault="00585771" w:rsidP="00585771">
      <w:pPr>
        <w:pStyle w:val="Prrafodelista"/>
        <w:ind w:left="1429" w:firstLine="0"/>
      </w:pPr>
      <w:r w:rsidRPr="00585771">
        <w:t xml:space="preserve">Este indicador revela qué proporción de la deuda total debe ser pagada en el corto plazo. Si el valor es muy alto, puede representar presión sobre la </w:t>
      </w:r>
      <w:r w:rsidRPr="00585771">
        <w:lastRenderedPageBreak/>
        <w:t>liquidez. Lo ideal es mantener un equilibrio entre deuda de corto y largo plazo, según la capacidad de generación de efectivo.</w:t>
      </w:r>
    </w:p>
    <w:p w14:paraId="4D688447" w14:textId="77777777" w:rsidR="00CD00EE" w:rsidRPr="00CD00EE" w:rsidRDefault="00CD00EE" w:rsidP="00E727BC">
      <w:pPr>
        <w:pStyle w:val="Prrafodelista"/>
        <w:numPr>
          <w:ilvl w:val="0"/>
          <w:numId w:val="17"/>
        </w:numPr>
        <w:rPr>
          <w:b/>
          <w:bCs/>
        </w:rPr>
      </w:pPr>
      <w:r w:rsidRPr="00CD00EE">
        <w:rPr>
          <w:b/>
          <w:bCs/>
        </w:rPr>
        <w:t>Proporción de deuda financiera</w:t>
      </w:r>
    </w:p>
    <w:p w14:paraId="3DA77C0C" w14:textId="77777777" w:rsidR="00CD00EE" w:rsidRPr="00CD00EE" w:rsidRDefault="00CD00EE" w:rsidP="00CD00EE">
      <w:pPr>
        <w:pStyle w:val="Prrafodelista"/>
        <w:ind w:left="1429" w:firstLine="0"/>
        <w:rPr>
          <w:b/>
          <w:bCs/>
        </w:rPr>
      </w:pPr>
      <w:r w:rsidRPr="00CD00EE">
        <w:rPr>
          <w:b/>
          <w:bCs/>
        </w:rPr>
        <w:t>Fórmula</w:t>
      </w:r>
    </w:p>
    <w:p w14:paraId="5D4EBF02" w14:textId="77777777" w:rsidR="00CD00EE" w:rsidRPr="00CD00EE" w:rsidRDefault="00CD00EE" w:rsidP="00CD00EE">
      <w:pPr>
        <w:pStyle w:val="Prrafodelista"/>
        <w:ind w:left="1429" w:firstLine="0"/>
        <w:jc w:val="center"/>
      </w:pPr>
      <w:r w:rsidRPr="00CD00EE">
        <w:t>Deuda financiera / Total Pasivo</w:t>
      </w:r>
    </w:p>
    <w:p w14:paraId="3102AA16" w14:textId="77777777" w:rsidR="00CD00EE" w:rsidRPr="00CD00EE" w:rsidRDefault="00CD00EE" w:rsidP="00CD00EE">
      <w:pPr>
        <w:pStyle w:val="Prrafodelista"/>
        <w:ind w:left="1429" w:firstLine="0"/>
        <w:rPr>
          <w:b/>
          <w:bCs/>
        </w:rPr>
      </w:pPr>
      <w:r w:rsidRPr="00CD00EE">
        <w:rPr>
          <w:b/>
          <w:bCs/>
        </w:rPr>
        <w:t>Ejemplo</w:t>
      </w:r>
    </w:p>
    <w:p w14:paraId="4E43D938" w14:textId="77777777" w:rsidR="00CD00EE" w:rsidRPr="00CD00EE" w:rsidRDefault="00CD00EE" w:rsidP="00CD00EE">
      <w:pPr>
        <w:pStyle w:val="Prrafodelista"/>
        <w:ind w:left="1429" w:firstLine="0"/>
      </w:pPr>
      <w:r w:rsidRPr="00CD00EE">
        <w:t>Deuda con bancos = $90.000.000</w:t>
      </w:r>
    </w:p>
    <w:p w14:paraId="1BF12146" w14:textId="77777777" w:rsidR="00CD00EE" w:rsidRPr="00CD00EE" w:rsidRDefault="00CD00EE" w:rsidP="00CD00EE">
      <w:pPr>
        <w:pStyle w:val="Prrafodelista"/>
        <w:ind w:left="1429" w:firstLine="0"/>
      </w:pPr>
      <w:r w:rsidRPr="00CD00EE">
        <w:t>Pasivo total = $150.000.000</w:t>
      </w:r>
    </w:p>
    <w:p w14:paraId="0C962B70" w14:textId="77777777" w:rsidR="00CD00EE" w:rsidRPr="00CD00EE" w:rsidRDefault="00CD00EE" w:rsidP="00CD00EE">
      <w:pPr>
        <w:pStyle w:val="Prrafodelista"/>
        <w:ind w:left="1429" w:firstLine="0"/>
      </w:pPr>
      <w:r w:rsidRPr="00CD00EE">
        <w:t>Resultado: 90.000.000 / 150.000.000 = 60 %</w:t>
      </w:r>
    </w:p>
    <w:p w14:paraId="780D1338" w14:textId="77777777" w:rsidR="00CD00EE" w:rsidRPr="00CD00EE" w:rsidRDefault="00CD00EE" w:rsidP="00CD00EE">
      <w:pPr>
        <w:pStyle w:val="Prrafodelista"/>
        <w:ind w:left="1429" w:firstLine="0"/>
        <w:rPr>
          <w:b/>
          <w:bCs/>
        </w:rPr>
      </w:pPr>
      <w:r w:rsidRPr="00CD00EE">
        <w:rPr>
          <w:b/>
          <w:bCs/>
        </w:rPr>
        <w:t>Interpretación</w:t>
      </w:r>
    </w:p>
    <w:p w14:paraId="28A739A4" w14:textId="77777777" w:rsidR="00CD00EE" w:rsidRPr="00CD00EE" w:rsidRDefault="00CD00EE" w:rsidP="00CD00EE">
      <w:pPr>
        <w:pStyle w:val="Prrafodelista"/>
        <w:ind w:left="1429" w:firstLine="0"/>
      </w:pPr>
      <w:r w:rsidRPr="00CD00EE">
        <w:t>Este indicador muestra qué parte del pasivo está comprometido con entidades financieras, lo cual puede implicar costo financiero fijo y riesgo ante cambios en tasas de interés. Cuanto mayor sea este porcentaje, mayor será la dependencia de financiamiento externo formal.</w:t>
      </w:r>
    </w:p>
    <w:p w14:paraId="096C0C5C" w14:textId="77777777" w:rsidR="001D3C8F" w:rsidRPr="001D3C8F" w:rsidRDefault="001D3C8F" w:rsidP="001D3C8F">
      <w:pPr>
        <w:pStyle w:val="Ttulo8"/>
      </w:pPr>
      <w:r w:rsidRPr="001D3C8F">
        <w:t>Reflexión final sobre los indicadores de endeudamiento</w:t>
      </w:r>
    </w:p>
    <w:p w14:paraId="1122E497" w14:textId="77777777" w:rsidR="001D3C8F" w:rsidRPr="001D3C8F" w:rsidRDefault="001D3C8F" w:rsidP="001D3C8F">
      <w:pPr>
        <w:pStyle w:val="Sangradetextonormal"/>
      </w:pPr>
      <w:r w:rsidRPr="001D3C8F">
        <w:t>Analizar el endeudamiento permite comprender cuánto riesgo financiero está asumiendo la empresa y si ese riesgo está siendo compensado con rentabilidad. Como recomienda Ortiz (2011), estos indicadores deben evaluarse siempre en conjunto y compararse con promedios del sector. Además, es esencial tener en cuenta la naturaleza del negocio, el ciclo operativo y el entorno económico, ya que lo que es considerado un nivel saludable en una industria, puede ser riesgoso en otra.</w:t>
      </w:r>
    </w:p>
    <w:p w14:paraId="08D52E68" w14:textId="1A626CDB" w:rsidR="001D3C8F" w:rsidRPr="001D3C8F" w:rsidRDefault="001D3C8F" w:rsidP="001D3C8F">
      <w:r w:rsidRPr="001D3C8F">
        <w:t xml:space="preserve">Mantener el endeudamiento en niveles adecuados, es uno de los principios más importantes en la administración financiera de una empresa. El uso de deuda como fuente de financiamiento no es, por sí solo, negativo; de hecho, puede ser una </w:t>
      </w:r>
      <w:r w:rsidRPr="001D3C8F">
        <w:lastRenderedPageBreak/>
        <w:t>estrategia útil para apalancar el crecimiento, aumentar la capacidad productiva o mejorar la competitividad. Sin embargo, cuando el nivel de deuda supera la capacidad de pago o la rentabilidad generada, los efectos pueden ser perjudiciales para la sostenibilidad del negocio.</w:t>
      </w:r>
    </w:p>
    <w:p w14:paraId="4922490A" w14:textId="77777777" w:rsidR="004C4313" w:rsidRPr="004C4313" w:rsidRDefault="004C4313" w:rsidP="007014DD">
      <w:pPr>
        <w:pStyle w:val="Sangradetextonormal"/>
      </w:pPr>
      <w:r w:rsidRPr="004C4313">
        <w:t>Un nivel de endeudamiento saludable debe estar alineado con la estructura del negocio, el tipo de industria y la estabilidad de los ingresos. Por ejemplo, empresas con ingresos estables y predecibles (como servicios públicos) pueden tolerar niveles de endeudamiento más altos que aquellas cuyos ingresos son estacionales o volátiles (como el turismo o el comercio al por menor). El problema surge cuando la deuda se convierte en una carga que consume buena parte de las utilidades, o cuando no se traduce en mejoras operativas o productivas.</w:t>
      </w:r>
    </w:p>
    <w:p w14:paraId="4358E033" w14:textId="77777777" w:rsidR="004C4313" w:rsidRPr="004C4313" w:rsidRDefault="004C4313" w:rsidP="007014DD">
      <w:pPr>
        <w:pStyle w:val="Sangradetextonormal"/>
      </w:pPr>
      <w:r w:rsidRPr="004C4313">
        <w:t>De acuerdo a lo anterior, es importante tener presente las siguientes acciones relacionadas con en el endeudamiento:</w:t>
      </w:r>
    </w:p>
    <w:p w14:paraId="41D638E4" w14:textId="4CF58319" w:rsidR="007014DD" w:rsidRPr="007014DD" w:rsidRDefault="007014DD" w:rsidP="00E727BC">
      <w:pPr>
        <w:pStyle w:val="Prrafodelista"/>
        <w:numPr>
          <w:ilvl w:val="0"/>
          <w:numId w:val="18"/>
        </w:numPr>
        <w:rPr>
          <w:b/>
          <w:bCs/>
        </w:rPr>
      </w:pPr>
      <w:r w:rsidRPr="007014DD">
        <w:rPr>
          <w:b/>
          <w:bCs/>
        </w:rPr>
        <w:t>Cobertura de intereses baja</w:t>
      </w:r>
    </w:p>
    <w:p w14:paraId="5251685B" w14:textId="77777777" w:rsidR="007014DD" w:rsidRPr="007014DD" w:rsidRDefault="007014DD" w:rsidP="007014DD">
      <w:pPr>
        <w:pStyle w:val="Prrafodelista"/>
        <w:ind w:left="1429" w:firstLine="0"/>
      </w:pPr>
      <w:r w:rsidRPr="007014DD">
        <w:t>Cuando una empresa presenta una cobertura de intereses baja, significa que su utilidad operativa no es suficiente para cubrir cómodamente el pago de los intereses financieros. Por ejemplo, si una compañía solo logra generar el equivalente a 1,2 veces lo que debe pagar en intereses, cualquier disminución en sus ingresos —por cambios en el mercado, retrasos en los pagos de clientes o aumentos en los costos podría ponerla en una situación de iliquidez. Idealmente, la cobertura de intereses debería ser superior a 3 veces, lo que da margen de seguridad ante eventualidades.</w:t>
      </w:r>
    </w:p>
    <w:p w14:paraId="09AFA499" w14:textId="324A2540" w:rsidR="007014DD" w:rsidRDefault="007014DD" w:rsidP="007014DD">
      <w:pPr>
        <w:pStyle w:val="Prrafodelista"/>
        <w:ind w:left="1429" w:firstLine="0"/>
      </w:pPr>
    </w:p>
    <w:p w14:paraId="6183CD68" w14:textId="77777777" w:rsidR="007014DD" w:rsidRDefault="007014DD" w:rsidP="007014DD">
      <w:pPr>
        <w:pStyle w:val="Prrafodelista"/>
        <w:ind w:left="1429" w:firstLine="0"/>
      </w:pPr>
    </w:p>
    <w:p w14:paraId="142F0010" w14:textId="2EBFA87E" w:rsidR="007014DD" w:rsidRPr="007014DD" w:rsidRDefault="007014DD" w:rsidP="00E727BC">
      <w:pPr>
        <w:pStyle w:val="Prrafodelista"/>
        <w:numPr>
          <w:ilvl w:val="0"/>
          <w:numId w:val="18"/>
        </w:numPr>
        <w:rPr>
          <w:b/>
          <w:bCs/>
        </w:rPr>
      </w:pPr>
      <w:r w:rsidRPr="007014DD">
        <w:rPr>
          <w:b/>
          <w:bCs/>
        </w:rPr>
        <w:lastRenderedPageBreak/>
        <w:t>Apalancamiento financiero elevado</w:t>
      </w:r>
    </w:p>
    <w:p w14:paraId="6A221265" w14:textId="5150CD45" w:rsidR="007014DD" w:rsidRPr="007014DD" w:rsidRDefault="007014DD" w:rsidP="007014DD">
      <w:pPr>
        <w:pStyle w:val="Prrafodelista"/>
        <w:ind w:left="1429" w:firstLine="0"/>
      </w:pPr>
      <w:r w:rsidRPr="007014DD">
        <w:t>Un apalancamiento financiero elevado (por ejemplo, activos totales que duplican o triplican el patrimonio) refleja que la empresa está financiando una gran parte de sus operaciones con deuda. Esto implica que los dueños o accionistas están asumiendo menos riesgo financiero directo, pero también que el negocio es más vulnerable a las condiciones del mercado financiero, como el aumento de tasas de interés o la restricción del crédito. Además, si los activos financiados con deuda no generan suficiente rentabilidad, el apalancamiento se convierte en un factor que reduce el valor del patrimonio en lugar de multiplicarlo.</w:t>
      </w:r>
    </w:p>
    <w:p w14:paraId="121906E3" w14:textId="186C01B9" w:rsidR="007014DD" w:rsidRPr="007014DD" w:rsidRDefault="007014DD" w:rsidP="00E727BC">
      <w:pPr>
        <w:pStyle w:val="Prrafodelista"/>
        <w:numPr>
          <w:ilvl w:val="0"/>
          <w:numId w:val="18"/>
        </w:numPr>
        <w:rPr>
          <w:b/>
          <w:bCs/>
        </w:rPr>
      </w:pPr>
      <w:r w:rsidRPr="007014DD">
        <w:rPr>
          <w:b/>
          <w:bCs/>
        </w:rPr>
        <w:t>Deuda bien administrada</w:t>
      </w:r>
    </w:p>
    <w:p w14:paraId="6529EC88" w14:textId="77777777" w:rsidR="007014DD" w:rsidRPr="007014DD" w:rsidRDefault="007014DD" w:rsidP="007014DD">
      <w:pPr>
        <w:pStyle w:val="Prrafodelista"/>
        <w:ind w:left="1429" w:firstLine="0"/>
        <w:rPr>
          <w:sz w:val="24"/>
          <w:szCs w:val="24"/>
        </w:rPr>
      </w:pPr>
      <w:r w:rsidRPr="007014DD">
        <w:t>Puede mejorar la rentabilidad sobre el patrimonio (ROE), permitir la expansión de operaciones y fortalecer la posición competitiva. No obstante, como advierte Ortiz (2011), cuando los niveles de endeudamiento se salen de control, afectan directamente la capacidad de maniobra de la empresa. Esto se traduce en menos opciones estratégicas, mayores costos financieros, menor flexibilidad ante cambios en el entorno y, en muchos casos, una dependencia excesiva de renegociaciones o refinanciaciones constantes</w:t>
      </w:r>
      <w:r>
        <w:t>.</w:t>
      </w:r>
    </w:p>
    <w:p w14:paraId="06122FAD" w14:textId="4CFC66C0" w:rsidR="007014DD" w:rsidRPr="00B601A5" w:rsidRDefault="00B601A5" w:rsidP="00B601A5">
      <w:pPr>
        <w:pStyle w:val="Sangradetextonormal"/>
      </w:pPr>
      <w:r w:rsidRPr="00B601A5">
        <w:t xml:space="preserve">Por lo anterior, el endeudamiento debe analizarse de forma integral, considerando no solo el monto total de la deuda, sino también su estructura (plazo, tasa, tipo de acreedor), su costo real y el uso que se le da a los recursos obtenidos. El endeudamiento sano es aquel que potencia la rentabilidad sin comprometer la liquidez </w:t>
      </w:r>
      <w:r w:rsidRPr="00B601A5">
        <w:lastRenderedPageBreak/>
        <w:t>ni la autonomía de la empresa. La clave está en encontrar un equilibrio que favorezca el crecimiento sin sacrificar la estabilidad.</w:t>
      </w:r>
    </w:p>
    <w:p w14:paraId="2DD12E73" w14:textId="77777777" w:rsidR="005F1826" w:rsidRPr="005F1826" w:rsidRDefault="005F1826" w:rsidP="005F1826">
      <w:pPr>
        <w:pStyle w:val="Ttulo2"/>
      </w:pPr>
      <w:bookmarkStart w:id="8" w:name="_Toc201665092"/>
      <w:r w:rsidRPr="005F1826">
        <w:t>1.3. Indicadores de eficiencia y gestión</w:t>
      </w:r>
      <w:bookmarkEnd w:id="8"/>
    </w:p>
    <w:p w14:paraId="4CEFBB5B" w14:textId="77777777" w:rsidR="005F1826" w:rsidRPr="005F1826" w:rsidRDefault="005F1826" w:rsidP="005F1826">
      <w:r w:rsidRPr="005F1826">
        <w:t>Estos indicadores —también conocidos como indicadores de actividad o gestión— permiten evaluar qué tan bien está utilizando una empresa sus recursos productivos y financieros. Estos indicadores se enfocan en la velocidad con que la organización convierte sus activos en ventas o flujo de efectivo, lo que tiene un impacto directo sobre la liquidez, la rentabilidad y el capital de trabajo.</w:t>
      </w:r>
    </w:p>
    <w:p w14:paraId="23658AE1" w14:textId="77777777" w:rsidR="005F1826" w:rsidRPr="005F1826" w:rsidRDefault="005F1826" w:rsidP="005F1826">
      <w:r w:rsidRPr="005F1826">
        <w:t>Según Ortiz (2011), una buena gestión de activos como inventarios, cuentas por cobrar y cuentas por pagar, refleja una administración financiera eficiente, mientras que una rotación lenta o un ciclo operativo prolongado puede indicar problemas de liquidez, acumulación de inventarios o deficiencias en la política de cobros o pagos.</w:t>
      </w:r>
    </w:p>
    <w:p w14:paraId="098D9BAE" w14:textId="77777777" w:rsidR="005F1826" w:rsidRPr="005F1826" w:rsidRDefault="005F1826" w:rsidP="005F1826">
      <w:r w:rsidRPr="005F1826">
        <w:t>De igual manera, este tipo de indicadores tiene unas acciones que se presentan en sus diversos procesos, las cuales se explican a continuación, con fórmulas y ejemplos reales:</w:t>
      </w:r>
    </w:p>
    <w:p w14:paraId="6958DCF4" w14:textId="77777777" w:rsidR="005F1826" w:rsidRPr="005F1826" w:rsidRDefault="005F1826" w:rsidP="00E727BC">
      <w:pPr>
        <w:pStyle w:val="Prrafodelista"/>
        <w:numPr>
          <w:ilvl w:val="0"/>
          <w:numId w:val="19"/>
        </w:numPr>
        <w:rPr>
          <w:b/>
          <w:bCs/>
        </w:rPr>
      </w:pPr>
      <w:r w:rsidRPr="005F1826">
        <w:rPr>
          <w:b/>
          <w:bCs/>
        </w:rPr>
        <w:t>Rotación de inventarios</w:t>
      </w:r>
    </w:p>
    <w:p w14:paraId="11216CD0" w14:textId="77777777" w:rsidR="005F1826" w:rsidRPr="005F1826" w:rsidRDefault="005F1826" w:rsidP="005F1826">
      <w:pPr>
        <w:pStyle w:val="Prrafodelista"/>
        <w:ind w:left="1429" w:firstLine="0"/>
        <w:rPr>
          <w:b/>
          <w:bCs/>
        </w:rPr>
      </w:pPr>
      <w:r w:rsidRPr="005F1826">
        <w:rPr>
          <w:b/>
          <w:bCs/>
        </w:rPr>
        <w:t>Fórmula</w:t>
      </w:r>
    </w:p>
    <w:p w14:paraId="4A5817D1" w14:textId="77777777" w:rsidR="005F1826" w:rsidRPr="005F1826" w:rsidRDefault="005F1826" w:rsidP="005F1826">
      <w:pPr>
        <w:pStyle w:val="Prrafodelista"/>
        <w:ind w:left="1429" w:firstLine="0"/>
        <w:jc w:val="center"/>
      </w:pPr>
      <w:r w:rsidRPr="005F1826">
        <w:t xml:space="preserve">Rotación de Inventarios = Costo de Ventas / Inventario </w:t>
      </w:r>
      <w:proofErr w:type="spellStart"/>
      <w:r w:rsidRPr="005F1826">
        <w:t>Promedioal</w:t>
      </w:r>
      <w:proofErr w:type="spellEnd"/>
    </w:p>
    <w:p w14:paraId="309685DE" w14:textId="77777777" w:rsidR="005F1826" w:rsidRPr="005F1826" w:rsidRDefault="005F1826" w:rsidP="005F1826">
      <w:pPr>
        <w:pStyle w:val="Prrafodelista"/>
        <w:ind w:left="1429" w:firstLine="0"/>
        <w:rPr>
          <w:b/>
          <w:bCs/>
        </w:rPr>
      </w:pPr>
      <w:r w:rsidRPr="005F1826">
        <w:rPr>
          <w:b/>
          <w:bCs/>
        </w:rPr>
        <w:t>Ejemplo</w:t>
      </w:r>
    </w:p>
    <w:p w14:paraId="199A606E" w14:textId="77777777" w:rsidR="005F1826" w:rsidRPr="005F1826" w:rsidRDefault="005F1826" w:rsidP="005F1826">
      <w:pPr>
        <w:pStyle w:val="Prrafodelista"/>
        <w:ind w:left="1429" w:firstLine="0"/>
      </w:pPr>
      <w:r w:rsidRPr="005F1826">
        <w:t>Costo de ventas: $300.000.000</w:t>
      </w:r>
    </w:p>
    <w:p w14:paraId="52721A13" w14:textId="77777777" w:rsidR="005F1826" w:rsidRPr="005F1826" w:rsidRDefault="005F1826" w:rsidP="005F1826">
      <w:pPr>
        <w:pStyle w:val="Prrafodelista"/>
        <w:ind w:left="1429" w:firstLine="0"/>
      </w:pPr>
      <w:r w:rsidRPr="005F1826">
        <w:t>Inventario promedio: $75.000.00000</w:t>
      </w:r>
    </w:p>
    <w:p w14:paraId="7E5F3AFE" w14:textId="77777777" w:rsidR="005F1826" w:rsidRPr="005F1826" w:rsidRDefault="005F1826" w:rsidP="005F1826">
      <w:pPr>
        <w:pStyle w:val="Prrafodelista"/>
        <w:ind w:left="1429" w:firstLine="0"/>
      </w:pPr>
      <w:r w:rsidRPr="005F1826">
        <w:t>Rotación = 300.000.000 / 75.000.000 = 4 veces%</w:t>
      </w:r>
    </w:p>
    <w:p w14:paraId="1CAFE0D5" w14:textId="77777777" w:rsidR="005F1826" w:rsidRDefault="005F1826" w:rsidP="005F1826">
      <w:pPr>
        <w:pStyle w:val="Prrafodelista"/>
        <w:ind w:left="1429" w:firstLine="0"/>
        <w:rPr>
          <w:b/>
          <w:bCs/>
        </w:rPr>
      </w:pPr>
    </w:p>
    <w:p w14:paraId="2667184A" w14:textId="0E34DA85" w:rsidR="005F1826" w:rsidRPr="005F1826" w:rsidRDefault="005F1826" w:rsidP="005F1826">
      <w:pPr>
        <w:pStyle w:val="Prrafodelista"/>
        <w:ind w:left="1429" w:firstLine="0"/>
        <w:rPr>
          <w:b/>
          <w:bCs/>
        </w:rPr>
      </w:pPr>
      <w:r w:rsidRPr="005F1826">
        <w:rPr>
          <w:b/>
          <w:bCs/>
        </w:rPr>
        <w:lastRenderedPageBreak/>
        <w:t>Interpretación</w:t>
      </w:r>
    </w:p>
    <w:p w14:paraId="5C1B85A7" w14:textId="77777777" w:rsidR="005F1826" w:rsidRPr="005F1826" w:rsidRDefault="005F1826" w:rsidP="005F1826">
      <w:pPr>
        <w:pStyle w:val="Prrafodelista"/>
        <w:ind w:left="1429" w:firstLine="0"/>
      </w:pPr>
      <w:r w:rsidRPr="005F1826">
        <w:t>Esto significa que los inventarios se renuevan completamente 4 veces durante el periodo analizado. Una mayor rotación indica una gestión eficiente del inventario, lo que reduce costos de almacenamiento y el riesgo de obsolescencia. Una rotación muy baja puede reflejar exceso de stock o dificultades para vender los productos.</w:t>
      </w:r>
    </w:p>
    <w:p w14:paraId="113BA19E" w14:textId="77777777" w:rsidR="005F1826" w:rsidRDefault="005F1826" w:rsidP="005F1826">
      <w:pPr>
        <w:pStyle w:val="Prrafodelista"/>
        <w:ind w:left="1429" w:firstLine="0"/>
      </w:pPr>
      <w:r w:rsidRPr="005F1826">
        <w:t>Además, este indicador puede convertirse en “días de inventario” dividiendo 360 entre el número de rotaciones:</w:t>
      </w:r>
    </w:p>
    <w:p w14:paraId="796A064B" w14:textId="22437712" w:rsidR="005F1826" w:rsidRPr="005F1826" w:rsidRDefault="005F1826" w:rsidP="005F1826">
      <w:pPr>
        <w:pStyle w:val="Prrafodelista"/>
        <w:ind w:left="1429" w:firstLine="0"/>
      </w:pPr>
      <w:r w:rsidRPr="005F1826">
        <w:t>La empresa tarda en promedio 90 días en vender todo su inventario.</w:t>
      </w:r>
    </w:p>
    <w:p w14:paraId="4EA737AF" w14:textId="77777777" w:rsidR="005F1826" w:rsidRPr="005F1826" w:rsidRDefault="005F1826" w:rsidP="00E727BC">
      <w:pPr>
        <w:pStyle w:val="Prrafodelista"/>
        <w:numPr>
          <w:ilvl w:val="0"/>
          <w:numId w:val="19"/>
        </w:numPr>
        <w:rPr>
          <w:b/>
          <w:bCs/>
        </w:rPr>
      </w:pPr>
      <w:r w:rsidRPr="005F1826">
        <w:rPr>
          <w:b/>
          <w:bCs/>
        </w:rPr>
        <w:t>Rotación de cuentas por cobrar</w:t>
      </w:r>
    </w:p>
    <w:p w14:paraId="00100A4C" w14:textId="77777777" w:rsidR="005F1826" w:rsidRPr="005F1826" w:rsidRDefault="005F1826" w:rsidP="005F1826">
      <w:pPr>
        <w:pStyle w:val="Prrafodelista"/>
        <w:ind w:left="1429" w:firstLine="0"/>
        <w:rPr>
          <w:b/>
          <w:bCs/>
        </w:rPr>
      </w:pPr>
      <w:r w:rsidRPr="005F1826">
        <w:rPr>
          <w:b/>
          <w:bCs/>
        </w:rPr>
        <w:t>Fórmula</w:t>
      </w:r>
    </w:p>
    <w:p w14:paraId="0267B14C" w14:textId="0E75F58E" w:rsidR="005F1826" w:rsidRPr="005F1826" w:rsidRDefault="005F1826" w:rsidP="005F1826">
      <w:pPr>
        <w:pStyle w:val="Prrafodelista"/>
        <w:ind w:left="1429" w:firstLine="0"/>
      </w:pPr>
      <w:r w:rsidRPr="005F1826">
        <w:t>Rotación de Cuentas por Cobrar = Ventas Netas / Cuentas por Cobrar Promedio</w:t>
      </w:r>
    </w:p>
    <w:p w14:paraId="5F09601D" w14:textId="77777777" w:rsidR="005F1826" w:rsidRPr="005F1826" w:rsidRDefault="005F1826" w:rsidP="005F1826">
      <w:pPr>
        <w:pStyle w:val="Prrafodelista"/>
        <w:ind w:left="1429" w:firstLine="0"/>
        <w:rPr>
          <w:b/>
          <w:bCs/>
        </w:rPr>
      </w:pPr>
      <w:r w:rsidRPr="005F1826">
        <w:rPr>
          <w:b/>
          <w:bCs/>
        </w:rPr>
        <w:t>Ejemplo</w:t>
      </w:r>
    </w:p>
    <w:p w14:paraId="05B9262E" w14:textId="77777777" w:rsidR="005F1826" w:rsidRPr="005F1826" w:rsidRDefault="005F1826" w:rsidP="005F1826">
      <w:pPr>
        <w:pStyle w:val="Prrafodelista"/>
        <w:ind w:left="1429" w:firstLine="0"/>
      </w:pPr>
      <w:r w:rsidRPr="005F1826">
        <w:t>Ventas netas: $500.000.000</w:t>
      </w:r>
    </w:p>
    <w:p w14:paraId="2AFA545B" w14:textId="77777777" w:rsidR="005F1826" w:rsidRPr="005F1826" w:rsidRDefault="005F1826" w:rsidP="005F1826">
      <w:pPr>
        <w:pStyle w:val="Prrafodelista"/>
        <w:ind w:left="1429" w:firstLine="0"/>
      </w:pPr>
      <w:r w:rsidRPr="005F1826">
        <w:t>Cuentas por cobrar: $100.000.000</w:t>
      </w:r>
    </w:p>
    <w:p w14:paraId="6082EFE3" w14:textId="77777777" w:rsidR="005F1826" w:rsidRPr="005F1826" w:rsidRDefault="005F1826" w:rsidP="005F1826">
      <w:pPr>
        <w:pStyle w:val="Prrafodelista"/>
        <w:ind w:left="1429" w:firstLine="0"/>
      </w:pPr>
      <w:r w:rsidRPr="005F1826">
        <w:t>Rotación = 500.000.000 / 100.000.000 = 5 veces</w:t>
      </w:r>
    </w:p>
    <w:p w14:paraId="1A39C696" w14:textId="77777777" w:rsidR="005F1826" w:rsidRPr="005F1826" w:rsidRDefault="005F1826" w:rsidP="005F1826">
      <w:pPr>
        <w:pStyle w:val="Prrafodelista"/>
        <w:ind w:left="1429" w:firstLine="0"/>
        <w:rPr>
          <w:b/>
          <w:bCs/>
        </w:rPr>
      </w:pPr>
      <w:r w:rsidRPr="005F1826">
        <w:rPr>
          <w:b/>
          <w:bCs/>
        </w:rPr>
        <w:t>Interpretación</w:t>
      </w:r>
    </w:p>
    <w:p w14:paraId="35842A48" w14:textId="77777777" w:rsidR="005F1826" w:rsidRPr="005F1826" w:rsidRDefault="005F1826" w:rsidP="005F1826">
      <w:pPr>
        <w:pStyle w:val="Prrafodelista"/>
        <w:ind w:left="1429" w:firstLine="0"/>
      </w:pPr>
      <w:r w:rsidRPr="005F1826">
        <w:t>La empresa cobra sus cuentas 5 veces al año, o cada 72 días (360/5). Este dato es vital para medir la efectividad de la política de crédito y cobranza. Una rotación baja puede ser señal de una cartera vencida creciente o de clientes con plazos de pago muy largos, lo cual reduce la liquidez.</w:t>
      </w:r>
    </w:p>
    <w:p w14:paraId="2A56D211" w14:textId="77777777" w:rsidR="005F1826" w:rsidRPr="005F1826" w:rsidRDefault="005F1826" w:rsidP="005F1826">
      <w:pPr>
        <w:pStyle w:val="Prrafodelista"/>
        <w:ind w:left="1429" w:firstLine="0"/>
        <w:rPr>
          <w:lang w:eastAsia="es-CO"/>
        </w:rPr>
      </w:pPr>
      <w:r w:rsidRPr="005F1826">
        <w:t>Es fundamental comparar este indicador con las condiciones de crédito pactadas. Si se otorgan plazos de 30 días, pero la rotación es de 90, hay una falla en el recaudo</w:t>
      </w:r>
      <w:r w:rsidRPr="005F1826">
        <w:rPr>
          <w:lang w:eastAsia="es-CO"/>
        </w:rPr>
        <w:t>.</w:t>
      </w:r>
    </w:p>
    <w:p w14:paraId="119821AA" w14:textId="77777777" w:rsidR="001102E1" w:rsidRPr="001102E1" w:rsidRDefault="001102E1" w:rsidP="00E727BC">
      <w:pPr>
        <w:pStyle w:val="Prrafodelista"/>
        <w:numPr>
          <w:ilvl w:val="0"/>
          <w:numId w:val="19"/>
        </w:numPr>
        <w:rPr>
          <w:b/>
          <w:bCs/>
        </w:rPr>
      </w:pPr>
      <w:r w:rsidRPr="001102E1">
        <w:rPr>
          <w:b/>
          <w:bCs/>
        </w:rPr>
        <w:lastRenderedPageBreak/>
        <w:t>Rotación de cuentas por pagar</w:t>
      </w:r>
    </w:p>
    <w:p w14:paraId="145021B2" w14:textId="77777777" w:rsidR="001102E1" w:rsidRPr="001102E1" w:rsidRDefault="001102E1" w:rsidP="001102E1">
      <w:pPr>
        <w:pStyle w:val="Prrafodelista"/>
        <w:ind w:left="1429" w:firstLine="0"/>
        <w:rPr>
          <w:b/>
          <w:bCs/>
        </w:rPr>
      </w:pPr>
      <w:r w:rsidRPr="001102E1">
        <w:rPr>
          <w:b/>
          <w:bCs/>
        </w:rPr>
        <w:t>Fórmula</w:t>
      </w:r>
    </w:p>
    <w:p w14:paraId="61296036" w14:textId="77777777" w:rsidR="001102E1" w:rsidRPr="001102E1" w:rsidRDefault="001102E1" w:rsidP="001102E1">
      <w:pPr>
        <w:pStyle w:val="Prrafodelista"/>
        <w:ind w:left="1429" w:firstLine="0"/>
      </w:pPr>
      <w:r w:rsidRPr="001102E1">
        <w:t>Rotación de Cuentas por Pagar = Compras / Cuentas por Pagar Promedio</w:t>
      </w:r>
    </w:p>
    <w:p w14:paraId="0B5CDA73" w14:textId="77777777" w:rsidR="001102E1" w:rsidRPr="001102E1" w:rsidRDefault="001102E1" w:rsidP="001102E1">
      <w:pPr>
        <w:pStyle w:val="Prrafodelista"/>
        <w:ind w:left="1429" w:firstLine="0"/>
        <w:rPr>
          <w:b/>
          <w:bCs/>
        </w:rPr>
      </w:pPr>
      <w:r w:rsidRPr="001102E1">
        <w:rPr>
          <w:b/>
          <w:bCs/>
        </w:rPr>
        <w:t>Ejemplo</w:t>
      </w:r>
    </w:p>
    <w:p w14:paraId="043537A9" w14:textId="77777777" w:rsidR="001102E1" w:rsidRPr="001102E1" w:rsidRDefault="001102E1" w:rsidP="001102E1">
      <w:pPr>
        <w:pStyle w:val="Prrafodelista"/>
        <w:ind w:left="1429" w:firstLine="0"/>
      </w:pPr>
      <w:r w:rsidRPr="001102E1">
        <w:t>Compras por $240.000.000 y cuentas por pagar por $60.000.000</w:t>
      </w:r>
    </w:p>
    <w:p w14:paraId="08A5059F" w14:textId="77777777" w:rsidR="001102E1" w:rsidRPr="001102E1" w:rsidRDefault="001102E1" w:rsidP="001102E1">
      <w:pPr>
        <w:pStyle w:val="Prrafodelista"/>
        <w:ind w:left="1429" w:firstLine="0"/>
      </w:pPr>
      <w:r w:rsidRPr="001102E1">
        <w:t>Rotación = 240.000.000 / 60.000.000 = 4 veces</w:t>
      </w:r>
    </w:p>
    <w:p w14:paraId="3DD55338" w14:textId="77777777" w:rsidR="001102E1" w:rsidRPr="001102E1" w:rsidRDefault="001102E1" w:rsidP="001102E1">
      <w:pPr>
        <w:pStyle w:val="Prrafodelista"/>
        <w:ind w:left="1429" w:firstLine="0"/>
      </w:pPr>
      <w:r w:rsidRPr="001102E1">
        <w:t>Días promedio para pagar: 360 / 4 = 90 días</w:t>
      </w:r>
    </w:p>
    <w:p w14:paraId="3BE6567F" w14:textId="77777777" w:rsidR="001102E1" w:rsidRPr="001102E1" w:rsidRDefault="001102E1" w:rsidP="001102E1">
      <w:pPr>
        <w:pStyle w:val="Prrafodelista"/>
        <w:ind w:left="1429" w:firstLine="0"/>
        <w:rPr>
          <w:b/>
          <w:bCs/>
        </w:rPr>
      </w:pPr>
      <w:r w:rsidRPr="001102E1">
        <w:rPr>
          <w:b/>
          <w:bCs/>
        </w:rPr>
        <w:t>Interpretación</w:t>
      </w:r>
    </w:p>
    <w:p w14:paraId="0E912719" w14:textId="77777777" w:rsidR="001102E1" w:rsidRPr="001102E1" w:rsidRDefault="001102E1" w:rsidP="001102E1">
      <w:pPr>
        <w:pStyle w:val="Prrafodelista"/>
        <w:ind w:left="1429" w:firstLine="0"/>
      </w:pPr>
      <w:r w:rsidRPr="001102E1">
        <w:t>Este indicador revela cuántas veces al año la empresa paga a sus proveedores. Una rotación baja (más días para pagar) puede significar mayor liquidez a corto plazo, pero también podría afectar las relaciones comerciales si los plazos se extienden demasiado. Un equilibrio saludable es pagar dentro de los plazos negociados, sin afectar el flujo de caja ni la reputación empresarial.</w:t>
      </w:r>
    </w:p>
    <w:p w14:paraId="5149E1EB" w14:textId="77777777" w:rsidR="00051888" w:rsidRPr="00051888" w:rsidRDefault="00051888" w:rsidP="00E727BC">
      <w:pPr>
        <w:pStyle w:val="Prrafodelista"/>
        <w:numPr>
          <w:ilvl w:val="0"/>
          <w:numId w:val="19"/>
        </w:numPr>
        <w:rPr>
          <w:b/>
          <w:bCs/>
        </w:rPr>
      </w:pPr>
      <w:r w:rsidRPr="00051888">
        <w:rPr>
          <w:b/>
          <w:bCs/>
        </w:rPr>
        <w:t>Ciclo de Conversión de Efectivo (CCE)</w:t>
      </w:r>
    </w:p>
    <w:p w14:paraId="1A6CDE8C" w14:textId="77777777" w:rsidR="00051888" w:rsidRPr="00051888" w:rsidRDefault="00051888" w:rsidP="00051888">
      <w:pPr>
        <w:pStyle w:val="Prrafodelista"/>
        <w:ind w:left="1429" w:firstLine="0"/>
        <w:rPr>
          <w:b/>
          <w:bCs/>
        </w:rPr>
      </w:pPr>
      <w:r w:rsidRPr="00051888">
        <w:rPr>
          <w:b/>
          <w:bCs/>
        </w:rPr>
        <w:t>Fórmula</w:t>
      </w:r>
    </w:p>
    <w:p w14:paraId="5DA26318" w14:textId="77777777" w:rsidR="00051888" w:rsidRPr="00051888" w:rsidRDefault="00051888" w:rsidP="00051888">
      <w:pPr>
        <w:pStyle w:val="Prrafodelista"/>
        <w:ind w:left="1429" w:firstLine="0"/>
      </w:pPr>
      <w:r w:rsidRPr="00051888">
        <w:t>CCE = Días de inventario + Días de cuentas por cobrar - Días de cuentas por pagar</w:t>
      </w:r>
    </w:p>
    <w:p w14:paraId="39C07F70" w14:textId="77777777" w:rsidR="00051888" w:rsidRPr="00051888" w:rsidRDefault="00051888" w:rsidP="00051888">
      <w:pPr>
        <w:pStyle w:val="Prrafodelista"/>
        <w:ind w:left="1429" w:firstLine="0"/>
        <w:rPr>
          <w:b/>
          <w:bCs/>
        </w:rPr>
      </w:pPr>
      <w:r w:rsidRPr="00051888">
        <w:rPr>
          <w:b/>
          <w:bCs/>
        </w:rPr>
        <w:t>Ejemplo</w:t>
      </w:r>
    </w:p>
    <w:p w14:paraId="28E5BEDC" w14:textId="5B1972ED" w:rsidR="00051888" w:rsidRPr="00051888" w:rsidRDefault="00051888" w:rsidP="00051888">
      <w:pPr>
        <w:pStyle w:val="Prrafodelista"/>
        <w:ind w:left="1429" w:firstLine="0"/>
      </w:pPr>
      <w:r w:rsidRPr="00051888">
        <w:t>Días de inventario: 90 días</w:t>
      </w:r>
      <w:r>
        <w:t>.</w:t>
      </w:r>
    </w:p>
    <w:p w14:paraId="10D7C93A" w14:textId="42E2F1C7" w:rsidR="00051888" w:rsidRPr="00051888" w:rsidRDefault="00051888" w:rsidP="00051888">
      <w:pPr>
        <w:pStyle w:val="Prrafodelista"/>
        <w:ind w:left="1429" w:firstLine="0"/>
      </w:pPr>
      <w:r w:rsidRPr="00051888">
        <w:t>Días de cartera (por cobrar):72 días</w:t>
      </w:r>
      <w:r>
        <w:t>.</w:t>
      </w:r>
    </w:p>
    <w:p w14:paraId="414F7E9A" w14:textId="23D1A572" w:rsidR="00051888" w:rsidRPr="00051888" w:rsidRDefault="00051888" w:rsidP="00051888">
      <w:pPr>
        <w:pStyle w:val="Prrafodelista"/>
        <w:ind w:left="1429" w:firstLine="0"/>
      </w:pPr>
      <w:r w:rsidRPr="00051888">
        <w:t>Días de cuentas por pagar: 60 días</w:t>
      </w:r>
      <w:r>
        <w:t>.</w:t>
      </w:r>
    </w:p>
    <w:p w14:paraId="21B8AD31" w14:textId="3CC4DA42" w:rsidR="00051888" w:rsidRPr="00051888" w:rsidRDefault="00051888" w:rsidP="00051888">
      <w:pPr>
        <w:pStyle w:val="Prrafodelista"/>
        <w:ind w:left="1429" w:firstLine="0"/>
      </w:pPr>
      <w:r w:rsidRPr="00051888">
        <w:t>CCE = 90 + 72 - 60 = 102 días</w:t>
      </w:r>
      <w:r>
        <w:t>.</w:t>
      </w:r>
    </w:p>
    <w:p w14:paraId="7BB2A01A" w14:textId="77777777" w:rsidR="00051888" w:rsidRDefault="00051888" w:rsidP="00051888">
      <w:pPr>
        <w:pStyle w:val="Prrafodelista"/>
        <w:ind w:left="1429" w:firstLine="0"/>
        <w:rPr>
          <w:b/>
          <w:bCs/>
        </w:rPr>
      </w:pPr>
    </w:p>
    <w:p w14:paraId="50E30BD8" w14:textId="77777777" w:rsidR="00051888" w:rsidRDefault="00051888" w:rsidP="00051888">
      <w:pPr>
        <w:pStyle w:val="Prrafodelista"/>
        <w:ind w:left="1429" w:firstLine="0"/>
        <w:rPr>
          <w:b/>
          <w:bCs/>
        </w:rPr>
      </w:pPr>
    </w:p>
    <w:p w14:paraId="44D90312" w14:textId="0EB5008E" w:rsidR="00051888" w:rsidRPr="00051888" w:rsidRDefault="00051888" w:rsidP="00051888">
      <w:pPr>
        <w:pStyle w:val="Prrafodelista"/>
        <w:ind w:left="1429" w:firstLine="0"/>
        <w:rPr>
          <w:b/>
          <w:bCs/>
        </w:rPr>
      </w:pPr>
      <w:r w:rsidRPr="00051888">
        <w:rPr>
          <w:b/>
          <w:bCs/>
        </w:rPr>
        <w:lastRenderedPageBreak/>
        <w:t>Interpretación</w:t>
      </w:r>
    </w:p>
    <w:p w14:paraId="765D0BD4" w14:textId="77777777" w:rsidR="002B3DE5" w:rsidRDefault="00051888" w:rsidP="00051888">
      <w:pPr>
        <w:pStyle w:val="Prrafodelista"/>
        <w:ind w:left="1429" w:firstLine="0"/>
      </w:pPr>
      <w:r w:rsidRPr="00051888">
        <w:t xml:space="preserve">El CCE de 102 días indica que la empresa necesita financiar con recursos propios o externos su operación durante ese periodo, desde que invierte </w:t>
      </w:r>
    </w:p>
    <w:p w14:paraId="5457B450" w14:textId="7A8A3932" w:rsidR="00051888" w:rsidRPr="00051888" w:rsidRDefault="00051888" w:rsidP="00051888">
      <w:pPr>
        <w:pStyle w:val="Prrafodelista"/>
        <w:ind w:left="1429" w:firstLine="0"/>
      </w:pPr>
      <w:r w:rsidRPr="00051888">
        <w:t>en inventario hasta que cobra a los clientes, descontando el tiempo que se tarda en pagar a proveedores</w:t>
      </w:r>
    </w:p>
    <w:p w14:paraId="43AD34AF" w14:textId="77777777" w:rsidR="00051888" w:rsidRPr="00051888" w:rsidRDefault="00051888" w:rsidP="00051888">
      <w:pPr>
        <w:pStyle w:val="Prrafodelista"/>
        <w:ind w:left="1429" w:firstLine="0"/>
      </w:pPr>
      <w:r w:rsidRPr="00051888">
        <w:t>Un CCE alto puede generar presión sobre la liquidez, mientras que un CCE más corto o incluso negativo (como sucede en algunos modelos de </w:t>
      </w:r>
      <w:proofErr w:type="spellStart"/>
      <w:r w:rsidRPr="00691A49">
        <w:rPr>
          <w:rStyle w:val="Extranjerismo"/>
          <w:lang w:val="es-CO"/>
        </w:rPr>
        <w:t>retail</w:t>
      </w:r>
      <w:proofErr w:type="spellEnd"/>
      <w:r w:rsidRPr="00051888">
        <w:t>) mejora el flujo de caja operativo.</w:t>
      </w:r>
    </w:p>
    <w:p w14:paraId="63D0FE9E" w14:textId="77777777" w:rsidR="00CC66EC" w:rsidRPr="00CC66EC" w:rsidRDefault="00CC66EC" w:rsidP="00CC66EC">
      <w:pPr>
        <w:pStyle w:val="Ttulo7"/>
      </w:pPr>
      <w:r w:rsidRPr="00CC66EC">
        <w:t>Evaluación de la eficiencia operativa</w:t>
      </w:r>
    </w:p>
    <w:p w14:paraId="63C4EAFB" w14:textId="77777777" w:rsidR="00CC66EC" w:rsidRPr="00CC66EC" w:rsidRDefault="00CC66EC" w:rsidP="00CC66EC">
      <w:r w:rsidRPr="00CC66EC">
        <w:t>El Ciclo de Conversión de Efectivo (CCE) es una herramienta clave para medir la eficiencia de la gestión financiera-operativa de una empresa. Cuanto más corto sea este ciclo, más rápido se recupera el efectivo invertido en el proceso productivo y comercial. Es decir, un CCE reducido indica que la empresa convierte sus inversiones en inventarios y cuentas por cobrar en dinero líquido en menos tiempo, lo cual fortalece su liquidez, reduce su dependencia del crédito y mejora su capacidad para operar con recursos propios.</w:t>
      </w:r>
    </w:p>
    <w:p w14:paraId="4B94F15C" w14:textId="77777777" w:rsidR="00CC66EC" w:rsidRPr="00CC66EC" w:rsidRDefault="00CC66EC" w:rsidP="00CC66EC">
      <w:r w:rsidRPr="00CC66EC">
        <w:t>Cuando una organización logra acortar su CCE, puede disponer más rápidamente de recursos para cubrir sus necesidades operativas, pagar a proveedores, invertir en nuevos proyectos o responder a oportunidades del mercado. Esta eficiencia en la gestión del capital de trabajo también le permite disminuir los costos financieros, al reducir su necesidad de endeudamiento o de uso de líneas de crédito para cubrir déficits temporales de caja.</w:t>
      </w:r>
    </w:p>
    <w:p w14:paraId="7754D1A9" w14:textId="77777777" w:rsidR="00CC66EC" w:rsidRPr="00CC66EC" w:rsidRDefault="00CC66EC" w:rsidP="00CC66EC">
      <w:r w:rsidRPr="00CC66EC">
        <w:lastRenderedPageBreak/>
        <w:t>Por ejemplo, si una empresa logra negociar mejores plazos con sus proveedores (aumentando los días de cuentas por pagar), mejorar sus procesos de cobro (reduciendo los días de cartera), y mantener una rotación saludable de inventarios, puede lograr un CCE cercano a cero o incluso negativo. Esto significa que recibe el efectivo de las ventas antes de tener que pagar a sus proveedores, lo que representa una ventaja competitiva importante en términos de flujo de caja.</w:t>
      </w:r>
    </w:p>
    <w:p w14:paraId="0BFC37AF" w14:textId="77777777" w:rsidR="00CC66EC" w:rsidRPr="00CC66EC" w:rsidRDefault="00CC66EC" w:rsidP="00CC66EC">
      <w:r w:rsidRPr="00CC66EC">
        <w:t xml:space="preserve">Sin embargo, esta búsqueda de eficiencia, también debe ser cautelosa y estratégica. Un CCE demasiado corto o basado en políticas agresivas puede convertirse en un riesgo. Por ejemplo, presionar excesivamente a los clientes para que paguen antes de tiempo puede afectar las relaciones comerciales o reducir las ventas, si los plazos no son competitivos frente al mercado. De igual manera, mantener niveles de inventario demasiado bajos para agilizar la rotación puede provocar quiebres de </w:t>
      </w:r>
      <w:r w:rsidRPr="00507669">
        <w:rPr>
          <w:rStyle w:val="Extranjerismo"/>
          <w:lang w:val="es-CO"/>
        </w:rPr>
        <w:t>stock</w:t>
      </w:r>
      <w:r w:rsidRPr="00CC66EC">
        <w:t>, afectando la capacidad de respuesta ante aumentos inesperados en la demanda o interrupciones en la cadena de suministro.</w:t>
      </w:r>
    </w:p>
    <w:p w14:paraId="3982DB35" w14:textId="77777777" w:rsidR="00CC66EC" w:rsidRPr="00CC66EC" w:rsidRDefault="00CC66EC" w:rsidP="00CC66EC">
      <w:r w:rsidRPr="00CC66EC">
        <w:t>En este sentido, la gestión del ciclo de conversión de efectivo no debe enfocarse únicamente en la velocidad, sino también en la flexibilidad, resiliencia y sostenibilidad. Se trata de encontrar el equilibrio ideal entre liquidez, rentabilidad y servicio al cliente, ajustando los indicadores a las características específicas del modelo de negocio. Por ejemplo, una empresa de distribución masiva tendrá un enfoque distinto al de una empresa industrial con ciclos largos de producción.</w:t>
      </w:r>
    </w:p>
    <w:p w14:paraId="6C204483" w14:textId="77777777" w:rsidR="00CC66EC" w:rsidRPr="00CC66EC" w:rsidRDefault="00CC66EC" w:rsidP="00CC66EC">
      <w:r w:rsidRPr="00CC66EC">
        <w:t xml:space="preserve">Según Ortiz (2011), el análisis de la eficiencia operativa, incluyendo el CCE, debe realizarse como parte de una visión integral de la salud financiera de la empresa, en conjunto con indicadores de rentabilidad, endeudamiento y liquidez. Solo así se puede entender verdaderamente cómo interactúan las decisiones operativas con la capacidad </w:t>
      </w:r>
      <w:r w:rsidRPr="00CC66EC">
        <w:lastRenderedPageBreak/>
        <w:t>financiera de la organización y tomar decisiones informadas que contribuyan al crecimiento sostenible del negocio.</w:t>
      </w:r>
    </w:p>
    <w:p w14:paraId="2CF141A3" w14:textId="19495B6D" w:rsidR="00CC66EC" w:rsidRPr="00CC66EC" w:rsidRDefault="00CC66EC" w:rsidP="00D56AE2">
      <w:pPr>
        <w:pStyle w:val="Sangradetextonormal"/>
      </w:pPr>
      <w:r w:rsidRPr="00CC66EC">
        <w:t>En conclusión, un ciclo de conversión de efectivo más corto es deseable, pero no a cualquier costo. La eficiencia real radica en lograr una rotación equilibrada de los activos operativos, que permita sostener la operación con solidez financiera, capacidad de respuesta y enfoque estratégico.</w:t>
      </w:r>
    </w:p>
    <w:p w14:paraId="3CA3678C" w14:textId="77777777" w:rsidR="00D56AE2" w:rsidRPr="00D56AE2" w:rsidRDefault="00D56AE2" w:rsidP="00D56AE2">
      <w:pPr>
        <w:pStyle w:val="Ttulo8"/>
      </w:pPr>
      <w:r w:rsidRPr="00D56AE2">
        <w:t>Reflexiones de los indicadores de actividad</w:t>
      </w:r>
    </w:p>
    <w:p w14:paraId="63C84A43" w14:textId="77777777" w:rsidR="00D56AE2" w:rsidRPr="00D56AE2" w:rsidRDefault="00D56AE2" w:rsidP="00D56AE2">
      <w:r w:rsidRPr="00D56AE2">
        <w:t>Los indicadores de actividad, permiten evaluar con precisión la eficiencia operativa de una empresa en el manejo de sus recursos clave:</w:t>
      </w:r>
    </w:p>
    <w:p w14:paraId="476B0A00" w14:textId="77777777" w:rsidR="00D56AE2" w:rsidRPr="00D56AE2" w:rsidRDefault="00D56AE2" w:rsidP="00D56AE2">
      <w:pPr>
        <w:pStyle w:val="Ttulo8"/>
      </w:pPr>
      <w:r w:rsidRPr="00D56AE2">
        <w:t>Inventarios</w:t>
      </w:r>
    </w:p>
    <w:p w14:paraId="66E7F3DC" w14:textId="77777777" w:rsidR="00D56AE2" w:rsidRPr="00D56AE2" w:rsidRDefault="00D56AE2" w:rsidP="00D56AE2">
      <w:pPr>
        <w:pStyle w:val="Ttulo8"/>
      </w:pPr>
      <w:r w:rsidRPr="00D56AE2">
        <w:t>Cuentas por cobrar</w:t>
      </w:r>
    </w:p>
    <w:p w14:paraId="248F8682" w14:textId="77777777" w:rsidR="00D56AE2" w:rsidRPr="00D56AE2" w:rsidRDefault="00D56AE2" w:rsidP="00D56AE2">
      <w:pPr>
        <w:pStyle w:val="Ttulo8"/>
      </w:pPr>
      <w:r w:rsidRPr="00D56AE2">
        <w:t>Cuentas por pagar</w:t>
      </w:r>
    </w:p>
    <w:p w14:paraId="3127E266" w14:textId="77777777" w:rsidR="00D56AE2" w:rsidRPr="00D56AE2" w:rsidRDefault="00D56AE2" w:rsidP="00D56AE2">
      <w:r w:rsidRPr="00D56AE2">
        <w:t>A través del análisis de la rotación de estos activos y pasivos, así como del cálculo del ciclo de conversión de efectivo, es posible determinar cuánto tiempo tarda la empresa en recuperar el dinero invertido en su operación. Un buen desempeño en estos indicadores refleja agilidad en los procesos internos, adecuada gestión del capital de trabajo y capacidad para generar flujo de caja sin recurrir a endeudamiento excesivo.</w:t>
      </w:r>
    </w:p>
    <w:p w14:paraId="62252D3B" w14:textId="77777777" w:rsidR="00D56AE2" w:rsidRPr="00D56AE2" w:rsidRDefault="00D56AE2" w:rsidP="00D56AE2">
      <w:r w:rsidRPr="00D56AE2">
        <w:t xml:space="preserve">Sin embargo, la eficiencia no debe interpretarse solo como rapidez. Una rotación demasiado alta o un ciclo demasiado corto pueden implicar riesgos si no están alineados con la realidad del negocio, el comportamiento del mercado o las condiciones comerciales. Por eso, los indicadores de actividad deben analizarse de forma integral, </w:t>
      </w:r>
      <w:r w:rsidRPr="00D56AE2">
        <w:lastRenderedPageBreak/>
        <w:t>complementándose con datos de liquidez, endeudamiento y rentabilidad, y considerando las características específicas de la empresa. Solo así pueden convertirse en una herramienta útil para la toma de decisiones estratégicas y para garantizar una gestión financiera sostenible.</w:t>
      </w:r>
    </w:p>
    <w:p w14:paraId="7C15D2C5" w14:textId="77777777" w:rsidR="003F387A" w:rsidRPr="003F387A" w:rsidRDefault="003F387A" w:rsidP="003F387A">
      <w:pPr>
        <w:pStyle w:val="Ttulo2"/>
      </w:pPr>
      <w:bookmarkStart w:id="9" w:name="_Toc201665093"/>
      <w:r w:rsidRPr="003F387A">
        <w:t>1.4 Indicadores de rentabilidad</w:t>
      </w:r>
      <w:bookmarkEnd w:id="9"/>
    </w:p>
    <w:p w14:paraId="00F98525" w14:textId="77777777" w:rsidR="003F387A" w:rsidRPr="003F387A" w:rsidRDefault="003F387A" w:rsidP="003F387A">
      <w:r w:rsidRPr="003F387A">
        <w:t>Estos indicadores miden la capacidad de una empresa para generar utilidades con base en sus ventas, activos o patrimonio. Son esenciales para evaluar si el negocio está siendo eficiente en la generación de valor económico y si la estrategia financiera y operativa está dando resultados. Según Ortiz (2011), la rentabilidad no debe verse solo como “ganancia”, sino como el reflejo del desempeño gerencial y del buen uso de los recursos disponibles.</w:t>
      </w:r>
    </w:p>
    <w:p w14:paraId="7F758B1E" w14:textId="77777777" w:rsidR="003F387A" w:rsidRPr="003F387A" w:rsidRDefault="003F387A" w:rsidP="003F387A">
      <w:r w:rsidRPr="003F387A">
        <w:t>Así como los indicadores previamente explicados, estos indicadores de rentabilidad, también tienen procesos que se representan mediante fórmulas y ejemplos reales, de acuerdo a su respectiva interpretación:</w:t>
      </w:r>
    </w:p>
    <w:p w14:paraId="1A1D9DED" w14:textId="77777777" w:rsidR="003F387A" w:rsidRPr="003F387A" w:rsidRDefault="003F387A" w:rsidP="00E727BC">
      <w:pPr>
        <w:pStyle w:val="Prrafodelista"/>
        <w:numPr>
          <w:ilvl w:val="0"/>
          <w:numId w:val="20"/>
        </w:numPr>
        <w:rPr>
          <w:b/>
          <w:bCs/>
        </w:rPr>
      </w:pPr>
      <w:r w:rsidRPr="003F387A">
        <w:rPr>
          <w:b/>
          <w:bCs/>
        </w:rPr>
        <w:t>Margen de utilidad bruta</w:t>
      </w:r>
    </w:p>
    <w:p w14:paraId="7D40424B" w14:textId="77777777" w:rsidR="003F387A" w:rsidRPr="003F387A" w:rsidRDefault="003F387A" w:rsidP="003F387A">
      <w:pPr>
        <w:pStyle w:val="Prrafodelista"/>
        <w:ind w:left="1429" w:firstLine="0"/>
        <w:rPr>
          <w:b/>
          <w:bCs/>
        </w:rPr>
      </w:pPr>
      <w:r w:rsidRPr="003F387A">
        <w:rPr>
          <w:b/>
          <w:bCs/>
        </w:rPr>
        <w:t>Fórmula</w:t>
      </w:r>
    </w:p>
    <w:p w14:paraId="253C361A" w14:textId="77777777" w:rsidR="003F387A" w:rsidRPr="003F387A" w:rsidRDefault="003F387A" w:rsidP="003F387A">
      <w:pPr>
        <w:pStyle w:val="Prrafodelista"/>
        <w:ind w:left="1429" w:firstLine="0"/>
        <w:jc w:val="center"/>
      </w:pPr>
      <w:r w:rsidRPr="003F387A">
        <w:t>Margen Bruto = (Ventas - Costo de Ventas) / Ventas</w:t>
      </w:r>
    </w:p>
    <w:p w14:paraId="11F44ADB" w14:textId="77777777" w:rsidR="003F387A" w:rsidRPr="003F387A" w:rsidRDefault="003F387A" w:rsidP="003F387A">
      <w:pPr>
        <w:pStyle w:val="Prrafodelista"/>
        <w:ind w:left="1429" w:firstLine="0"/>
        <w:rPr>
          <w:b/>
          <w:bCs/>
        </w:rPr>
      </w:pPr>
      <w:r w:rsidRPr="003F387A">
        <w:rPr>
          <w:b/>
          <w:bCs/>
        </w:rPr>
        <w:t>Ejemplo</w:t>
      </w:r>
    </w:p>
    <w:p w14:paraId="63E86B01" w14:textId="77777777" w:rsidR="003F387A" w:rsidRPr="003F387A" w:rsidRDefault="003F387A" w:rsidP="003F387A">
      <w:pPr>
        <w:pStyle w:val="Prrafodelista"/>
        <w:ind w:left="1429" w:firstLine="0"/>
      </w:pPr>
      <w:r w:rsidRPr="003F387A">
        <w:t>Ventas: $500.000.000</w:t>
      </w:r>
    </w:p>
    <w:p w14:paraId="665DEF16" w14:textId="77777777" w:rsidR="003F387A" w:rsidRPr="003F387A" w:rsidRDefault="003F387A" w:rsidP="003F387A">
      <w:pPr>
        <w:pStyle w:val="Prrafodelista"/>
        <w:ind w:left="1429" w:firstLine="0"/>
      </w:pPr>
      <w:r w:rsidRPr="003F387A">
        <w:t>Costo de ventas: $300.000.000</w:t>
      </w:r>
    </w:p>
    <w:p w14:paraId="3CAA0425" w14:textId="77777777" w:rsidR="003F387A" w:rsidRPr="003F387A" w:rsidRDefault="003F387A" w:rsidP="003F387A">
      <w:pPr>
        <w:pStyle w:val="Prrafodelista"/>
        <w:ind w:left="1429" w:firstLine="0"/>
      </w:pPr>
      <w:r w:rsidRPr="003F387A">
        <w:t>Margen Bruto = (500.000.000 - 300.000.000) / 500.000.000 = 0,40 o 40 %</w:t>
      </w:r>
    </w:p>
    <w:p w14:paraId="616DE185" w14:textId="77777777" w:rsidR="003F387A" w:rsidRPr="003F387A" w:rsidRDefault="003F387A" w:rsidP="003F387A">
      <w:pPr>
        <w:pStyle w:val="Prrafodelista"/>
        <w:ind w:left="1429" w:firstLine="0"/>
        <w:rPr>
          <w:b/>
          <w:bCs/>
        </w:rPr>
      </w:pPr>
      <w:r w:rsidRPr="003F387A">
        <w:rPr>
          <w:b/>
          <w:bCs/>
        </w:rPr>
        <w:t>Interpretación</w:t>
      </w:r>
    </w:p>
    <w:p w14:paraId="4F71A29A" w14:textId="77777777" w:rsidR="003F387A" w:rsidRPr="003F387A" w:rsidRDefault="003F387A" w:rsidP="003F387A">
      <w:pPr>
        <w:pStyle w:val="Prrafodelista"/>
        <w:ind w:left="1429" w:firstLine="0"/>
      </w:pPr>
      <w:r w:rsidRPr="003F387A">
        <w:lastRenderedPageBreak/>
        <w:t>Indica que, por cada peso vendido, la empresa obtiene 40 centavos después de cubrir el costo directo de los productos o servicios. Es un indicador clave en la gestión de precios, costos y abastecimiento.</w:t>
      </w:r>
    </w:p>
    <w:p w14:paraId="317AA4FD" w14:textId="77777777" w:rsidR="00B579F5" w:rsidRPr="00B579F5" w:rsidRDefault="00B579F5" w:rsidP="00E727BC">
      <w:pPr>
        <w:pStyle w:val="Prrafodelista"/>
        <w:numPr>
          <w:ilvl w:val="0"/>
          <w:numId w:val="20"/>
        </w:numPr>
        <w:rPr>
          <w:b/>
          <w:bCs/>
        </w:rPr>
      </w:pPr>
      <w:r w:rsidRPr="00B579F5">
        <w:rPr>
          <w:b/>
          <w:bCs/>
        </w:rPr>
        <w:t>Margen de utilidad operativa</w:t>
      </w:r>
    </w:p>
    <w:p w14:paraId="49183FC6" w14:textId="77777777" w:rsidR="00B579F5" w:rsidRPr="00B579F5" w:rsidRDefault="00B579F5" w:rsidP="00B579F5">
      <w:pPr>
        <w:pStyle w:val="Prrafodelista"/>
        <w:ind w:left="1429" w:firstLine="0"/>
        <w:rPr>
          <w:b/>
          <w:bCs/>
        </w:rPr>
      </w:pPr>
      <w:r w:rsidRPr="00B579F5">
        <w:rPr>
          <w:b/>
          <w:bCs/>
        </w:rPr>
        <w:t>Fórmula</w:t>
      </w:r>
    </w:p>
    <w:p w14:paraId="42535BCE" w14:textId="77777777" w:rsidR="00B579F5" w:rsidRPr="00B579F5" w:rsidRDefault="00B579F5" w:rsidP="00B579F5">
      <w:pPr>
        <w:pStyle w:val="Prrafodelista"/>
        <w:ind w:left="1429" w:firstLine="0"/>
        <w:jc w:val="center"/>
      </w:pPr>
      <w:r w:rsidRPr="00B579F5">
        <w:t>Margen Operativo = Utilidad Operativa / Ventas</w:t>
      </w:r>
    </w:p>
    <w:p w14:paraId="12F5D59D" w14:textId="77777777" w:rsidR="00B579F5" w:rsidRPr="00B579F5" w:rsidRDefault="00B579F5" w:rsidP="00B579F5">
      <w:pPr>
        <w:pStyle w:val="Prrafodelista"/>
        <w:ind w:left="1429" w:firstLine="0"/>
        <w:rPr>
          <w:b/>
          <w:bCs/>
        </w:rPr>
      </w:pPr>
      <w:r w:rsidRPr="00B579F5">
        <w:rPr>
          <w:b/>
          <w:bCs/>
        </w:rPr>
        <w:t>Ejemplo</w:t>
      </w:r>
    </w:p>
    <w:p w14:paraId="7C10B176" w14:textId="77777777" w:rsidR="00B579F5" w:rsidRPr="00B579F5" w:rsidRDefault="00B579F5" w:rsidP="00B579F5">
      <w:pPr>
        <w:pStyle w:val="Prrafodelista"/>
        <w:ind w:left="1429" w:firstLine="0"/>
      </w:pPr>
      <w:r w:rsidRPr="00B579F5">
        <w:t>Utilidad operativa = $80.000.000</w:t>
      </w:r>
    </w:p>
    <w:p w14:paraId="2774FC5F" w14:textId="77777777" w:rsidR="00B579F5" w:rsidRPr="00B579F5" w:rsidRDefault="00B579F5" w:rsidP="00B579F5">
      <w:pPr>
        <w:pStyle w:val="Prrafodelista"/>
        <w:ind w:left="1429" w:firstLine="0"/>
      </w:pPr>
      <w:r w:rsidRPr="00B579F5">
        <w:t>Ventas = $500.000.000</w:t>
      </w:r>
    </w:p>
    <w:p w14:paraId="4E028FC5" w14:textId="77777777" w:rsidR="00B579F5" w:rsidRPr="00B579F5" w:rsidRDefault="00B579F5" w:rsidP="00B579F5">
      <w:pPr>
        <w:pStyle w:val="Prrafodelista"/>
        <w:ind w:left="1429" w:firstLine="0"/>
      </w:pPr>
      <w:r w:rsidRPr="00B579F5">
        <w:t>Margen Operativo = 80.000.000 / 500.000.000 = 16 %</w:t>
      </w:r>
    </w:p>
    <w:p w14:paraId="53524870" w14:textId="77777777" w:rsidR="00B579F5" w:rsidRPr="00B579F5" w:rsidRDefault="00B579F5" w:rsidP="00B579F5">
      <w:pPr>
        <w:pStyle w:val="Prrafodelista"/>
        <w:ind w:left="1429" w:firstLine="0"/>
        <w:rPr>
          <w:b/>
          <w:bCs/>
        </w:rPr>
      </w:pPr>
      <w:r w:rsidRPr="00B579F5">
        <w:rPr>
          <w:b/>
          <w:bCs/>
        </w:rPr>
        <w:t>Interpretación</w:t>
      </w:r>
    </w:p>
    <w:p w14:paraId="16B1E2A8" w14:textId="77777777" w:rsidR="00B579F5" w:rsidRPr="00B579F5" w:rsidRDefault="00B579F5" w:rsidP="00B579F5">
      <w:pPr>
        <w:pStyle w:val="Prrafodelista"/>
        <w:ind w:left="1429" w:firstLine="0"/>
      </w:pPr>
      <w:r w:rsidRPr="00B579F5">
        <w:t>Mide la eficiencia en la operación del negocio, excluyendo factores financieros y fiscales. Un margen alto indica buen control de gastos administrativos y operacionales.</w:t>
      </w:r>
    </w:p>
    <w:p w14:paraId="4C8B7BE0" w14:textId="77777777" w:rsidR="0091348C" w:rsidRPr="006E4848" w:rsidRDefault="0091348C" w:rsidP="00E727BC">
      <w:pPr>
        <w:pStyle w:val="Prrafodelista"/>
        <w:numPr>
          <w:ilvl w:val="0"/>
          <w:numId w:val="20"/>
        </w:numPr>
        <w:rPr>
          <w:b/>
          <w:bCs/>
        </w:rPr>
      </w:pPr>
      <w:r w:rsidRPr="006E4848">
        <w:rPr>
          <w:b/>
          <w:bCs/>
        </w:rPr>
        <w:t>Margen de utilidad neta</w:t>
      </w:r>
    </w:p>
    <w:p w14:paraId="1E1C1712" w14:textId="77777777" w:rsidR="0091348C" w:rsidRPr="0091348C" w:rsidRDefault="0091348C" w:rsidP="0091348C">
      <w:pPr>
        <w:pStyle w:val="Prrafodelista"/>
        <w:ind w:left="1429" w:firstLine="0"/>
        <w:rPr>
          <w:b/>
          <w:bCs/>
        </w:rPr>
      </w:pPr>
      <w:r w:rsidRPr="0091348C">
        <w:rPr>
          <w:b/>
          <w:bCs/>
        </w:rPr>
        <w:t>Fórmula</w:t>
      </w:r>
    </w:p>
    <w:p w14:paraId="36ADC716" w14:textId="77777777" w:rsidR="0091348C" w:rsidRPr="0091348C" w:rsidRDefault="0091348C" w:rsidP="0091348C">
      <w:pPr>
        <w:pStyle w:val="Prrafodelista"/>
        <w:ind w:left="1429" w:firstLine="0"/>
        <w:jc w:val="center"/>
      </w:pPr>
      <w:r w:rsidRPr="0091348C">
        <w:t>Margen Neto = Utilidad Neta / Ventas Netas</w:t>
      </w:r>
    </w:p>
    <w:p w14:paraId="43BB5DA6" w14:textId="77777777" w:rsidR="0091348C" w:rsidRPr="0091348C" w:rsidRDefault="0091348C" w:rsidP="0091348C">
      <w:pPr>
        <w:pStyle w:val="Prrafodelista"/>
        <w:ind w:left="1429" w:firstLine="0"/>
        <w:rPr>
          <w:b/>
          <w:bCs/>
        </w:rPr>
      </w:pPr>
      <w:r w:rsidRPr="0091348C">
        <w:rPr>
          <w:b/>
          <w:bCs/>
        </w:rPr>
        <w:t>Ejemplo</w:t>
      </w:r>
    </w:p>
    <w:p w14:paraId="06048E29" w14:textId="77777777" w:rsidR="0091348C" w:rsidRPr="0091348C" w:rsidRDefault="0091348C" w:rsidP="0091348C">
      <w:pPr>
        <w:pStyle w:val="Prrafodelista"/>
        <w:ind w:left="1429" w:firstLine="0"/>
      </w:pPr>
      <w:r w:rsidRPr="0091348C">
        <w:t>Utilidad neta = $50.000.000</w:t>
      </w:r>
    </w:p>
    <w:p w14:paraId="77CE8119" w14:textId="77777777" w:rsidR="0091348C" w:rsidRPr="0091348C" w:rsidRDefault="0091348C" w:rsidP="0091348C">
      <w:pPr>
        <w:pStyle w:val="Prrafodelista"/>
        <w:ind w:left="1429" w:firstLine="0"/>
      </w:pPr>
      <w:r w:rsidRPr="0091348C">
        <w:t>Ventas netas = $500.000.000</w:t>
      </w:r>
    </w:p>
    <w:p w14:paraId="483BA3DA" w14:textId="77777777" w:rsidR="0091348C" w:rsidRPr="0091348C" w:rsidRDefault="0091348C" w:rsidP="0091348C">
      <w:pPr>
        <w:pStyle w:val="Prrafodelista"/>
        <w:ind w:left="1429" w:firstLine="0"/>
      </w:pPr>
      <w:r w:rsidRPr="0091348C">
        <w:t>Margen Neto = 50.000.000 / 500.000.000 = 10 %</w:t>
      </w:r>
    </w:p>
    <w:p w14:paraId="3309C121" w14:textId="77777777" w:rsidR="0091348C" w:rsidRPr="0091348C" w:rsidRDefault="0091348C" w:rsidP="0091348C">
      <w:pPr>
        <w:pStyle w:val="Prrafodelista"/>
        <w:ind w:left="1429" w:firstLine="0"/>
        <w:rPr>
          <w:b/>
          <w:bCs/>
        </w:rPr>
      </w:pPr>
      <w:r w:rsidRPr="0091348C">
        <w:rPr>
          <w:b/>
          <w:bCs/>
        </w:rPr>
        <w:t>Interpretación</w:t>
      </w:r>
    </w:p>
    <w:p w14:paraId="1842EE26" w14:textId="77777777" w:rsidR="0091348C" w:rsidRPr="0091348C" w:rsidRDefault="0091348C" w:rsidP="0091348C">
      <w:pPr>
        <w:pStyle w:val="Prrafodelista"/>
        <w:ind w:left="1429" w:firstLine="0"/>
      </w:pPr>
      <w:r w:rsidRPr="0091348C">
        <w:t xml:space="preserve">Refleja la rentabilidad final del negocio, después de descontar todos los gastos, impuestos e intereses. Es uno de los indicadores más observados </w:t>
      </w:r>
      <w:r w:rsidRPr="0091348C">
        <w:lastRenderedPageBreak/>
        <w:t>por inversionistas, ya que mide el beneficio “real” generado por cada peso vendido.</w:t>
      </w:r>
    </w:p>
    <w:p w14:paraId="5DA4B709" w14:textId="77777777" w:rsidR="00074013" w:rsidRPr="00074013" w:rsidRDefault="00074013" w:rsidP="00E727BC">
      <w:pPr>
        <w:pStyle w:val="Prrafodelista"/>
        <w:numPr>
          <w:ilvl w:val="0"/>
          <w:numId w:val="20"/>
        </w:numPr>
        <w:rPr>
          <w:b/>
          <w:bCs/>
        </w:rPr>
      </w:pPr>
      <w:r w:rsidRPr="00074013">
        <w:rPr>
          <w:b/>
          <w:bCs/>
        </w:rPr>
        <w:t>EBITDA y margen EBITDA</w:t>
      </w:r>
    </w:p>
    <w:p w14:paraId="130EAE90" w14:textId="77777777" w:rsidR="00074013" w:rsidRPr="00074013" w:rsidRDefault="00074013" w:rsidP="00074013">
      <w:pPr>
        <w:pStyle w:val="Prrafodelista"/>
        <w:ind w:left="1429" w:firstLine="0"/>
      </w:pPr>
      <w:r w:rsidRPr="00074013">
        <w:t>EBITDA (</w:t>
      </w:r>
      <w:proofErr w:type="spellStart"/>
      <w:r w:rsidRPr="00074013">
        <w:t>Earnings</w:t>
      </w:r>
      <w:proofErr w:type="spellEnd"/>
      <w:r w:rsidRPr="00074013">
        <w:t xml:space="preserve"> </w:t>
      </w:r>
      <w:proofErr w:type="spellStart"/>
      <w:r w:rsidRPr="00074013">
        <w:t>Before</w:t>
      </w:r>
      <w:proofErr w:type="spellEnd"/>
      <w:r w:rsidRPr="00074013">
        <w:t xml:space="preserve"> </w:t>
      </w:r>
      <w:proofErr w:type="spellStart"/>
      <w:r w:rsidRPr="00074013">
        <w:t>Interest</w:t>
      </w:r>
      <w:proofErr w:type="spellEnd"/>
      <w:r w:rsidRPr="00074013">
        <w:t xml:space="preserve">, </w:t>
      </w:r>
      <w:proofErr w:type="spellStart"/>
      <w:r w:rsidRPr="00074013">
        <w:t>Taxes</w:t>
      </w:r>
      <w:proofErr w:type="spellEnd"/>
      <w:r w:rsidRPr="00074013">
        <w:t xml:space="preserve">, </w:t>
      </w:r>
      <w:proofErr w:type="spellStart"/>
      <w:r w:rsidRPr="00074013">
        <w:t>Depreciation</w:t>
      </w:r>
      <w:proofErr w:type="spellEnd"/>
      <w:r w:rsidRPr="00074013">
        <w:t xml:space="preserve"> and </w:t>
      </w:r>
      <w:proofErr w:type="spellStart"/>
      <w:r w:rsidRPr="00074013">
        <w:t>Amortization</w:t>
      </w:r>
      <w:proofErr w:type="spellEnd"/>
      <w:r w:rsidRPr="00074013">
        <w:t>) es un indicador que mide la rentabilidad operacional pura, sin el impacto de decisiones financieras o contables.</w:t>
      </w:r>
    </w:p>
    <w:p w14:paraId="354B7912" w14:textId="77777777" w:rsidR="00074013" w:rsidRPr="00074013" w:rsidRDefault="00074013" w:rsidP="00074013">
      <w:pPr>
        <w:pStyle w:val="Prrafodelista"/>
        <w:ind w:left="1429" w:firstLine="0"/>
        <w:rPr>
          <w:b/>
          <w:bCs/>
        </w:rPr>
      </w:pPr>
      <w:r w:rsidRPr="00074013">
        <w:rPr>
          <w:b/>
          <w:bCs/>
        </w:rPr>
        <w:t>Fórmula</w:t>
      </w:r>
    </w:p>
    <w:p w14:paraId="2B706834" w14:textId="77777777" w:rsidR="00074013" w:rsidRPr="00074013" w:rsidRDefault="00074013" w:rsidP="006000A1">
      <w:pPr>
        <w:pStyle w:val="Prrafodelista"/>
        <w:ind w:left="1429" w:firstLine="0"/>
        <w:jc w:val="center"/>
      </w:pPr>
      <w:r w:rsidRPr="00074013">
        <w:t>EBITDA = Utilidad Operativa + Depreciaciones + Amortizaciones</w:t>
      </w:r>
    </w:p>
    <w:p w14:paraId="125A635E" w14:textId="77777777" w:rsidR="00074013" w:rsidRPr="00074013" w:rsidRDefault="00074013" w:rsidP="00074013">
      <w:pPr>
        <w:pStyle w:val="Prrafodelista"/>
        <w:ind w:left="1429" w:firstLine="0"/>
        <w:rPr>
          <w:b/>
          <w:bCs/>
        </w:rPr>
      </w:pPr>
      <w:r w:rsidRPr="00074013">
        <w:rPr>
          <w:b/>
          <w:bCs/>
        </w:rPr>
        <w:t>Ejemplo</w:t>
      </w:r>
    </w:p>
    <w:p w14:paraId="30A2C3C6" w14:textId="3F737DE9" w:rsidR="00074013" w:rsidRPr="00074013" w:rsidRDefault="00074013" w:rsidP="00074013">
      <w:pPr>
        <w:pStyle w:val="Prrafodelista"/>
        <w:ind w:left="1429" w:firstLine="0"/>
      </w:pPr>
      <w:r w:rsidRPr="00074013">
        <w:t>Utilidad operativa = $80.000.000</w:t>
      </w:r>
      <w:r w:rsidR="00F81C30">
        <w:t>.</w:t>
      </w:r>
    </w:p>
    <w:p w14:paraId="6F3D465D" w14:textId="4CB21A27" w:rsidR="00074013" w:rsidRPr="00074013" w:rsidRDefault="00074013" w:rsidP="00074013">
      <w:pPr>
        <w:pStyle w:val="Prrafodelista"/>
        <w:ind w:left="1429" w:firstLine="0"/>
      </w:pPr>
      <w:r w:rsidRPr="00074013">
        <w:t>Depreciación y amortización = $20.000.000</w:t>
      </w:r>
      <w:r w:rsidR="00F81C30">
        <w:t>.</w:t>
      </w:r>
    </w:p>
    <w:p w14:paraId="1CC149E9" w14:textId="67A22115" w:rsidR="00074013" w:rsidRPr="00074013" w:rsidRDefault="00074013" w:rsidP="00074013">
      <w:pPr>
        <w:pStyle w:val="Prrafodelista"/>
        <w:ind w:left="1429" w:firstLine="0"/>
      </w:pPr>
      <w:r w:rsidRPr="00074013">
        <w:t>EBITDA = 80.000.000 + 20.000.000 = $100.000.000</w:t>
      </w:r>
      <w:r w:rsidR="00F81C30">
        <w:t>.</w:t>
      </w:r>
    </w:p>
    <w:p w14:paraId="3E3D2751" w14:textId="77777777" w:rsidR="00074013" w:rsidRPr="00074013" w:rsidRDefault="00074013" w:rsidP="00074013">
      <w:pPr>
        <w:pStyle w:val="Prrafodelista"/>
        <w:ind w:left="1429" w:firstLine="0"/>
      </w:pPr>
      <w:r w:rsidRPr="00074013">
        <w:t>Margen EBITDA = EBITDA / Ventas Netas = 100.000.000 / 500.000.000 = 20 %</w:t>
      </w:r>
    </w:p>
    <w:p w14:paraId="4B1A26B1" w14:textId="77777777" w:rsidR="00074013" w:rsidRPr="00074013" w:rsidRDefault="00074013" w:rsidP="00074013">
      <w:pPr>
        <w:pStyle w:val="Prrafodelista"/>
        <w:ind w:left="1429" w:firstLine="0"/>
        <w:rPr>
          <w:b/>
          <w:bCs/>
        </w:rPr>
      </w:pPr>
      <w:r w:rsidRPr="00074013">
        <w:rPr>
          <w:b/>
          <w:bCs/>
        </w:rPr>
        <w:t>Interpretación</w:t>
      </w:r>
    </w:p>
    <w:p w14:paraId="454B2D17" w14:textId="77777777" w:rsidR="00074013" w:rsidRPr="00074013" w:rsidRDefault="00074013" w:rsidP="00074013">
      <w:pPr>
        <w:pStyle w:val="Prrafodelista"/>
        <w:ind w:left="1429" w:firstLine="0"/>
      </w:pPr>
      <w:r w:rsidRPr="00074013">
        <w:t>El margen EBITDA muestra cuánto genera el negocio en flujo de caja operativo antes de obligaciones financieras y fiscales. Es útil para comparar empresas entre sí, ya que elimina factores externos al desempeño operativo.</w:t>
      </w:r>
    </w:p>
    <w:p w14:paraId="4677AC17" w14:textId="77777777" w:rsidR="00E7233B" w:rsidRPr="00E7233B" w:rsidRDefault="00E7233B" w:rsidP="00E727BC">
      <w:pPr>
        <w:pStyle w:val="Prrafodelista"/>
        <w:numPr>
          <w:ilvl w:val="0"/>
          <w:numId w:val="20"/>
        </w:numPr>
        <w:rPr>
          <w:b/>
          <w:bCs/>
        </w:rPr>
      </w:pPr>
      <w:r w:rsidRPr="00E7233B">
        <w:rPr>
          <w:b/>
          <w:bCs/>
        </w:rPr>
        <w:t>ROA y ROE</w:t>
      </w:r>
    </w:p>
    <w:p w14:paraId="7811CB1D" w14:textId="77777777" w:rsidR="00E7233B" w:rsidRPr="00E7233B" w:rsidRDefault="00E7233B" w:rsidP="00E7233B">
      <w:pPr>
        <w:pStyle w:val="Prrafodelista"/>
        <w:ind w:left="1429" w:firstLine="0"/>
        <w:rPr>
          <w:b/>
          <w:bCs/>
        </w:rPr>
      </w:pPr>
      <w:r w:rsidRPr="00E7233B">
        <w:rPr>
          <w:b/>
          <w:bCs/>
        </w:rPr>
        <w:t>ROA (</w:t>
      </w:r>
      <w:proofErr w:type="spellStart"/>
      <w:r w:rsidRPr="00E7233B">
        <w:rPr>
          <w:b/>
          <w:bCs/>
        </w:rPr>
        <w:t>Return</w:t>
      </w:r>
      <w:proofErr w:type="spellEnd"/>
      <w:r w:rsidRPr="00E7233B">
        <w:rPr>
          <w:b/>
          <w:bCs/>
        </w:rPr>
        <w:t xml:space="preserve"> </w:t>
      </w:r>
      <w:proofErr w:type="spellStart"/>
      <w:r w:rsidRPr="00E7233B">
        <w:rPr>
          <w:b/>
          <w:bCs/>
        </w:rPr>
        <w:t>on</w:t>
      </w:r>
      <w:proofErr w:type="spellEnd"/>
      <w:r w:rsidRPr="00E7233B">
        <w:rPr>
          <w:b/>
          <w:bCs/>
        </w:rPr>
        <w:t xml:space="preserve"> </w:t>
      </w:r>
      <w:proofErr w:type="spellStart"/>
      <w:r w:rsidRPr="00E7233B">
        <w:rPr>
          <w:b/>
          <w:bCs/>
        </w:rPr>
        <w:t>Assets</w:t>
      </w:r>
      <w:proofErr w:type="spellEnd"/>
      <w:r w:rsidRPr="00E7233B">
        <w:rPr>
          <w:b/>
          <w:bCs/>
        </w:rPr>
        <w:t>)</w:t>
      </w:r>
    </w:p>
    <w:p w14:paraId="5DAA12CA" w14:textId="77777777" w:rsidR="00E7233B" w:rsidRPr="00E7233B" w:rsidRDefault="00E7233B" w:rsidP="00E7233B">
      <w:pPr>
        <w:pStyle w:val="Prrafodelista"/>
        <w:ind w:left="1429" w:firstLine="0"/>
      </w:pPr>
      <w:r w:rsidRPr="00E7233B">
        <w:t>Fórmula: ROA = Utilidad Neta / Activos Totales</w:t>
      </w:r>
    </w:p>
    <w:p w14:paraId="609FC7F1" w14:textId="77777777" w:rsidR="00E7233B" w:rsidRPr="00E7233B" w:rsidRDefault="00E7233B" w:rsidP="00E7233B">
      <w:pPr>
        <w:pStyle w:val="Prrafodelista"/>
        <w:ind w:left="1429" w:firstLine="0"/>
        <w:jc w:val="center"/>
      </w:pPr>
      <w:r w:rsidRPr="00E7233B">
        <w:t>EBITDA = Utilidad Operativa + Depreciaciones + Amortizaciones</w:t>
      </w:r>
    </w:p>
    <w:p w14:paraId="6CC64C5A" w14:textId="77777777" w:rsidR="00E7233B" w:rsidRPr="00E7233B" w:rsidRDefault="00E7233B" w:rsidP="00E7233B">
      <w:pPr>
        <w:pStyle w:val="Prrafodelista"/>
        <w:ind w:left="1429" w:firstLine="0"/>
      </w:pPr>
      <w:r w:rsidRPr="00E7233B">
        <w:t>Ejemplo: Ejemplo: 50.000.000 / 300.000.000 = 16,7 %</w:t>
      </w:r>
    </w:p>
    <w:p w14:paraId="0E6C16CE" w14:textId="77777777" w:rsidR="00E7233B" w:rsidRPr="00E7233B" w:rsidRDefault="00E7233B" w:rsidP="00E7233B">
      <w:pPr>
        <w:pStyle w:val="Prrafodelista"/>
        <w:ind w:left="1429" w:firstLine="0"/>
        <w:rPr>
          <w:b/>
          <w:bCs/>
        </w:rPr>
      </w:pPr>
      <w:r w:rsidRPr="00E7233B">
        <w:rPr>
          <w:b/>
          <w:bCs/>
        </w:rPr>
        <w:t>ROE (</w:t>
      </w:r>
      <w:proofErr w:type="spellStart"/>
      <w:r w:rsidRPr="00E7233B">
        <w:rPr>
          <w:b/>
          <w:bCs/>
        </w:rPr>
        <w:t>Return</w:t>
      </w:r>
      <w:proofErr w:type="spellEnd"/>
      <w:r w:rsidRPr="00E7233B">
        <w:rPr>
          <w:b/>
          <w:bCs/>
        </w:rPr>
        <w:t xml:space="preserve"> </w:t>
      </w:r>
      <w:proofErr w:type="spellStart"/>
      <w:r w:rsidRPr="00E7233B">
        <w:rPr>
          <w:b/>
          <w:bCs/>
        </w:rPr>
        <w:t>on</w:t>
      </w:r>
      <w:proofErr w:type="spellEnd"/>
      <w:r w:rsidRPr="00E7233B">
        <w:rPr>
          <w:b/>
          <w:bCs/>
        </w:rPr>
        <w:t xml:space="preserve"> </w:t>
      </w:r>
      <w:proofErr w:type="spellStart"/>
      <w:r w:rsidRPr="00E7233B">
        <w:rPr>
          <w:b/>
          <w:bCs/>
        </w:rPr>
        <w:t>Equity</w:t>
      </w:r>
      <w:proofErr w:type="spellEnd"/>
      <w:r w:rsidRPr="00E7233B">
        <w:rPr>
          <w:b/>
          <w:bCs/>
        </w:rPr>
        <w:t>)</w:t>
      </w:r>
    </w:p>
    <w:p w14:paraId="63B384EC" w14:textId="77777777" w:rsidR="00E7233B" w:rsidRPr="00E7233B" w:rsidRDefault="00E7233B" w:rsidP="00E7233B">
      <w:pPr>
        <w:pStyle w:val="Prrafodelista"/>
        <w:ind w:left="1429" w:firstLine="0"/>
      </w:pPr>
      <w:r w:rsidRPr="00E7233B">
        <w:rPr>
          <w:b/>
          <w:bCs/>
        </w:rPr>
        <w:lastRenderedPageBreak/>
        <w:t>Fórmula</w:t>
      </w:r>
      <w:r w:rsidRPr="00E7233B">
        <w:t>: ROE = Utilidad Neta / Patrimonio</w:t>
      </w:r>
    </w:p>
    <w:p w14:paraId="78FF3264" w14:textId="77777777" w:rsidR="00E7233B" w:rsidRPr="00E7233B" w:rsidRDefault="00E7233B" w:rsidP="00E7233B">
      <w:pPr>
        <w:pStyle w:val="Prrafodelista"/>
        <w:ind w:left="1429" w:firstLine="0"/>
      </w:pPr>
      <w:r w:rsidRPr="00E7233B">
        <w:t>Ejemplo: 50.000.000 / 180.000.000 = 27,8 %</w:t>
      </w:r>
    </w:p>
    <w:p w14:paraId="713D0C4E" w14:textId="77777777" w:rsidR="00E7233B" w:rsidRPr="00E7233B" w:rsidRDefault="00E7233B" w:rsidP="00E7233B">
      <w:pPr>
        <w:pStyle w:val="Prrafodelista"/>
        <w:ind w:left="1429" w:firstLine="0"/>
        <w:rPr>
          <w:b/>
          <w:bCs/>
        </w:rPr>
      </w:pPr>
      <w:r w:rsidRPr="00E7233B">
        <w:rPr>
          <w:b/>
          <w:bCs/>
        </w:rPr>
        <w:t>Interpretación</w:t>
      </w:r>
    </w:p>
    <w:p w14:paraId="4E0DEE6B" w14:textId="77777777" w:rsidR="00E7233B" w:rsidRPr="00E7233B" w:rsidRDefault="00E7233B" w:rsidP="00E7233B">
      <w:pPr>
        <w:pStyle w:val="Prrafodelista"/>
        <w:ind w:left="1429" w:firstLine="0"/>
      </w:pPr>
      <w:r w:rsidRPr="00E7233B">
        <w:t>El ROA mide qué tan rentables son los activos de la empresa, sin importar cómo fueron financiados. El ROE, en cambio, mide el rendimiento obtenido por los socios o accionistas. Si el ROE es significativamente mayor al ROA, es señal de apalancamiento financiero: la empresa usa deuda para aumentar la rentabilidad del capital propio.</w:t>
      </w:r>
    </w:p>
    <w:p w14:paraId="47704924" w14:textId="77777777" w:rsidR="00757BA5" w:rsidRPr="00C1108C" w:rsidRDefault="00757BA5" w:rsidP="00E727BC">
      <w:pPr>
        <w:pStyle w:val="Prrafodelista"/>
        <w:numPr>
          <w:ilvl w:val="0"/>
          <w:numId w:val="20"/>
        </w:numPr>
        <w:rPr>
          <w:b/>
          <w:bCs/>
        </w:rPr>
      </w:pPr>
      <w:r w:rsidRPr="00C1108C">
        <w:rPr>
          <w:b/>
          <w:bCs/>
        </w:rPr>
        <w:t>Sistema DuPont</w:t>
      </w:r>
    </w:p>
    <w:p w14:paraId="39B2B5D5" w14:textId="77777777" w:rsidR="00757BA5" w:rsidRPr="00757BA5" w:rsidRDefault="00757BA5" w:rsidP="00757BA5">
      <w:pPr>
        <w:pStyle w:val="Prrafodelista"/>
        <w:ind w:left="1429" w:firstLine="0"/>
      </w:pPr>
      <w:r w:rsidRPr="00757BA5">
        <w:t>El Sistema DuPont es una metodología que descompone el ROE en tres componentes clave, para entender qué factores están impulsando la rentabilidad del capital propio:</w:t>
      </w:r>
    </w:p>
    <w:p w14:paraId="17F6785C" w14:textId="77777777" w:rsidR="00757BA5" w:rsidRPr="00757BA5" w:rsidRDefault="00757BA5" w:rsidP="00757BA5">
      <w:pPr>
        <w:pStyle w:val="Prrafodelista"/>
        <w:ind w:left="1429" w:firstLine="0"/>
        <w:rPr>
          <w:b/>
          <w:bCs/>
        </w:rPr>
      </w:pPr>
      <w:r w:rsidRPr="00757BA5">
        <w:rPr>
          <w:b/>
          <w:bCs/>
        </w:rPr>
        <w:t>Fórmula</w:t>
      </w:r>
    </w:p>
    <w:p w14:paraId="65741BF0" w14:textId="77777777" w:rsidR="00757BA5" w:rsidRPr="00C1108C" w:rsidRDefault="00757BA5" w:rsidP="00757BA5">
      <w:pPr>
        <w:pStyle w:val="Prrafodelista"/>
        <w:ind w:left="1429" w:firstLine="0"/>
        <w:rPr>
          <w:b/>
          <w:bCs/>
        </w:rPr>
      </w:pPr>
      <w:r w:rsidRPr="00C1108C">
        <w:rPr>
          <w:b/>
          <w:bCs/>
        </w:rPr>
        <w:t>ROE = (Utilidad Neta / Ventas) x (Ventas / Activos) x (Activos / Patrimonio) o</w:t>
      </w:r>
    </w:p>
    <w:p w14:paraId="3260C112" w14:textId="77777777" w:rsidR="00757BA5" w:rsidRPr="00C1108C" w:rsidRDefault="00757BA5" w:rsidP="00757BA5">
      <w:pPr>
        <w:pStyle w:val="Prrafodelista"/>
        <w:ind w:left="1429" w:firstLine="0"/>
        <w:rPr>
          <w:b/>
          <w:bCs/>
        </w:rPr>
      </w:pPr>
      <w:r w:rsidRPr="00C1108C">
        <w:rPr>
          <w:b/>
          <w:bCs/>
        </w:rPr>
        <w:t>ROE = Margen Neto x Rotación de Activos x Apalancamiento</w:t>
      </w:r>
    </w:p>
    <w:p w14:paraId="44DBA52F" w14:textId="77777777" w:rsidR="00757BA5" w:rsidRPr="00C1108C" w:rsidRDefault="00757BA5" w:rsidP="00757BA5">
      <w:pPr>
        <w:pStyle w:val="Prrafodelista"/>
        <w:ind w:left="1429" w:firstLine="0"/>
        <w:rPr>
          <w:b/>
          <w:bCs/>
        </w:rPr>
      </w:pPr>
      <w:r w:rsidRPr="00C1108C">
        <w:rPr>
          <w:b/>
          <w:bCs/>
        </w:rPr>
        <w:t>Ejemplo:</w:t>
      </w:r>
    </w:p>
    <w:p w14:paraId="395CC727" w14:textId="77777777" w:rsidR="00757BA5" w:rsidRPr="00757BA5" w:rsidRDefault="00757BA5" w:rsidP="00757BA5">
      <w:pPr>
        <w:pStyle w:val="Prrafodelista"/>
        <w:ind w:left="1429" w:firstLine="0"/>
      </w:pPr>
      <w:r w:rsidRPr="00757BA5">
        <w:t>Margen Neto = 10 %</w:t>
      </w:r>
    </w:p>
    <w:p w14:paraId="3750FD28" w14:textId="77777777" w:rsidR="00757BA5" w:rsidRPr="00757BA5" w:rsidRDefault="00757BA5" w:rsidP="00757BA5">
      <w:pPr>
        <w:pStyle w:val="Prrafodelista"/>
        <w:ind w:left="1429" w:firstLine="0"/>
      </w:pPr>
      <w:r w:rsidRPr="00757BA5">
        <w:t>Rotación de activos = 1.67 (Ventas de $500.000.000 / Activos de $300.000.000)</w:t>
      </w:r>
    </w:p>
    <w:p w14:paraId="390CC724" w14:textId="77777777" w:rsidR="00757BA5" w:rsidRPr="00757BA5" w:rsidRDefault="00757BA5" w:rsidP="00757BA5">
      <w:pPr>
        <w:pStyle w:val="Prrafodelista"/>
        <w:ind w:left="1429" w:firstLine="0"/>
      </w:pPr>
      <w:r w:rsidRPr="00757BA5">
        <w:t>Apalancamiento = 1.67 (Activos / Patrimonio)</w:t>
      </w:r>
    </w:p>
    <w:p w14:paraId="3A40813A" w14:textId="77777777" w:rsidR="00757BA5" w:rsidRPr="002F7084" w:rsidRDefault="00757BA5" w:rsidP="00757BA5">
      <w:pPr>
        <w:pStyle w:val="Prrafodelista"/>
        <w:ind w:left="1429" w:firstLine="0"/>
        <w:rPr>
          <w:b/>
          <w:bCs/>
        </w:rPr>
      </w:pPr>
      <w:r w:rsidRPr="002F7084">
        <w:rPr>
          <w:b/>
          <w:bCs/>
        </w:rPr>
        <w:t>ROE = 10 % x 1.67 x 1.67 = 27.9 %</w:t>
      </w:r>
    </w:p>
    <w:p w14:paraId="57AA5D0B" w14:textId="77777777" w:rsidR="00757BA5" w:rsidRPr="00757BA5" w:rsidRDefault="00757BA5" w:rsidP="00757BA5">
      <w:pPr>
        <w:pStyle w:val="Prrafodelista"/>
        <w:ind w:left="1429" w:firstLine="0"/>
        <w:rPr>
          <w:b/>
          <w:bCs/>
        </w:rPr>
      </w:pPr>
      <w:r w:rsidRPr="00757BA5">
        <w:rPr>
          <w:b/>
          <w:bCs/>
        </w:rPr>
        <w:t>Interpretación</w:t>
      </w:r>
    </w:p>
    <w:p w14:paraId="3DC05A12" w14:textId="77777777" w:rsidR="00757BA5" w:rsidRPr="00757BA5" w:rsidRDefault="00757BA5" w:rsidP="00757BA5">
      <w:pPr>
        <w:pStyle w:val="Prrafodelista"/>
        <w:ind w:left="1429" w:firstLine="0"/>
      </w:pPr>
      <w:r w:rsidRPr="00757BA5">
        <w:t xml:space="preserve">El sistema DuPont permite entender si el ROE alto es producto de una buena rentabilidad operativa (margen), de una alta eficiencia comercial </w:t>
      </w:r>
      <w:r w:rsidRPr="00757BA5">
        <w:lastRenderedPageBreak/>
        <w:t>(rotación) o de una estructura de capital agresiva (apalancamiento). Es ideal para tomar decisiones estratégicas.</w:t>
      </w:r>
    </w:p>
    <w:p w14:paraId="3B99F608" w14:textId="77777777" w:rsidR="001324DF" w:rsidRPr="001324DF" w:rsidRDefault="001324DF" w:rsidP="001324DF">
      <w:pPr>
        <w:pStyle w:val="Ttulo8"/>
      </w:pPr>
      <w:r w:rsidRPr="001324DF">
        <w:t>Reflexiones de los indicadores de rentabilidad</w:t>
      </w:r>
    </w:p>
    <w:p w14:paraId="1C80541F" w14:textId="77777777" w:rsidR="001324DF" w:rsidRPr="001324DF" w:rsidRDefault="001324DF" w:rsidP="001324DF">
      <w:r w:rsidRPr="001324DF">
        <w:t>Los indicadores de rentabilidad permiten medir con precisión la capacidad de una empresa para generar utilidades en relación con sus ventas, activos y patrimonio. Son esenciales para determinar si el negocio está siendo eficiente en el uso de sus recursos y si realmente está generando valor económico para sus propietarios. Estos indicadores no solo muestran si hay ganancias, sino también cómo se están obteniendo, en qué parte del proceso se originan y si son sostenibles en el tiempo.</w:t>
      </w:r>
    </w:p>
    <w:p w14:paraId="0227DA1E" w14:textId="77777777" w:rsidR="001324DF" w:rsidRPr="001324DF" w:rsidRDefault="001324DF" w:rsidP="001324DF">
      <w:pPr>
        <w:pStyle w:val="Sangradetextonormal"/>
      </w:pPr>
      <w:r w:rsidRPr="001324DF">
        <w:t>Entre los más representativos se encuentran:</w:t>
      </w:r>
    </w:p>
    <w:p w14:paraId="437AEC19" w14:textId="77777777" w:rsidR="001324DF" w:rsidRPr="001324DF" w:rsidRDefault="001324DF" w:rsidP="00E727BC">
      <w:pPr>
        <w:pStyle w:val="Prrafodelista"/>
        <w:numPr>
          <w:ilvl w:val="0"/>
          <w:numId w:val="21"/>
        </w:numPr>
        <w:rPr>
          <w:b/>
          <w:bCs/>
        </w:rPr>
      </w:pPr>
      <w:r w:rsidRPr="001324DF">
        <w:rPr>
          <w:b/>
          <w:bCs/>
        </w:rPr>
        <w:t>Márgenes de utilidad</w:t>
      </w:r>
    </w:p>
    <w:p w14:paraId="5DC05332" w14:textId="77777777" w:rsidR="001324DF" w:rsidRPr="001324DF" w:rsidRDefault="001324DF" w:rsidP="001324DF">
      <w:pPr>
        <w:pStyle w:val="Prrafodelista"/>
        <w:ind w:left="1429" w:firstLine="0"/>
      </w:pPr>
      <w:r w:rsidRPr="001324DF">
        <w:t>Analizan la rentabilidad en distintas etapas del estado de resultados.</w:t>
      </w:r>
    </w:p>
    <w:p w14:paraId="0049F2B1" w14:textId="77777777" w:rsidR="001324DF" w:rsidRPr="001324DF" w:rsidRDefault="001324DF" w:rsidP="00E727BC">
      <w:pPr>
        <w:pStyle w:val="Prrafodelista"/>
        <w:numPr>
          <w:ilvl w:val="0"/>
          <w:numId w:val="21"/>
        </w:numPr>
        <w:rPr>
          <w:b/>
          <w:bCs/>
        </w:rPr>
      </w:pPr>
      <w:r w:rsidRPr="001324DF">
        <w:rPr>
          <w:b/>
          <w:bCs/>
        </w:rPr>
        <w:t>Margen bruto</w:t>
      </w:r>
    </w:p>
    <w:p w14:paraId="2FF00F8C" w14:textId="77777777" w:rsidR="001324DF" w:rsidRPr="001324DF" w:rsidRDefault="001324DF" w:rsidP="001324DF">
      <w:pPr>
        <w:pStyle w:val="Prrafodelista"/>
        <w:ind w:left="1429" w:firstLine="0"/>
      </w:pPr>
      <w:r w:rsidRPr="001324DF">
        <w:t>Muestra lo que queda de las ventas después de cubrir el costo de los productos vendidos.</w:t>
      </w:r>
    </w:p>
    <w:p w14:paraId="09FFEF08" w14:textId="77777777" w:rsidR="001324DF" w:rsidRPr="001324DF" w:rsidRDefault="001324DF" w:rsidP="00E727BC">
      <w:pPr>
        <w:pStyle w:val="Prrafodelista"/>
        <w:numPr>
          <w:ilvl w:val="0"/>
          <w:numId w:val="21"/>
        </w:numPr>
        <w:rPr>
          <w:b/>
          <w:bCs/>
        </w:rPr>
      </w:pPr>
      <w:r w:rsidRPr="001324DF">
        <w:rPr>
          <w:b/>
          <w:bCs/>
        </w:rPr>
        <w:t>Margen operativo</w:t>
      </w:r>
    </w:p>
    <w:p w14:paraId="3A81B6E9" w14:textId="77777777" w:rsidR="001324DF" w:rsidRPr="001324DF" w:rsidRDefault="001324DF" w:rsidP="001324DF">
      <w:pPr>
        <w:pStyle w:val="Prrafodelista"/>
        <w:ind w:left="1429" w:firstLine="0"/>
      </w:pPr>
      <w:r w:rsidRPr="001324DF">
        <w:t>Refleja la eficiencia administrativa y de operación, excluyendo gastos financieros e impuestos.</w:t>
      </w:r>
    </w:p>
    <w:p w14:paraId="0E96CE6E" w14:textId="77777777" w:rsidR="001324DF" w:rsidRPr="001324DF" w:rsidRDefault="001324DF" w:rsidP="00E727BC">
      <w:pPr>
        <w:pStyle w:val="Prrafodelista"/>
        <w:numPr>
          <w:ilvl w:val="0"/>
          <w:numId w:val="21"/>
        </w:numPr>
        <w:rPr>
          <w:b/>
          <w:bCs/>
        </w:rPr>
      </w:pPr>
      <w:r w:rsidRPr="001324DF">
        <w:rPr>
          <w:b/>
          <w:bCs/>
        </w:rPr>
        <w:t>Margen neto</w:t>
      </w:r>
    </w:p>
    <w:p w14:paraId="4A7A13D3" w14:textId="77777777" w:rsidR="001324DF" w:rsidRPr="001324DF" w:rsidRDefault="001324DF" w:rsidP="001324DF">
      <w:pPr>
        <w:pStyle w:val="Prrafodelista"/>
        <w:ind w:left="1429" w:firstLine="0"/>
      </w:pPr>
      <w:r w:rsidRPr="001324DF">
        <w:t>Representa la utilidad real después de todos los gastos, siendo uno de los indicadores más observados por inversionistas y gerentes.</w:t>
      </w:r>
    </w:p>
    <w:p w14:paraId="48575287" w14:textId="77777777" w:rsidR="001324DF" w:rsidRPr="001324DF" w:rsidRDefault="001324DF" w:rsidP="001324DF">
      <w:r w:rsidRPr="001324DF">
        <w:t>Otro grupo clave lo conforman los indicadores que relacionan las utilidades con los recursos utilizados, son los siguientes:</w:t>
      </w:r>
    </w:p>
    <w:p w14:paraId="535AFDB8" w14:textId="77777777" w:rsidR="001324DF" w:rsidRPr="001324DF" w:rsidRDefault="001324DF" w:rsidP="00E727BC">
      <w:pPr>
        <w:pStyle w:val="Prrafodelista"/>
        <w:numPr>
          <w:ilvl w:val="0"/>
          <w:numId w:val="22"/>
        </w:numPr>
        <w:rPr>
          <w:b/>
          <w:bCs/>
        </w:rPr>
      </w:pPr>
      <w:r w:rsidRPr="001324DF">
        <w:rPr>
          <w:b/>
          <w:bCs/>
        </w:rPr>
        <w:lastRenderedPageBreak/>
        <w:t>ROA (</w:t>
      </w:r>
      <w:proofErr w:type="spellStart"/>
      <w:r w:rsidRPr="001324DF">
        <w:rPr>
          <w:b/>
          <w:bCs/>
        </w:rPr>
        <w:t>Return</w:t>
      </w:r>
      <w:proofErr w:type="spellEnd"/>
      <w:r w:rsidRPr="001324DF">
        <w:rPr>
          <w:b/>
          <w:bCs/>
        </w:rPr>
        <w:t xml:space="preserve"> </w:t>
      </w:r>
      <w:proofErr w:type="spellStart"/>
      <w:r w:rsidRPr="001324DF">
        <w:rPr>
          <w:b/>
          <w:bCs/>
        </w:rPr>
        <w:t>on</w:t>
      </w:r>
      <w:proofErr w:type="spellEnd"/>
      <w:r w:rsidRPr="001324DF">
        <w:rPr>
          <w:b/>
          <w:bCs/>
        </w:rPr>
        <w:t xml:space="preserve"> </w:t>
      </w:r>
      <w:proofErr w:type="spellStart"/>
      <w:r w:rsidRPr="001324DF">
        <w:rPr>
          <w:b/>
          <w:bCs/>
        </w:rPr>
        <w:t>Assets</w:t>
      </w:r>
      <w:proofErr w:type="spellEnd"/>
      <w:r w:rsidRPr="001324DF">
        <w:rPr>
          <w:b/>
          <w:bCs/>
        </w:rPr>
        <w:t>)</w:t>
      </w:r>
    </w:p>
    <w:p w14:paraId="64C455FB" w14:textId="77777777" w:rsidR="001324DF" w:rsidRPr="001324DF" w:rsidRDefault="001324DF" w:rsidP="001324DF">
      <w:pPr>
        <w:pStyle w:val="Prrafodelista"/>
        <w:ind w:left="1429" w:firstLine="0"/>
      </w:pPr>
      <w:r w:rsidRPr="001324DF">
        <w:t>Mide cuánta utilidad genera la empresa por cada peso invertido en activos.</w:t>
      </w:r>
    </w:p>
    <w:p w14:paraId="78E8ADD6" w14:textId="77777777" w:rsidR="001324DF" w:rsidRPr="001324DF" w:rsidRDefault="001324DF" w:rsidP="00E727BC">
      <w:pPr>
        <w:pStyle w:val="Prrafodelista"/>
        <w:numPr>
          <w:ilvl w:val="0"/>
          <w:numId w:val="22"/>
        </w:numPr>
        <w:rPr>
          <w:b/>
          <w:bCs/>
        </w:rPr>
      </w:pPr>
      <w:r w:rsidRPr="001324DF">
        <w:rPr>
          <w:b/>
          <w:bCs/>
        </w:rPr>
        <w:t>ROE (</w:t>
      </w:r>
      <w:proofErr w:type="spellStart"/>
      <w:r w:rsidRPr="001324DF">
        <w:rPr>
          <w:b/>
          <w:bCs/>
        </w:rPr>
        <w:t>Return</w:t>
      </w:r>
      <w:proofErr w:type="spellEnd"/>
      <w:r w:rsidRPr="001324DF">
        <w:rPr>
          <w:b/>
          <w:bCs/>
        </w:rPr>
        <w:t xml:space="preserve"> </w:t>
      </w:r>
      <w:proofErr w:type="spellStart"/>
      <w:r w:rsidRPr="001324DF">
        <w:rPr>
          <w:b/>
          <w:bCs/>
        </w:rPr>
        <w:t>on</w:t>
      </w:r>
      <w:proofErr w:type="spellEnd"/>
      <w:r w:rsidRPr="001324DF">
        <w:rPr>
          <w:b/>
          <w:bCs/>
        </w:rPr>
        <w:t xml:space="preserve"> </w:t>
      </w:r>
      <w:proofErr w:type="spellStart"/>
      <w:r w:rsidRPr="001324DF">
        <w:rPr>
          <w:b/>
          <w:bCs/>
        </w:rPr>
        <w:t>Equity</w:t>
      </w:r>
      <w:proofErr w:type="spellEnd"/>
      <w:r w:rsidRPr="001324DF">
        <w:rPr>
          <w:b/>
          <w:bCs/>
        </w:rPr>
        <w:t>)</w:t>
      </w:r>
    </w:p>
    <w:p w14:paraId="013E16CC" w14:textId="77777777" w:rsidR="002B6F24" w:rsidRPr="002B6F24" w:rsidRDefault="002B6F24" w:rsidP="002B6F24">
      <w:pPr>
        <w:pStyle w:val="Prrafodelista"/>
        <w:ind w:left="1429" w:firstLine="0"/>
      </w:pPr>
      <w:r w:rsidRPr="002B6F24">
        <w:t>Evalúa la rentabilidad obtenida por los socios o accionistas a partir de su inversión.</w:t>
      </w:r>
    </w:p>
    <w:p w14:paraId="72FB090B" w14:textId="44C97FF1" w:rsidR="001324DF" w:rsidRPr="001324DF" w:rsidRDefault="001324DF" w:rsidP="001324DF">
      <w:r w:rsidRPr="001324DF">
        <w:t>Cuando el ROE es significativamente superior al ROA, suele indicar la existencia de apalancamiento financiero, es decir, que la empresa está utilizando deuda para incrementar sus beneficios, lo cual puede ser una estrategia positiva si está bien controlada.</w:t>
      </w:r>
    </w:p>
    <w:p w14:paraId="2396D7A5" w14:textId="77777777" w:rsidR="001324DF" w:rsidRDefault="001324DF" w:rsidP="001324DF">
      <w:r w:rsidRPr="001324DF">
        <w:t>Finalmente, el modelo DuPont permite descomponer el ROE en tres factores: margen neto, rotación de activos y apalancamiento. Este análisis detallado ayuda a identificar qué aspecto está impulsando o limitando la rentabilidad del capital. Adicionalmente, el cálculo del EBITDA y su margen respectivo se ha vuelto muy utilizado en análisis comparativos, ya que muestra la rentabilidad operativa antes de intereses, impuestos y depreciaciones. En conjunto, todos estos indicadores ofrecen una visión profunda y estratégica del desempeño financiero, fundamental para la toma de decisiones empresariales informadas</w:t>
      </w:r>
      <w:r>
        <w:t>.</w:t>
      </w:r>
    </w:p>
    <w:p w14:paraId="23F37A23" w14:textId="1F4E9B67" w:rsidR="004B0DA2" w:rsidRDefault="00342B58" w:rsidP="001324DF">
      <w:pPr>
        <w:pStyle w:val="NormalWeb"/>
        <w:spacing w:before="0" w:beforeAutospacing="0" w:after="240" w:afterAutospacing="0"/>
        <w:textAlignment w:val="baseline"/>
      </w:pPr>
      <w:hyperlink r:id="rId12" w:anchor="/introduccion" w:history="1">
        <w:r w:rsidR="001324DF">
          <w:rPr>
            <w:rFonts w:ascii="Roboto" w:hAnsi="Roboto"/>
            <w:color w:val="12263F"/>
            <w:bdr w:val="none" w:sz="0" w:space="0" w:color="auto" w:frame="1"/>
            <w:shd w:val="clear" w:color="auto" w:fill="7B1FA2"/>
          </w:rPr>
          <w:br/>
        </w:r>
      </w:hyperlink>
    </w:p>
    <w:p w14:paraId="25AC8AB2" w14:textId="77777777" w:rsidR="004B0DA2" w:rsidRDefault="004B0DA2">
      <w:pPr>
        <w:spacing w:before="0" w:after="160" w:line="259" w:lineRule="auto"/>
        <w:ind w:firstLine="0"/>
        <w:rPr>
          <w:rFonts w:ascii="Times New Roman" w:eastAsia="Times New Roman" w:hAnsi="Times New Roman" w:cs="Times New Roman"/>
          <w:kern w:val="0"/>
          <w:sz w:val="24"/>
          <w:szCs w:val="24"/>
          <w:lang w:eastAsia="es-CO"/>
          <w14:ligatures w14:val="none"/>
        </w:rPr>
      </w:pPr>
      <w:r>
        <w:br w:type="page"/>
      </w:r>
    </w:p>
    <w:p w14:paraId="7AFF30F4" w14:textId="7EF1CAFC" w:rsidR="008C0FFC" w:rsidRPr="008C0FFC" w:rsidRDefault="008C0FFC" w:rsidP="00E727BC">
      <w:pPr>
        <w:pStyle w:val="Ttulo1"/>
        <w:numPr>
          <w:ilvl w:val="0"/>
          <w:numId w:val="33"/>
        </w:numPr>
      </w:pPr>
      <w:bookmarkStart w:id="10" w:name="_Toc201665094"/>
      <w:r w:rsidRPr="008C0FFC">
        <w:lastRenderedPageBreak/>
        <w:t>La aplicación de los indicadores financieros en la toma de decisiones</w:t>
      </w:r>
      <w:bookmarkEnd w:id="10"/>
    </w:p>
    <w:p w14:paraId="2B05FC59" w14:textId="77777777" w:rsidR="008C0FFC" w:rsidRPr="008C0FFC" w:rsidRDefault="008C0FFC" w:rsidP="008C0FFC">
      <w:r w:rsidRPr="008C0FFC">
        <w:t>El uso de los indicadores financieros como base para la toma de decisiones, es fundamental en cualquier organización, sin importar su tamaño o sector. Estos indicadores permiten transformar los datos contables y financieros en información comprensible, útil y accionable. Su función principal no es solo describir la situación económica de la empresa, sino también facilitar la identificación de oportunidades, riesgos y tendencias que puedan influir en el desempeño futuro del negocio.</w:t>
      </w:r>
    </w:p>
    <w:p w14:paraId="1FAEB7FA" w14:textId="77777777" w:rsidR="008C0FFC" w:rsidRPr="008C0FFC" w:rsidRDefault="008C0FFC" w:rsidP="008C0FFC">
      <w:r w:rsidRPr="008C0FFC">
        <w:t>Un análisis financiero efectivo no se limita a revisar un solo indicador de forma aislada. Por el contrario, se requiere una lectura integral del conjunto de indicadores, que permita ver el panorama completo de la situación de la empresa. Por ejemplo, una empresa puede tener alta rentabilidad (ROE elevado), pero si tiene una razón de endeudamiento muy alta y una cobertura de intereses baja, estaría operando con un riesgo financiero elevado. De igual forma, una buena rotación de inventarios puede perder relevancia si las cuentas por cobrar están mal gestionadas, afectando el flujo de efectivo.</w:t>
      </w:r>
    </w:p>
    <w:p w14:paraId="0CD4BCE7" w14:textId="77777777" w:rsidR="008C0FFC" w:rsidRPr="008C0FFC" w:rsidRDefault="008C0FFC" w:rsidP="008C0FFC">
      <w:r w:rsidRPr="008C0FFC">
        <w:t>La integración de los indicadores financieros también es clave para alinear la gestión operativa con la estrategia empresarial. Por ejemplo:</w:t>
      </w:r>
    </w:p>
    <w:p w14:paraId="672BBD1A" w14:textId="02F1CA7C" w:rsidR="008C0FFC" w:rsidRPr="008C0FFC" w:rsidRDefault="008C0FFC" w:rsidP="00E727BC">
      <w:pPr>
        <w:pStyle w:val="Prrafodelista"/>
        <w:numPr>
          <w:ilvl w:val="0"/>
          <w:numId w:val="23"/>
        </w:numPr>
        <w:rPr>
          <w:b/>
          <w:bCs/>
        </w:rPr>
      </w:pPr>
      <w:r w:rsidRPr="008C0FFC">
        <w:rPr>
          <w:b/>
          <w:bCs/>
        </w:rPr>
        <w:t>Crecimiento agresivo</w:t>
      </w:r>
    </w:p>
    <w:p w14:paraId="140285F5" w14:textId="37E38B1F" w:rsidR="008C0FFC" w:rsidRDefault="008C0FFC" w:rsidP="008C0FFC">
      <w:pPr>
        <w:pStyle w:val="Prrafodelista"/>
        <w:ind w:left="1429" w:firstLine="0"/>
      </w:pPr>
      <w:r w:rsidRPr="008C0FFC">
        <w:t>Una empresa orientada al crecimiento agresivo puede tolerar un mayor apalancamiento financiero si lo compensa con rentabilidad alta.</w:t>
      </w:r>
    </w:p>
    <w:p w14:paraId="2F5CEBAB" w14:textId="1AC9DCEF" w:rsidR="00691A49" w:rsidRDefault="00691A49" w:rsidP="008C0FFC">
      <w:pPr>
        <w:pStyle w:val="Prrafodelista"/>
        <w:ind w:left="1429" w:firstLine="0"/>
      </w:pPr>
    </w:p>
    <w:p w14:paraId="4D2D802F" w14:textId="659B703A" w:rsidR="00691A49" w:rsidRDefault="00691A49" w:rsidP="008C0FFC">
      <w:pPr>
        <w:pStyle w:val="Prrafodelista"/>
        <w:ind w:left="1429" w:firstLine="0"/>
      </w:pPr>
    </w:p>
    <w:p w14:paraId="23191FE5" w14:textId="77777777" w:rsidR="008C0FFC" w:rsidRPr="008C0FFC" w:rsidRDefault="008C0FFC" w:rsidP="00E727BC">
      <w:pPr>
        <w:pStyle w:val="Prrafodelista"/>
        <w:numPr>
          <w:ilvl w:val="0"/>
          <w:numId w:val="23"/>
        </w:numPr>
        <w:rPr>
          <w:b/>
          <w:bCs/>
        </w:rPr>
      </w:pPr>
      <w:r w:rsidRPr="008C0FFC">
        <w:rPr>
          <w:b/>
          <w:bCs/>
        </w:rPr>
        <w:lastRenderedPageBreak/>
        <w:t>Estabilidad</w:t>
      </w:r>
    </w:p>
    <w:p w14:paraId="15E95D53" w14:textId="77777777" w:rsidR="008C0FFC" w:rsidRPr="008C0FFC" w:rsidRDefault="008C0FFC" w:rsidP="008C0FFC">
      <w:pPr>
        <w:pStyle w:val="Prrafodelista"/>
        <w:ind w:left="1429" w:firstLine="0"/>
      </w:pPr>
      <w:r w:rsidRPr="008C0FFC">
        <w:t>En cambio, una organización que prioriza la estabilidad deberá enfocar sus decisiones en mantener buena liquidez, minimizar riesgos y sostener márgenes operativos sólidos.</w:t>
      </w:r>
    </w:p>
    <w:p w14:paraId="34ADF76B" w14:textId="77777777" w:rsidR="008C0FFC" w:rsidRPr="008C0FFC" w:rsidRDefault="008C0FFC" w:rsidP="008C0FFC">
      <w:r w:rsidRPr="008C0FFC">
        <w:t>En este sentido, los indicadores ayudan a traducir la estrategia en métricas concretas y comparables en el tiempo.</w:t>
      </w:r>
    </w:p>
    <w:p w14:paraId="10F99B8A" w14:textId="77777777" w:rsidR="008C0FFC" w:rsidRPr="008C0FFC" w:rsidRDefault="008C0FFC" w:rsidP="008C0FFC">
      <w:r w:rsidRPr="008C0FFC">
        <w:t>Además, cada tipo de decisión empresarial se apoya en diferentes grupos de indicadores:</w:t>
      </w:r>
    </w:p>
    <w:p w14:paraId="2E10BFF2" w14:textId="77777777" w:rsidR="008C0FFC" w:rsidRPr="008C0FFC" w:rsidRDefault="008C0FFC" w:rsidP="00E727BC">
      <w:pPr>
        <w:pStyle w:val="Ttulo8"/>
        <w:numPr>
          <w:ilvl w:val="0"/>
          <w:numId w:val="24"/>
        </w:numPr>
      </w:pPr>
      <w:r w:rsidRPr="008C0FFC">
        <w:t>Inversión</w:t>
      </w:r>
    </w:p>
    <w:p w14:paraId="53A06A46" w14:textId="77777777" w:rsidR="008C0FFC" w:rsidRPr="008C0FFC" w:rsidRDefault="008C0FFC" w:rsidP="008C0FFC">
      <w:pPr>
        <w:pStyle w:val="Prrafodelista"/>
        <w:ind w:left="1429" w:firstLine="0"/>
      </w:pPr>
      <w:r w:rsidRPr="008C0FFC">
        <w:t>Las decisiones sobre inversión requieren analizar la rentabilidad esperada y la eficiencia del uso de activos.</w:t>
      </w:r>
    </w:p>
    <w:p w14:paraId="18630A36" w14:textId="77777777" w:rsidR="008C0FFC" w:rsidRPr="008C0FFC" w:rsidRDefault="008C0FFC" w:rsidP="00E727BC">
      <w:pPr>
        <w:pStyle w:val="Ttulo8"/>
        <w:numPr>
          <w:ilvl w:val="0"/>
          <w:numId w:val="24"/>
        </w:numPr>
      </w:pPr>
      <w:r w:rsidRPr="008C0FFC">
        <w:t>Financiamiento</w:t>
      </w:r>
    </w:p>
    <w:p w14:paraId="2A8B8A8B" w14:textId="77777777" w:rsidR="008C0FFC" w:rsidRPr="008C0FFC" w:rsidRDefault="008C0FFC" w:rsidP="008C0FFC">
      <w:pPr>
        <w:pStyle w:val="Prrafodelista"/>
        <w:ind w:left="1429" w:firstLine="0"/>
      </w:pPr>
      <w:r w:rsidRPr="008C0FFC">
        <w:t>Las decisiones sobre financiamiento exigen revisar el nivel de endeudamiento y la capacidad de pago.</w:t>
      </w:r>
    </w:p>
    <w:p w14:paraId="53D87BBF" w14:textId="77777777" w:rsidR="008C0FFC" w:rsidRPr="008C0FFC" w:rsidRDefault="008C0FFC" w:rsidP="00E727BC">
      <w:pPr>
        <w:pStyle w:val="Ttulo8"/>
        <w:numPr>
          <w:ilvl w:val="0"/>
          <w:numId w:val="24"/>
        </w:numPr>
      </w:pPr>
      <w:r w:rsidRPr="008C0FFC">
        <w:t>Operativas</w:t>
      </w:r>
    </w:p>
    <w:p w14:paraId="33103CC2" w14:textId="77777777" w:rsidR="008C0FFC" w:rsidRPr="008C0FFC" w:rsidRDefault="008C0FFC" w:rsidP="008C0FFC">
      <w:pPr>
        <w:pStyle w:val="Prrafodelista"/>
        <w:ind w:left="1429" w:firstLine="0"/>
      </w:pPr>
      <w:r w:rsidRPr="008C0FFC">
        <w:t>Las decisiones operativas, como mejorar procesos o ajustar precios, se apoyan en márgenes y rotación de activos.</w:t>
      </w:r>
    </w:p>
    <w:p w14:paraId="10F7A74F" w14:textId="77777777" w:rsidR="008C0FFC" w:rsidRPr="008C0FFC" w:rsidRDefault="008C0FFC" w:rsidP="008C0FFC">
      <w:r w:rsidRPr="008C0FFC">
        <w:t>En todos los casos, la información financiera es el punto de partida para actuar con criterio y reducir la incertidumbre.</w:t>
      </w:r>
    </w:p>
    <w:p w14:paraId="07DA4A75" w14:textId="77777777" w:rsidR="008C0FFC" w:rsidRPr="008C0FFC" w:rsidRDefault="008C0FFC" w:rsidP="008C0FFC">
      <w:r w:rsidRPr="008C0FFC">
        <w:t xml:space="preserve">En los últimos años, el uso de herramientas digitales ha transformado la forma en que se realiza el análisis financiero. Plataformas como Excel avanzado, </w:t>
      </w:r>
      <w:proofErr w:type="spellStart"/>
      <w:r w:rsidRPr="008C0FFC">
        <w:t>Power</w:t>
      </w:r>
      <w:proofErr w:type="spellEnd"/>
      <w:r w:rsidRPr="008C0FFC">
        <w:t xml:space="preserve"> BI, </w:t>
      </w:r>
      <w:proofErr w:type="spellStart"/>
      <w:r w:rsidRPr="00451FF0">
        <w:rPr>
          <w:rStyle w:val="Extranjerismo"/>
          <w:lang w:val="es-CO"/>
        </w:rPr>
        <w:lastRenderedPageBreak/>
        <w:t>Tableau</w:t>
      </w:r>
      <w:proofErr w:type="spellEnd"/>
      <w:r w:rsidRPr="008C0FFC">
        <w:t xml:space="preserve"> o </w:t>
      </w:r>
      <w:r w:rsidRPr="00507669">
        <w:rPr>
          <w:rStyle w:val="Extranjerismo"/>
          <w:lang w:val="es-CO"/>
        </w:rPr>
        <w:t>software</w:t>
      </w:r>
      <w:r w:rsidRPr="008C0FFC">
        <w:t xml:space="preserve"> ERP permiten automatizar el cálculo de indicadores, visualizar resultados en tiempo real y generar reportes interactivos que facilitan la interpretación de los datos. Estas herramientas permiten a los gestores financieros y emprendedores identificar patrones, hacer simulaciones y tomar decisiones más ágiles y fundamentadas.</w:t>
      </w:r>
    </w:p>
    <w:p w14:paraId="7D1AFF27" w14:textId="77777777" w:rsidR="008C0FFC" w:rsidRPr="008C0FFC" w:rsidRDefault="008C0FFC" w:rsidP="008C0FFC">
      <w:r w:rsidRPr="008C0FFC">
        <w:t xml:space="preserve">El uso de </w:t>
      </w:r>
      <w:proofErr w:type="spellStart"/>
      <w:r w:rsidRPr="00451FF0">
        <w:rPr>
          <w:rStyle w:val="Extranjerismo"/>
          <w:lang w:val="es-CO"/>
        </w:rPr>
        <w:t>dashboards</w:t>
      </w:r>
      <w:proofErr w:type="spellEnd"/>
      <w:r w:rsidRPr="008C0FFC">
        <w:t xml:space="preserve"> o tableros de control financiero, por ejemplo, facilita una lectura intuitiva del desempeño de la empresa a través de gráficos dinámicos que conectan los principales indicadores con las metas estratégicas. De esta forma, la información contable deja de ser estática y se convierte en un recurso vivo, que se actualiza constantemente y permite tomar decisiones de forma oportuna, con una perspectiva más clara del impacto de cada acción.</w:t>
      </w:r>
    </w:p>
    <w:p w14:paraId="0FBB6711" w14:textId="77777777" w:rsidR="008C0FFC" w:rsidRPr="008C0FFC" w:rsidRDefault="008C0FFC" w:rsidP="008C0FFC">
      <w:r w:rsidRPr="008C0FFC">
        <w:t>Es importante resaltar que la interpretación adecuada de los indicadores requiere formación, criterio y contexto. No basta con calcular fórmulas; se necesita comprender qué representan los resultados, qué los está afectando y cómo se comparan con periodos anteriores o con otras empresas del sector. La experiencia y el conocimiento del negocio son complementos esenciales para dar sentido a los números y convertirlos en decisiones acertadas.</w:t>
      </w:r>
    </w:p>
    <w:p w14:paraId="236DC03C" w14:textId="4C83859B" w:rsidR="008C0FFC" w:rsidRDefault="008C0FFC" w:rsidP="008C0FFC">
      <w:r w:rsidRPr="008C0FFC">
        <w:t>En conclusión, los indicadores financieros son herramientas poderosas de gestión, pero su verdadero valor se revela cuando se usan de forma estratégica, integrada y apoyados en tecnología. Son el puente entre los datos y las decisiones, y permiten a la empresa no solo saber dónde está, sino también proyectar hacia dónde quiere ir, con fundamentos sólidos que disminuyan el riesgo y maximicen el potencial de crecimiento.</w:t>
      </w:r>
    </w:p>
    <w:p w14:paraId="42BCF582" w14:textId="77777777" w:rsidR="008C0FFC" w:rsidRPr="008C0FFC" w:rsidRDefault="008C0FFC" w:rsidP="008C0FFC">
      <w:pPr>
        <w:pStyle w:val="Ttulo8"/>
      </w:pPr>
      <w:r w:rsidRPr="008C0FFC">
        <w:lastRenderedPageBreak/>
        <w:t>Análisis de indicadores financieros</w:t>
      </w:r>
    </w:p>
    <w:p w14:paraId="66234342" w14:textId="77777777" w:rsidR="008C0FFC" w:rsidRPr="008C0FFC" w:rsidRDefault="008C0FFC" w:rsidP="008C0FFC">
      <w:r w:rsidRPr="008C0FFC">
        <w:t>Es una herramienta fundamental para evaluar, controlar y proyectar el desempeño de una empresa en todos sus niveles. A través de ellos, los responsables financieros pueden obtener una visión cuantitativa y cualitativa del estado real del negocio, permitiendo tomar decisiones más acertadas, reducir la incertidumbre y alinear la operación diaria con los objetivos estratégicos de la organización. Estos indicadores convierten los estados financieros en una fuente activa de información para gestionar de forma más eficiente.</w:t>
      </w:r>
    </w:p>
    <w:p w14:paraId="0AC2DAAB" w14:textId="77777777" w:rsidR="008C0FFC" w:rsidRPr="008C0FFC" w:rsidRDefault="008C0FFC" w:rsidP="008C0FFC">
      <w:r w:rsidRPr="008C0FFC">
        <w:t>Los diferentes grupos de indicadores liquidez, endeudamiento, rentabilidad y eficiencia, ofrecen una visión integral y complementaria de la salud financiera de la empresa, de la siguiente manera:</w:t>
      </w:r>
    </w:p>
    <w:p w14:paraId="704B8F2F" w14:textId="77777777" w:rsidR="008C0FFC" w:rsidRPr="008C0FFC" w:rsidRDefault="008C0FFC" w:rsidP="00E727BC">
      <w:pPr>
        <w:pStyle w:val="Prrafodelista"/>
        <w:numPr>
          <w:ilvl w:val="0"/>
          <w:numId w:val="25"/>
        </w:numPr>
      </w:pPr>
      <w:r w:rsidRPr="008C0FFC">
        <w:rPr>
          <w:b/>
          <w:bCs/>
        </w:rPr>
        <w:t>Liquidez</w:t>
      </w:r>
      <w:r w:rsidRPr="008C0FFC">
        <w:t>: permiten anticipar posibles tensiones de caja y mantener una operación fluida.</w:t>
      </w:r>
    </w:p>
    <w:p w14:paraId="1DC0FFB4" w14:textId="77777777" w:rsidR="008C0FFC" w:rsidRPr="008C0FFC" w:rsidRDefault="008C0FFC" w:rsidP="00E727BC">
      <w:pPr>
        <w:pStyle w:val="Prrafodelista"/>
        <w:numPr>
          <w:ilvl w:val="0"/>
          <w:numId w:val="25"/>
        </w:numPr>
      </w:pPr>
      <w:r w:rsidRPr="008C0FFC">
        <w:rPr>
          <w:b/>
          <w:bCs/>
        </w:rPr>
        <w:t>Endeudamiento</w:t>
      </w:r>
      <w:r w:rsidRPr="008C0FFC">
        <w:t>: reflejan el nivel de riesgo financiero y la estructura de capital.</w:t>
      </w:r>
    </w:p>
    <w:p w14:paraId="101E5929" w14:textId="77777777" w:rsidR="008C0FFC" w:rsidRPr="008C0FFC" w:rsidRDefault="008C0FFC" w:rsidP="00E727BC">
      <w:pPr>
        <w:pStyle w:val="Prrafodelista"/>
        <w:numPr>
          <w:ilvl w:val="0"/>
          <w:numId w:val="25"/>
        </w:numPr>
      </w:pPr>
      <w:r w:rsidRPr="008C0FFC">
        <w:rPr>
          <w:b/>
          <w:bCs/>
        </w:rPr>
        <w:t>Rentabilidad</w:t>
      </w:r>
      <w:r w:rsidRPr="008C0FFC">
        <w:t>: revelan la capacidad para generar valor, mientras que los de eficiencia permiten medir el uso adecuado de los recursos.</w:t>
      </w:r>
    </w:p>
    <w:p w14:paraId="774F3948" w14:textId="77777777" w:rsidR="008C0FFC" w:rsidRPr="008C0FFC" w:rsidRDefault="008C0FFC" w:rsidP="008C0FFC">
      <w:r w:rsidRPr="008C0FFC">
        <w:t>Juntos, forman un sistema de alerta temprana que facilita la acción preventiva y la mejora continua.</w:t>
      </w:r>
    </w:p>
    <w:p w14:paraId="3555729F" w14:textId="77777777" w:rsidR="008C0FFC" w:rsidRPr="008C0FFC" w:rsidRDefault="008C0FFC" w:rsidP="008C0FFC">
      <w:r w:rsidRPr="008C0FFC">
        <w:t xml:space="preserve">No obstante, el verdadero valor de estos indicadores no está solo en su cálculo, sino en su interpretación dentro del contexto del negocio. Una empresa no debe basar su análisis financiero en cifras absolutas, sino en relaciones, tendencias y comparaciones. Así, se hace necesario que estos indicadores se analicen como un </w:t>
      </w:r>
      <w:r w:rsidRPr="008C0FFC">
        <w:lastRenderedPageBreak/>
        <w:t>conjunto articulado, no como cifras aisladas. Además, deben adaptarse a la realidad de cada organización, su tamaño, sector, ciclo de vida y objetivos estratégicos.</w:t>
      </w:r>
    </w:p>
    <w:p w14:paraId="2A1B1428" w14:textId="77777777" w:rsidR="008C0FFC" w:rsidRPr="008C0FFC" w:rsidRDefault="008C0FFC" w:rsidP="008C0FFC">
      <w:r w:rsidRPr="008C0FFC">
        <w:t xml:space="preserve">Hoy en día, el uso de herramientas digitales y sistemas de visualización financiera como Excel avanzado, </w:t>
      </w:r>
      <w:proofErr w:type="spellStart"/>
      <w:r w:rsidRPr="008C0FFC">
        <w:t>Power</w:t>
      </w:r>
      <w:proofErr w:type="spellEnd"/>
      <w:r w:rsidRPr="008C0FFC">
        <w:t xml:space="preserve"> BI o tableros de control, ha fortalecido significativamente la manera como se gestionan estos indicadores. Estas plataformas permiten automatizar procesos, actualizar datos en tiempo real y tomar decisiones con mayor agilidad. Así, el análisis financiero deja de ser una tarea meramente contable y se convierte en un proceso dinámico de gestión estratégica que impacta directamente en la competitividad de la empresa.</w:t>
      </w:r>
    </w:p>
    <w:p w14:paraId="6BE10690" w14:textId="747D7F25" w:rsidR="00752E11" w:rsidRDefault="008C0FFC" w:rsidP="008C0FFC">
      <w:r w:rsidRPr="008C0FFC">
        <w:t>En conclusión, los indicadores financieros son mucho más que fórmulas: son instrumentos clave para la sostenibilidad, el crecimiento y la toma de decisiones informadas. Su aplicación exige conocimiento técnico, pensamiento crítico, uso de tecnología y comprensión profunda del entorno empresarial. Incorporar el análisis de indicadores en la cultura organizacional fortalece la visión a largo plazo, mejora el desempeño y potencia el liderazgo financiero dentro de cualquier organización.</w:t>
      </w:r>
    </w:p>
    <w:p w14:paraId="0D83B70A" w14:textId="77777777" w:rsidR="00752E11" w:rsidRDefault="00752E11">
      <w:pPr>
        <w:spacing w:before="0" w:after="160" w:line="259" w:lineRule="auto"/>
        <w:ind w:firstLine="0"/>
      </w:pPr>
      <w:r>
        <w:br w:type="page"/>
      </w:r>
    </w:p>
    <w:p w14:paraId="76FD74FA" w14:textId="708FF9EA" w:rsidR="008C0FFC" w:rsidRDefault="00752E11" w:rsidP="00E727BC">
      <w:pPr>
        <w:pStyle w:val="Ttulo1"/>
        <w:numPr>
          <w:ilvl w:val="0"/>
          <w:numId w:val="33"/>
        </w:numPr>
      </w:pPr>
      <w:bookmarkStart w:id="11" w:name="_Toc201665095"/>
      <w:r>
        <w:lastRenderedPageBreak/>
        <w:t>Indicadores de gestión</w:t>
      </w:r>
      <w:bookmarkEnd w:id="11"/>
    </w:p>
    <w:p w14:paraId="4B17F720" w14:textId="77777777" w:rsidR="00752E11" w:rsidRPr="00752E11" w:rsidRDefault="00752E11" w:rsidP="00752E11">
      <w:pPr>
        <w:pStyle w:val="Sangradetextonormal"/>
      </w:pPr>
      <w:r w:rsidRPr="00752E11">
        <w:t>Son herramientas fundamentales, tanto cuantitativas como cualitativas, que permiten medir el desempeño de una organización en relación con sus objetivos estratégicos, tácticos y operativos. A través de estos indicadores, las empresas pueden monitorear y evaluar la eficacia de sus procesos internos, la eficiencia en la utilización de los recursos y la calidad de los resultados obtenidos. Los indicadores actúan como señales de alerta que orientan sobre el cumplimiento de las metas y permiten identificar de manera oportuna las desviaciones que pueden comprometer el logro de los objetivos organizacionales. </w:t>
      </w:r>
    </w:p>
    <w:p w14:paraId="717052F9" w14:textId="77777777" w:rsidR="00752E11" w:rsidRPr="00752E11" w:rsidRDefault="00752E11" w:rsidP="00752E11">
      <w:r w:rsidRPr="00752E11">
        <w:t>El propósito principal de los indicadores de gestión, es facilitar la toma de decisiones informadas, basadas en datos objetivos y actualizados, en lugar de percepciones subjetivas. Un buen sistema de indicadores, permite a los directivos y responsables de áreas, realizar un seguimiento permanente de los avances, detectar oportunidades de mejora, implementar acciones correctivas de manera anticipada y, en general, fortalecer la gestión organizacional. Asimismo, su aplicación contribuye a fomentar una cultura de resultados dentro de la organización, donde el desempeño de cada área y de cada colaborador se mide de acuerdo con parámetros claros y consensuados. </w:t>
      </w:r>
    </w:p>
    <w:p w14:paraId="7D2C1E2D" w14:textId="77777777" w:rsidR="00752E11" w:rsidRPr="00752E11" w:rsidRDefault="00752E11" w:rsidP="00752E11">
      <w:r w:rsidRPr="00752E11">
        <w:t>Para que los indicadores de gestión sean efectivos, deben cumplir con ciertas características básicas: </w:t>
      </w:r>
    </w:p>
    <w:p w14:paraId="208EB124" w14:textId="77777777" w:rsidR="00752E11" w:rsidRPr="00752E11" w:rsidRDefault="00752E11" w:rsidP="00E727BC">
      <w:pPr>
        <w:pStyle w:val="Prrafodelista"/>
        <w:numPr>
          <w:ilvl w:val="0"/>
          <w:numId w:val="26"/>
        </w:numPr>
        <w:rPr>
          <w:b/>
          <w:bCs/>
        </w:rPr>
      </w:pPr>
      <w:r w:rsidRPr="00752E11">
        <w:rPr>
          <w:b/>
          <w:bCs/>
        </w:rPr>
        <w:t>Ser específicos </w:t>
      </w:r>
    </w:p>
    <w:p w14:paraId="1D2E713F" w14:textId="77777777" w:rsidR="00752E11" w:rsidRPr="00752E11" w:rsidRDefault="00752E11" w:rsidP="00752E11">
      <w:pPr>
        <w:pStyle w:val="Prrafodelista"/>
        <w:ind w:left="1429" w:firstLine="0"/>
      </w:pPr>
      <w:r w:rsidRPr="00752E11">
        <w:t>Deben medir un aspecto claramente definido y relevante para la operación.  </w:t>
      </w:r>
    </w:p>
    <w:p w14:paraId="3E16A64F" w14:textId="77777777" w:rsidR="00752E11" w:rsidRPr="00752E11" w:rsidRDefault="00752E11" w:rsidP="00E727BC">
      <w:pPr>
        <w:pStyle w:val="Prrafodelista"/>
        <w:numPr>
          <w:ilvl w:val="0"/>
          <w:numId w:val="26"/>
        </w:numPr>
        <w:rPr>
          <w:b/>
          <w:bCs/>
        </w:rPr>
      </w:pPr>
      <w:r w:rsidRPr="00752E11">
        <w:rPr>
          <w:b/>
          <w:bCs/>
        </w:rPr>
        <w:lastRenderedPageBreak/>
        <w:t>Ser medibles  </w:t>
      </w:r>
    </w:p>
    <w:p w14:paraId="05F70702" w14:textId="77777777" w:rsidR="00752E11" w:rsidRPr="00752E11" w:rsidRDefault="00752E11" w:rsidP="00752E11">
      <w:pPr>
        <w:pStyle w:val="Prrafodelista"/>
        <w:ind w:left="1429" w:firstLine="0"/>
      </w:pPr>
      <w:r w:rsidRPr="00752E11">
        <w:t>De manera objetiva y alcanzables dentro de los recursos y capacidades de la organización, relevantes en el contexto de los objetivos estratégicos y con un marco temporal definido que permita evaluar la evolución en el tiempo.  </w:t>
      </w:r>
    </w:p>
    <w:p w14:paraId="70D49730" w14:textId="77777777" w:rsidR="00752E11" w:rsidRPr="00752E11" w:rsidRDefault="00752E11" w:rsidP="00752E11">
      <w:r w:rsidRPr="00752E11">
        <w:t>Esta estructura garantiza que los indicadores no solo reflejen la situación actual, sino que también sirvan como base para la planificación futura y la mejora continua. </w:t>
      </w:r>
    </w:p>
    <w:p w14:paraId="26B906DF" w14:textId="77777777" w:rsidR="00752E11" w:rsidRPr="00752E11" w:rsidRDefault="00752E11" w:rsidP="00752E11">
      <w:r w:rsidRPr="00752E11">
        <w:t>El diseño adecuado de los indicadores, debe abarcar todas las áreas críticas de la organización: producción, ventas, atención al cliente, gestión del talento humano, finanzas, entre otras. Por ejemplo, en las siguientes áreas puede realizarse lo siguiente: </w:t>
      </w:r>
    </w:p>
    <w:p w14:paraId="23496B5C" w14:textId="77777777" w:rsidR="00752E11" w:rsidRPr="00204A79" w:rsidRDefault="00752E11" w:rsidP="00E727BC">
      <w:pPr>
        <w:pStyle w:val="Prrafodelista"/>
        <w:numPr>
          <w:ilvl w:val="0"/>
          <w:numId w:val="27"/>
        </w:numPr>
        <w:rPr>
          <w:b/>
          <w:bCs/>
        </w:rPr>
      </w:pPr>
      <w:r w:rsidRPr="00204A79">
        <w:rPr>
          <w:b/>
          <w:bCs/>
        </w:rPr>
        <w:t>Comercial </w:t>
      </w:r>
    </w:p>
    <w:p w14:paraId="52A873CD" w14:textId="77777777" w:rsidR="00752E11" w:rsidRPr="00752E11" w:rsidRDefault="00752E11" w:rsidP="00204A79">
      <w:pPr>
        <w:pStyle w:val="Prrafodelista"/>
        <w:ind w:left="1429" w:firstLine="0"/>
      </w:pPr>
      <w:r w:rsidRPr="00752E11">
        <w:t>El porcentaje de cumplimiento de las metas de ventas. </w:t>
      </w:r>
    </w:p>
    <w:p w14:paraId="00357596" w14:textId="77777777" w:rsidR="00752E11" w:rsidRPr="00204A79" w:rsidRDefault="00752E11" w:rsidP="00E727BC">
      <w:pPr>
        <w:pStyle w:val="Prrafodelista"/>
        <w:numPr>
          <w:ilvl w:val="0"/>
          <w:numId w:val="27"/>
        </w:numPr>
        <w:rPr>
          <w:b/>
          <w:bCs/>
        </w:rPr>
      </w:pPr>
      <w:r w:rsidRPr="00204A79">
        <w:rPr>
          <w:b/>
          <w:bCs/>
        </w:rPr>
        <w:t>Producción </w:t>
      </w:r>
    </w:p>
    <w:p w14:paraId="1DECA7C7" w14:textId="77777777" w:rsidR="00752E11" w:rsidRPr="00752E11" w:rsidRDefault="00752E11" w:rsidP="00204A79">
      <w:pPr>
        <w:pStyle w:val="Prrafodelista"/>
        <w:ind w:left="1429" w:firstLine="0"/>
      </w:pPr>
      <w:r w:rsidRPr="00752E11">
        <w:t>El nivel de eficiencia en el uso de insumos. </w:t>
      </w:r>
    </w:p>
    <w:p w14:paraId="1A775E7A" w14:textId="692248E2" w:rsidR="00752E11" w:rsidRPr="00752E11" w:rsidRDefault="00752E11" w:rsidP="00752E11">
      <w:r w:rsidRPr="00752E11">
        <w:t> A través del monitoreo sistemático de estos indicadores, es posible identificar desviaciones respecto a los estándares esperados, corregir fallos en los procesos y ajustar planes de acción en tiempo real, optimizando así el desempeño global de la organización. </w:t>
      </w:r>
    </w:p>
    <w:p w14:paraId="70703A25" w14:textId="691F8569" w:rsidR="00752E11" w:rsidRDefault="00752E11" w:rsidP="00752E11">
      <w:r w:rsidRPr="00752E11">
        <w:t xml:space="preserve">Los indicadores de gestión, cumplen un rol esencial en la rendición de cuentas, al proporcionar información objetiva y verificable sobre los resultados alcanzados en comparación con los planes establecidos. Además, funcionan como herramientas de motivación y reconocimiento para los equipos de trabajo, al visibilizar los logros individuales y colectivos, reforzando el sentido de pertenencia y compromiso hacia la </w:t>
      </w:r>
      <w:r w:rsidRPr="00752E11">
        <w:lastRenderedPageBreak/>
        <w:t>organización. Una gestión basada en indicadores, no solo mejora los resultados operativos, sino que también: </w:t>
      </w:r>
    </w:p>
    <w:p w14:paraId="794DEA81" w14:textId="776800BA" w:rsidR="000464DB" w:rsidRDefault="000464DB" w:rsidP="00E727BC">
      <w:pPr>
        <w:pStyle w:val="Prrafodelista"/>
        <w:numPr>
          <w:ilvl w:val="0"/>
          <w:numId w:val="28"/>
        </w:numPr>
      </w:pPr>
      <w:r>
        <w:t>Fortalece el liderazgo interno.</w:t>
      </w:r>
    </w:p>
    <w:p w14:paraId="6BF0CA7E" w14:textId="636428F7" w:rsidR="000464DB" w:rsidRDefault="000464DB" w:rsidP="00E727BC">
      <w:pPr>
        <w:pStyle w:val="Prrafodelista"/>
        <w:numPr>
          <w:ilvl w:val="0"/>
          <w:numId w:val="28"/>
        </w:numPr>
      </w:pPr>
      <w:r>
        <w:t>Promueve la transparencia organizacional.</w:t>
      </w:r>
    </w:p>
    <w:p w14:paraId="14846499" w14:textId="5B462930" w:rsidR="000464DB" w:rsidRPr="00752E11" w:rsidRDefault="000464DB" w:rsidP="00E727BC">
      <w:pPr>
        <w:pStyle w:val="Prrafodelista"/>
        <w:numPr>
          <w:ilvl w:val="0"/>
          <w:numId w:val="28"/>
        </w:numPr>
      </w:pPr>
      <w:r>
        <w:t>Consolida una cultura orientada a la excelencia y a la mejora continua.</w:t>
      </w:r>
    </w:p>
    <w:p w14:paraId="3DCDF65B" w14:textId="77777777" w:rsidR="00752E11" w:rsidRPr="004B149F" w:rsidRDefault="00752E11" w:rsidP="004B149F">
      <w:pPr>
        <w:pStyle w:val="Ttulo8"/>
      </w:pPr>
      <w:r w:rsidRPr="004B149F">
        <w:t>Tipos y clasificación </w:t>
      </w:r>
    </w:p>
    <w:p w14:paraId="2170CF10" w14:textId="77777777" w:rsidR="00752E11" w:rsidRPr="00752E11" w:rsidRDefault="00752E11" w:rsidP="004B149F">
      <w:pPr>
        <w:pStyle w:val="Sangradetextonormal"/>
      </w:pPr>
      <w:r w:rsidRPr="00752E11">
        <w:t>Los indicadores de gestión se clasifican según el tipo de resultado que permiten evaluar dentro de los procesos organizacionales. Entre los más utilizados se encuentran los indicadores de eficiencia, eficacia, productividad y calidad. Esta clasificación permite abordar el análisis desde distintas perspectivas, lo que facilita una visión integral del desempeño empresarial y una toma de decisiones más acertada. A continuación, se relaciona lo que tiene que ver con cada uno: </w:t>
      </w:r>
    </w:p>
    <w:p w14:paraId="52DDB221" w14:textId="658DE4D6" w:rsidR="00752E11" w:rsidRPr="004B149F" w:rsidRDefault="00752E11" w:rsidP="00E727BC">
      <w:pPr>
        <w:pStyle w:val="Prrafodelista"/>
        <w:numPr>
          <w:ilvl w:val="0"/>
          <w:numId w:val="29"/>
        </w:numPr>
        <w:rPr>
          <w:b/>
          <w:bCs/>
        </w:rPr>
      </w:pPr>
      <w:r w:rsidRPr="004B149F">
        <w:rPr>
          <w:b/>
          <w:bCs/>
        </w:rPr>
        <w:t>Indicadores de eficiencia  </w:t>
      </w:r>
    </w:p>
    <w:p w14:paraId="1E07820B" w14:textId="77777777" w:rsidR="00752E11" w:rsidRPr="00752E11" w:rsidRDefault="00752E11" w:rsidP="004B149F">
      <w:pPr>
        <w:pStyle w:val="Prrafodelista"/>
        <w:ind w:left="1429" w:firstLine="0"/>
      </w:pPr>
      <w:r w:rsidRPr="00752E11">
        <w:t>Miden la relación entre los recursos utilizados y los resultados obtenidos. Su objetivo es evaluar si la organización está haciendo un uso adecuado de sus recursos como tiempo, dinero, personal o materiales para generar un determinado resultado.  </w:t>
      </w:r>
    </w:p>
    <w:p w14:paraId="2FAF0082" w14:textId="081862BB" w:rsidR="00752E11" w:rsidRPr="00752E11" w:rsidRDefault="00752E11" w:rsidP="004B149F">
      <w:pPr>
        <w:pStyle w:val="Prrafodelista"/>
        <w:ind w:left="1429" w:firstLine="0"/>
      </w:pPr>
      <w:r w:rsidRPr="00752E11">
        <w:t>Por ejemplo, un indicador de eficiencia podría ser el costo por unidad producida o el tiempo promedio de atención al cliente. </w:t>
      </w:r>
    </w:p>
    <w:p w14:paraId="61BCEDEC" w14:textId="206B444F" w:rsidR="00752E11" w:rsidRPr="00752E11" w:rsidRDefault="00752E11" w:rsidP="004B149F">
      <w:pPr>
        <w:pStyle w:val="Prrafodelista"/>
        <w:ind w:left="1429" w:firstLine="0"/>
      </w:pPr>
      <w:r w:rsidRPr="00752E11">
        <w:t>Un buen nivel de eficiencia implica lograr los resultados con el menor consumo posible de recursos. </w:t>
      </w:r>
    </w:p>
    <w:p w14:paraId="0D5922BF" w14:textId="3A9831EE" w:rsidR="004B149F" w:rsidRDefault="004B149F" w:rsidP="004B149F">
      <w:pPr>
        <w:pStyle w:val="Encabezado"/>
        <w:tabs>
          <w:tab w:val="clear" w:pos="4419"/>
          <w:tab w:val="clear" w:pos="8838"/>
        </w:tabs>
        <w:spacing w:before="160" w:after="120" w:line="360" w:lineRule="auto"/>
        <w:ind w:firstLine="769"/>
      </w:pPr>
    </w:p>
    <w:p w14:paraId="15AC47AD" w14:textId="77777777" w:rsidR="004B149F" w:rsidRDefault="004B149F" w:rsidP="00752E11">
      <w:pPr>
        <w:rPr>
          <w:b/>
          <w:bCs/>
        </w:rPr>
      </w:pPr>
    </w:p>
    <w:p w14:paraId="2FA42320" w14:textId="52836451" w:rsidR="00752E11" w:rsidRPr="004B149F" w:rsidRDefault="00752E11" w:rsidP="00E727BC">
      <w:pPr>
        <w:pStyle w:val="Prrafodelista"/>
        <w:numPr>
          <w:ilvl w:val="0"/>
          <w:numId w:val="29"/>
        </w:numPr>
        <w:rPr>
          <w:b/>
          <w:bCs/>
        </w:rPr>
      </w:pPr>
      <w:r w:rsidRPr="004B149F">
        <w:rPr>
          <w:b/>
          <w:bCs/>
        </w:rPr>
        <w:lastRenderedPageBreak/>
        <w:t>Indicadores de eficacia  </w:t>
      </w:r>
    </w:p>
    <w:p w14:paraId="46E45E43" w14:textId="77777777" w:rsidR="00752E11" w:rsidRPr="00752E11" w:rsidRDefault="00752E11" w:rsidP="004B149F">
      <w:pPr>
        <w:pStyle w:val="Prrafodelista"/>
        <w:ind w:left="1429" w:firstLine="0"/>
      </w:pPr>
      <w:r w:rsidRPr="00752E11">
        <w:t>Se enfocan en el grado de cumplimiento de los objetivos propuestos. A diferencia de la eficiencia, no consideran el uso de recursos, sino si se logró o no lo que se esperaba.  </w:t>
      </w:r>
    </w:p>
    <w:p w14:paraId="3DC7EEAF" w14:textId="77777777" w:rsidR="00752E11" w:rsidRPr="00752E11" w:rsidRDefault="00752E11" w:rsidP="004B149F">
      <w:pPr>
        <w:pStyle w:val="Prrafodelista"/>
        <w:ind w:left="1429" w:firstLine="0"/>
      </w:pPr>
      <w:r w:rsidRPr="00752E11">
        <w:t>Un ejemplo de este tipo de indicador, sería el porcentaje de cumplimiento del plan de ventas o el número de proyectos finalizados dentro del plazo estipulado.  </w:t>
      </w:r>
    </w:p>
    <w:p w14:paraId="736BDDB4" w14:textId="77777777" w:rsidR="00752E11" w:rsidRPr="00752E11" w:rsidRDefault="00752E11" w:rsidP="004B149F">
      <w:pPr>
        <w:pStyle w:val="Prrafodelista"/>
        <w:ind w:left="1429" w:firstLine="0"/>
      </w:pPr>
      <w:r w:rsidRPr="00752E11">
        <w:t>La eficacia apunta directamente a los resultados, sin importar cómo se alcanzaron. </w:t>
      </w:r>
    </w:p>
    <w:p w14:paraId="0B05C3BA" w14:textId="77777777" w:rsidR="00752E11" w:rsidRPr="004B149F" w:rsidRDefault="00752E11" w:rsidP="00E727BC">
      <w:pPr>
        <w:pStyle w:val="Ttulo8"/>
        <w:numPr>
          <w:ilvl w:val="0"/>
          <w:numId w:val="29"/>
        </w:numPr>
      </w:pPr>
      <w:r w:rsidRPr="004B149F">
        <w:t>Indicadores de productividad  </w:t>
      </w:r>
    </w:p>
    <w:p w14:paraId="7732720F" w14:textId="77777777" w:rsidR="00752E11" w:rsidRPr="00752E11" w:rsidRDefault="00752E11" w:rsidP="004B149F">
      <w:pPr>
        <w:pStyle w:val="Prrafodelista"/>
        <w:ind w:left="1429" w:firstLine="0"/>
      </w:pPr>
      <w:r w:rsidRPr="00752E11">
        <w:t>Combinan elementos de eficiencia y eficacia, al medir la cantidad de productos o servicios generados en relación con los recursos utilizados. </w:t>
      </w:r>
    </w:p>
    <w:p w14:paraId="1716EEAD" w14:textId="77777777" w:rsidR="00752E11" w:rsidRPr="00752E11" w:rsidRDefault="00752E11" w:rsidP="004B149F">
      <w:pPr>
        <w:pStyle w:val="Prrafodelista"/>
        <w:ind w:left="1429" w:firstLine="0"/>
      </w:pPr>
      <w:r w:rsidRPr="00752E11">
        <w:t>Por ejemplo, la cantidad de unidades producidas en una planta, con relación a las horas-hombre. </w:t>
      </w:r>
    </w:p>
    <w:p w14:paraId="542824DE" w14:textId="77777777" w:rsidR="00752E11" w:rsidRPr="00752E11" w:rsidRDefault="00752E11" w:rsidP="004B149F">
      <w:pPr>
        <w:pStyle w:val="Prrafodelista"/>
        <w:ind w:left="1429" w:firstLine="0"/>
      </w:pPr>
      <w:r w:rsidRPr="00752E11">
        <w:t>Son muy útiles para evaluar el rendimiento de áreas operativas.  </w:t>
      </w:r>
    </w:p>
    <w:p w14:paraId="66724B50" w14:textId="77777777" w:rsidR="00752E11" w:rsidRPr="004B149F" w:rsidRDefault="00752E11" w:rsidP="00E727BC">
      <w:pPr>
        <w:pStyle w:val="Ttulo8"/>
        <w:numPr>
          <w:ilvl w:val="0"/>
          <w:numId w:val="29"/>
        </w:numPr>
      </w:pPr>
      <w:r w:rsidRPr="004B149F">
        <w:t>Indicadores de calidad  </w:t>
      </w:r>
    </w:p>
    <w:p w14:paraId="49C01E12" w14:textId="77777777" w:rsidR="00752E11" w:rsidRPr="00752E11" w:rsidRDefault="00752E11" w:rsidP="004B149F">
      <w:pPr>
        <w:pStyle w:val="Prrafodelista"/>
        <w:ind w:left="1429" w:firstLine="0"/>
      </w:pPr>
      <w:r w:rsidRPr="00752E11">
        <w:t>Se centran en la satisfacción del cliente y en el cumplimiento de estándares establecidos.  </w:t>
      </w:r>
    </w:p>
    <w:p w14:paraId="5C256053" w14:textId="77777777" w:rsidR="00752E11" w:rsidRPr="00752E11" w:rsidRDefault="00752E11" w:rsidP="004B149F">
      <w:pPr>
        <w:pStyle w:val="Prrafodelista"/>
        <w:ind w:left="1429" w:firstLine="0"/>
      </w:pPr>
      <w:r w:rsidRPr="00752E11">
        <w:t>Un ejemplo de ello, podría ser la cantidad de productos fabricados, de los cuales alguna cierta cantidad presentaría defectos </w:t>
      </w:r>
    </w:p>
    <w:p w14:paraId="49D1D482" w14:textId="77777777" w:rsidR="00752E11" w:rsidRPr="00752E11" w:rsidRDefault="00752E11" w:rsidP="004B149F">
      <w:pPr>
        <w:pStyle w:val="Prrafodelista"/>
        <w:ind w:left="1429" w:firstLine="0"/>
      </w:pPr>
      <w:r w:rsidRPr="00752E11">
        <w:t>Evalúan aspectos como el número de errores, devoluciones o quejas y son fundamentales para garantizar procesos sostenibles y alineados con las expectativas del mercado. </w:t>
      </w:r>
    </w:p>
    <w:p w14:paraId="4E39ACA4" w14:textId="77777777" w:rsidR="00752E11" w:rsidRPr="004B149F" w:rsidRDefault="00752E11" w:rsidP="004B149F">
      <w:pPr>
        <w:pStyle w:val="Ttulo8"/>
      </w:pPr>
      <w:r w:rsidRPr="004B149F">
        <w:lastRenderedPageBreak/>
        <w:t>Aplicación en la evaluación del desempeño empresarial </w:t>
      </w:r>
    </w:p>
    <w:p w14:paraId="15A0E2FA" w14:textId="77777777" w:rsidR="00752E11" w:rsidRPr="00752E11" w:rsidRDefault="00752E11" w:rsidP="00752E11">
      <w:r w:rsidRPr="00752E11">
        <w:t>La aplicación de los indicadores de gestión en la evaluación del desempeño empresarial, permite obtener una visión clara, objetiva y estructurada del funcionamiento interno de la organización. Estos indicadores actúan como herramientas de control y seguimiento, facilitando la identificación de avances, retrocesos o desviaciones frente a las metas establecidas. Al utilizarlos de manera sistemática, las empresas pueden medir no solo el cumplimiento de sus planes, sino también la efectividad de sus estrategias operativas y administrativas. </w:t>
      </w:r>
    </w:p>
    <w:p w14:paraId="58304AAA" w14:textId="77777777" w:rsidR="00752E11" w:rsidRPr="00752E11" w:rsidRDefault="00752E11" w:rsidP="00752E11">
      <w:r w:rsidRPr="00752E11">
        <w:t>En la práctica, los indicadores de eficiencia, eficacia, productividad y calidad, permiten hacer un diagnóstico del rendimiento de las diferentes áreas de la organización. Por ejemplo: </w:t>
      </w:r>
    </w:p>
    <w:p w14:paraId="4FAD3E4A" w14:textId="77777777" w:rsidR="00752E11" w:rsidRPr="00777779" w:rsidRDefault="00752E11" w:rsidP="00E727BC">
      <w:pPr>
        <w:pStyle w:val="Prrafodelista"/>
        <w:numPr>
          <w:ilvl w:val="0"/>
          <w:numId w:val="30"/>
        </w:numPr>
        <w:rPr>
          <w:b/>
          <w:bCs/>
        </w:rPr>
      </w:pPr>
      <w:r w:rsidRPr="00777779">
        <w:rPr>
          <w:b/>
          <w:bCs/>
        </w:rPr>
        <w:t>Área de producción  </w:t>
      </w:r>
    </w:p>
    <w:p w14:paraId="443B7141" w14:textId="77777777" w:rsidR="00752E11" w:rsidRPr="00752E11" w:rsidRDefault="00752E11" w:rsidP="00777779">
      <w:pPr>
        <w:pStyle w:val="Prrafodelista"/>
        <w:ind w:left="1429" w:firstLine="0"/>
      </w:pPr>
      <w:r w:rsidRPr="00752E11">
        <w:t>Se pueden analizar tiempos de ciclo, niveles de desperdicio o unidades producidas por hora. </w:t>
      </w:r>
    </w:p>
    <w:p w14:paraId="0E1E271D" w14:textId="77777777" w:rsidR="00752E11" w:rsidRPr="00777779" w:rsidRDefault="00752E11" w:rsidP="00E727BC">
      <w:pPr>
        <w:pStyle w:val="Prrafodelista"/>
        <w:numPr>
          <w:ilvl w:val="0"/>
          <w:numId w:val="30"/>
        </w:numPr>
        <w:rPr>
          <w:b/>
          <w:bCs/>
        </w:rPr>
      </w:pPr>
      <w:r w:rsidRPr="00777779">
        <w:rPr>
          <w:b/>
          <w:bCs/>
        </w:rPr>
        <w:t>Área comercial  </w:t>
      </w:r>
    </w:p>
    <w:p w14:paraId="35CF366A" w14:textId="77777777" w:rsidR="00752E11" w:rsidRPr="00752E11" w:rsidRDefault="00752E11" w:rsidP="00777779">
      <w:pPr>
        <w:pStyle w:val="Prrafodelista"/>
        <w:ind w:left="1429" w:firstLine="0"/>
      </w:pPr>
      <w:r w:rsidRPr="00752E11">
        <w:t>Se pueden observar tasas de conversión, cumplimiento de metas de ventas o niveles de satisfacción del cliente.  </w:t>
      </w:r>
    </w:p>
    <w:p w14:paraId="696740CB" w14:textId="77777777" w:rsidR="00752E11" w:rsidRPr="00752E11" w:rsidRDefault="00752E11" w:rsidP="00752E11">
      <w:r w:rsidRPr="00752E11">
        <w:t>Esta aplicación sectorizada, permite detectar puntos críticos y establecer acciones correctivas o de mejora específicas. </w:t>
      </w:r>
    </w:p>
    <w:p w14:paraId="392DA61B" w14:textId="77777777" w:rsidR="00752E11" w:rsidRPr="00752E11" w:rsidRDefault="00752E11" w:rsidP="00FB6BE6">
      <w:pPr>
        <w:pStyle w:val="Sangradetextonormal"/>
      </w:pPr>
      <w:r w:rsidRPr="00752E11">
        <w:t>Adicionalmente, los indicadores: </w:t>
      </w:r>
    </w:p>
    <w:p w14:paraId="274A250A" w14:textId="77777777" w:rsidR="00752E11" w:rsidRPr="00752E11" w:rsidRDefault="00752E11" w:rsidP="00E727BC">
      <w:pPr>
        <w:pStyle w:val="Prrafodelista"/>
        <w:numPr>
          <w:ilvl w:val="0"/>
          <w:numId w:val="31"/>
        </w:numPr>
      </w:pPr>
      <w:r w:rsidRPr="00752E11">
        <w:t>Permiten establecer comparaciones entre periodos, sedes, equipos o incluso con referentes del sector, lo que enriquece el análisis del desempeño.  </w:t>
      </w:r>
    </w:p>
    <w:p w14:paraId="627BB231" w14:textId="77777777" w:rsidR="00752E11" w:rsidRPr="00752E11" w:rsidRDefault="00752E11" w:rsidP="00E727BC">
      <w:pPr>
        <w:pStyle w:val="Prrafodelista"/>
        <w:numPr>
          <w:ilvl w:val="0"/>
          <w:numId w:val="31"/>
        </w:numPr>
      </w:pPr>
      <w:r w:rsidRPr="00752E11">
        <w:lastRenderedPageBreak/>
        <w:t>Esta visión comparativa facilita la toma de decisiones estratégicas, como reasignación de recursos, cambios en procesos, ajustes en el modelo de negocio o rediseño de objetivos.  </w:t>
      </w:r>
    </w:p>
    <w:p w14:paraId="3E6FFF88" w14:textId="77777777" w:rsidR="00752E11" w:rsidRPr="00752E11" w:rsidRDefault="00752E11" w:rsidP="00E727BC">
      <w:pPr>
        <w:pStyle w:val="Prrafodelista"/>
        <w:numPr>
          <w:ilvl w:val="0"/>
          <w:numId w:val="31"/>
        </w:numPr>
      </w:pPr>
      <w:r w:rsidRPr="00752E11">
        <w:t>De esta manera, los indicadores se convierten en una guía para mejorar la competitividad y sostenibilidad de la empresa. </w:t>
      </w:r>
    </w:p>
    <w:p w14:paraId="69AAD64D" w14:textId="77777777" w:rsidR="00752E11" w:rsidRPr="00752E11" w:rsidRDefault="00752E11" w:rsidP="00752E11">
      <w:r w:rsidRPr="00752E11">
        <w:t>Otro beneficio importante de su aplicación, es que fomentan la cultura de la medición y la gestión basada en resultados. Cuando los colaboradores conocen los indicadores con los que serán evaluados y comprenden cómo se calculan, es más fácil alinear los esfuerzos individuales y colectivos con los objetivos de la organización. Esto también fortalece la transparencia y la rendición de cuentas dentro del ambiente laboral. </w:t>
      </w:r>
    </w:p>
    <w:p w14:paraId="59EC3644" w14:textId="77777777" w:rsidR="00752E11" w:rsidRPr="00752E11" w:rsidRDefault="00752E11" w:rsidP="00752E11">
      <w:r w:rsidRPr="00752E11">
        <w:t>Igualmente, la aplicación de estos indicadores, es fundamental para dirigir la organización con base en información real y actualizada. Más allá de ser simples métricas, estos indicadores permiten tomar decisiones oportunas, impulsar mejoras continuas y garantizar que los recursos se utilicen de manera eficiente para alcanzar los resultados esperados. Son, en esencia, el puente entre la planeación estratégica y la ejecución operativa. </w:t>
      </w:r>
    </w:p>
    <w:p w14:paraId="55EAB6ED" w14:textId="6761DCA8" w:rsidR="00752E11" w:rsidRDefault="00752E11" w:rsidP="00752E11">
      <w:r w:rsidRPr="00752E11">
        <w:t>Una vez analizado el papel de los indicadores de gestión en el control operativo y la evaluación del desempeño interno, es fundamental incorporar los indicadores financieros para obtener una visión más amplia y objetiva del estado económico de la organización</w:t>
      </w:r>
      <w:r w:rsidR="009A746A">
        <w:t>.</w:t>
      </w:r>
    </w:p>
    <w:p w14:paraId="28789557" w14:textId="77777777" w:rsidR="00752E11" w:rsidRPr="00752E11" w:rsidRDefault="00752E11" w:rsidP="00752E11">
      <w:r w:rsidRPr="00752E11">
        <w:lastRenderedPageBreak/>
        <w:t>El análisis comparativo complementa la interpretación, ya que permite evaluar los resultados actuales frente a distintos referentes. Al respecto, se tienen en cuenta los siguientes enfoques: </w:t>
      </w:r>
    </w:p>
    <w:p w14:paraId="3505EC05" w14:textId="77777777" w:rsidR="00752E11" w:rsidRPr="00092371" w:rsidRDefault="00752E11" w:rsidP="00E727BC">
      <w:pPr>
        <w:pStyle w:val="Ttulo8"/>
        <w:numPr>
          <w:ilvl w:val="0"/>
          <w:numId w:val="32"/>
        </w:numPr>
      </w:pPr>
      <w:r w:rsidRPr="00092371">
        <w:t>Comparación interanual  </w:t>
      </w:r>
    </w:p>
    <w:p w14:paraId="3F3C453F" w14:textId="77777777" w:rsidR="00752E11" w:rsidRPr="00752E11" w:rsidRDefault="00752E11" w:rsidP="00B155A1">
      <w:pPr>
        <w:pStyle w:val="Prrafodelista"/>
        <w:ind w:left="1429" w:firstLine="0"/>
      </w:pPr>
      <w:r w:rsidRPr="00752E11">
        <w:t>Uno de los enfoques más comunes es la comparación interanual, que permite observar tendencias, identificar variaciones relevantes y evaluar la evolución financiera de la empresa en el tiempo.  </w:t>
      </w:r>
    </w:p>
    <w:p w14:paraId="618C3FB9" w14:textId="407DFA5B" w:rsidR="00752E11" w:rsidRPr="00B155A1" w:rsidRDefault="00752E11" w:rsidP="00E727BC">
      <w:pPr>
        <w:pStyle w:val="Ttulo8"/>
        <w:numPr>
          <w:ilvl w:val="0"/>
          <w:numId w:val="32"/>
        </w:numPr>
        <w:rPr>
          <w:rStyle w:val="Extranjerismo"/>
        </w:rPr>
      </w:pPr>
      <w:r w:rsidRPr="00B155A1">
        <w:rPr>
          <w:rStyle w:val="Extranjerismo"/>
        </w:rPr>
        <w:t>Benchmarking  </w:t>
      </w:r>
    </w:p>
    <w:p w14:paraId="5C758B79" w14:textId="77777777" w:rsidR="00752E11" w:rsidRPr="00752E11" w:rsidRDefault="00752E11" w:rsidP="00B155A1">
      <w:pPr>
        <w:pStyle w:val="Prrafodelista"/>
        <w:ind w:left="1429" w:firstLine="0"/>
      </w:pPr>
      <w:r w:rsidRPr="00752E11">
        <w:t>También se puede realizar un benchmarking, comparando los indicadores con los de empresas similares del mismo sector, lo que permite establecer parámetros de desempeño competitivo. </w:t>
      </w:r>
    </w:p>
    <w:p w14:paraId="27D36507" w14:textId="77777777" w:rsidR="00752E11" w:rsidRPr="00092371" w:rsidRDefault="00752E11" w:rsidP="00E727BC">
      <w:pPr>
        <w:pStyle w:val="Ttulo8"/>
        <w:numPr>
          <w:ilvl w:val="0"/>
          <w:numId w:val="32"/>
        </w:numPr>
      </w:pPr>
      <w:r w:rsidRPr="00092371">
        <w:t>Metas presupuestadas o proyecciones financieras  </w:t>
      </w:r>
    </w:p>
    <w:p w14:paraId="73D783D3" w14:textId="77777777" w:rsidR="00752E11" w:rsidRPr="00752E11" w:rsidRDefault="00752E11" w:rsidP="00B155A1">
      <w:pPr>
        <w:pStyle w:val="Prrafodelista"/>
        <w:ind w:left="1429" w:firstLine="0"/>
      </w:pPr>
      <w:r w:rsidRPr="00752E11">
        <w:t>Este es otro tipo de comparación útil realizado, ya que este análisis permite evaluar si la empresa está cumpliendo con sus objetivos, si existen desviaciones y cuáles son sus posibles causas. </w:t>
      </w:r>
    </w:p>
    <w:p w14:paraId="6331CD6E" w14:textId="77777777" w:rsidR="00752E11" w:rsidRPr="00752E11" w:rsidRDefault="00752E11" w:rsidP="00752E11">
      <w:r w:rsidRPr="00752E11">
        <w:t>En este contexto, la interpretación de resultados no solo sirve para comprender el pasado y el presente financiero, sino también para proyectar escenarios futuros y ajustar el rumbo estratégico. </w:t>
      </w:r>
    </w:p>
    <w:p w14:paraId="08A2DB77" w14:textId="0D048304" w:rsidR="00752E11" w:rsidRDefault="00752E11" w:rsidP="00752E11">
      <w:r w:rsidRPr="00752E11">
        <w:t xml:space="preserve">Interpretar los resultados y realizar un análisis comparativo no es un ejercicio estático, sino una herramienta dinámica que facilita la gestión financiera. Más allá de calcular ratios, se trata de transformar los datos en información útil y significativa, que </w:t>
      </w:r>
      <w:r w:rsidRPr="00752E11">
        <w:lastRenderedPageBreak/>
        <w:t>sirva de base para la toma de decisiones, el control de gestión y la mejora continua del desempeño organizacional. </w:t>
      </w:r>
    </w:p>
    <w:p w14:paraId="0122EF19" w14:textId="6FDEC399" w:rsidR="00E55495" w:rsidRPr="00E55495" w:rsidRDefault="00E55495" w:rsidP="00E55495">
      <w:r w:rsidRPr="00E55495">
        <w:t>Tanto los indicadores de gestión como los financieros, proporcionan información valiosa por separado; sin embargo, su verdadero poder analítico se alcanza al integrarlos en un enfoque de análisis integral, que permita identificar causas, efectos y relaciones entre los distintos aspectos del desempeño organizacional.</w:t>
      </w:r>
    </w:p>
    <w:p w14:paraId="6ACA2A49" w14:textId="375C4467" w:rsidR="00752E11" w:rsidRPr="00752E11" w:rsidRDefault="00752E11" w:rsidP="00752E11">
      <w:r w:rsidRPr="00752E11">
        <w:t> </w:t>
      </w:r>
    </w:p>
    <w:p w14:paraId="68C52C5A" w14:textId="77777777" w:rsidR="00752E11" w:rsidRPr="00752E11" w:rsidRDefault="00752E11" w:rsidP="00752E11">
      <w:r w:rsidRPr="00752E11">
        <w:t> </w:t>
      </w:r>
    </w:p>
    <w:p w14:paraId="72D2E04B" w14:textId="77777777" w:rsidR="00752E11" w:rsidRPr="00752E11" w:rsidRDefault="00752E11" w:rsidP="00752E11"/>
    <w:p w14:paraId="32C5BFD2" w14:textId="5E104D28" w:rsidR="008C0FFC" w:rsidRDefault="008C0FFC" w:rsidP="008C0FFC">
      <w:pPr>
        <w:textAlignment w:val="baseline"/>
        <w:rPr>
          <w:rFonts w:ascii="Roboto" w:hAnsi="Roboto"/>
          <w:color w:val="12263F"/>
        </w:rPr>
      </w:pPr>
      <w:r>
        <w:rPr>
          <w:rFonts w:ascii="Roboto" w:hAnsi="Roboto"/>
          <w:noProof/>
          <w:color w:val="12263F"/>
        </w:rPr>
        <mc:AlternateContent>
          <mc:Choice Requires="wps">
            <w:drawing>
              <wp:inline distT="0" distB="0" distL="0" distR="0" wp14:anchorId="0E876375" wp14:editId="073D847C">
                <wp:extent cx="304800" cy="304800"/>
                <wp:effectExtent l="0" t="0" r="0" b="0"/>
                <wp:docPr id="34" name="Rectángulo 34" descr="Imagen decorativ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2430F6" id="Rectángulo 34" o:spid="_x0000_s1026" alt="Imagen decorativ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CBCB9A" w14:textId="6751A50E" w:rsidR="004B0DA2" w:rsidRDefault="004B0DA2">
      <w:pPr>
        <w:spacing w:before="0" w:after="160" w:line="259" w:lineRule="auto"/>
        <w:ind w:firstLine="0"/>
        <w:rPr>
          <w:rFonts w:ascii="Roboto" w:eastAsia="Times New Roman" w:hAnsi="Roboto" w:cs="Times New Roman"/>
          <w:color w:val="12263F"/>
          <w:kern w:val="0"/>
          <w:sz w:val="24"/>
          <w:szCs w:val="24"/>
          <w:lang w:eastAsia="es-CO"/>
          <w14:ligatures w14:val="none"/>
        </w:rPr>
      </w:pPr>
      <w:r>
        <w:rPr>
          <w:rFonts w:ascii="Roboto" w:hAnsi="Roboto"/>
          <w:color w:val="12263F"/>
        </w:rPr>
        <w:br w:type="page"/>
      </w:r>
    </w:p>
    <w:p w14:paraId="427B7F23" w14:textId="5818465B" w:rsidR="00EE4C61" w:rsidRPr="00EE4C61" w:rsidRDefault="00EE4C61" w:rsidP="0061041A">
      <w:pPr>
        <w:pStyle w:val="Ttulo1"/>
      </w:pPr>
      <w:bookmarkStart w:id="12" w:name="_Toc201665096"/>
      <w:r w:rsidRPr="00EE4C61">
        <w:lastRenderedPageBreak/>
        <w:t>Síntesis</w:t>
      </w:r>
      <w:bookmarkEnd w:id="12"/>
      <w:r w:rsidRPr="00EE4C61">
        <w:t xml:space="preserve"> </w:t>
      </w:r>
    </w:p>
    <w:p w14:paraId="4D0A99E2" w14:textId="77777777" w:rsidR="00691A49" w:rsidRPr="00691A49" w:rsidRDefault="00691A49" w:rsidP="00691A49">
      <w:r w:rsidRPr="00691A49">
        <w:t>Este componente formativo ha proporcionado un marco integral para el cálculo y la interpretación de indicadores financieros esenciales en la evaluación de la situación económica de una empresa. A través de ejemplos prácticos y explicaciones detalladas de indicadores clave como la razón corriente, la prueba ácida, el margen de utilidad, el ROA y el ROE, los aprendices han adquirido las competencias necesarias para analizar y comprender los aspectos fundamentales de la gestión financiera. La aplicación de estos indicadores permite tomar decisiones estratégicas fundamentadas, favoreciendo la mejora en la toma de decisiones empresariales. Además, la inclusión de cifras representativas del entorno empresarial colombiano ha facilitado la conexión de la teoría con la práctica, permitiendo que los aprendices evalúen de manera efectiva la salud financiera de una empresa y fortalezcan su capacidad analítica para enfrentar desafíos financieros en contextos reales.</w:t>
      </w:r>
    </w:p>
    <w:p w14:paraId="2E801A61" w14:textId="77777777" w:rsidR="002C11E8" w:rsidRDefault="002C11E8" w:rsidP="001A33D0">
      <w:pPr>
        <w:spacing w:before="0" w:after="0"/>
        <w:ind w:firstLine="0"/>
      </w:pPr>
      <w:r>
        <w:br w:type="page"/>
      </w:r>
    </w:p>
    <w:p w14:paraId="16E12B96" w14:textId="185FE8D7" w:rsidR="00BA6748" w:rsidRDefault="008159CD" w:rsidP="001A33D0">
      <w:pPr>
        <w:spacing w:before="0" w:after="0"/>
        <w:ind w:firstLine="0"/>
        <w:jc w:val="center"/>
        <w:rPr>
          <w:noProof/>
          <w:lang w:val="es-419" w:eastAsia="es-CO"/>
        </w:rPr>
      </w:pPr>
      <w:r>
        <w:rPr>
          <w:noProof/>
          <w:lang w:val="es-419" w:eastAsia="es-CO"/>
        </w:rPr>
        <w:lastRenderedPageBreak/>
        <w:drawing>
          <wp:inline distT="0" distB="0" distL="0" distR="0" wp14:anchorId="32743CB9" wp14:editId="3663DD44">
            <wp:extent cx="6332220" cy="2497455"/>
            <wp:effectExtent l="0" t="0" r="0" b="0"/>
            <wp:docPr id="2" name="Gráfico 2" descr="Síntesis. En el componente formativo Cálculo e interpretación de indicadores financieros, se explican los diferentes tipo de indicadores como son el de liquidez, endeudamiento, eficacia y el de rentabilidad; relacionando las fórmulas de su representación y unos ejemplos prácticos al respecto. Igualmente, se detalla el proceso que tiene que ver con la toma de decisiones, dentro de los indicadores exist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Síntesis. En el componente formativo Cálculo e interpretación de indicadores financieros, se explican los diferentes tipo de indicadores como son el de liquidez, endeudamiento, eficacia y el de rentabilidad; relacionando las fórmulas de su representación y unos ejemplos prácticos al respecto. Igualmente, se detalla el proceso que tiene que ver con la toma de decisiones, dentro de los indicadores existentes."/>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6332220" cy="2497455"/>
                    </a:xfrm>
                    <a:prstGeom prst="rect">
                      <a:avLst/>
                    </a:prstGeom>
                  </pic:spPr>
                </pic:pic>
              </a:graphicData>
            </a:graphic>
          </wp:inline>
        </w:drawing>
      </w:r>
    </w:p>
    <w:p w14:paraId="756A1F82" w14:textId="77777777" w:rsidR="00084C26" w:rsidRDefault="00084C26" w:rsidP="001A33D0">
      <w:pPr>
        <w:spacing w:before="0" w:after="0"/>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1D10F012" w14:textId="5B1A7DBD" w:rsidR="00CE2C4A" w:rsidRDefault="00EE4C61" w:rsidP="0061041A">
      <w:pPr>
        <w:pStyle w:val="Ttulo1"/>
      </w:pPr>
      <w:bookmarkStart w:id="13" w:name="_Toc201665097"/>
      <w:r w:rsidRPr="00723503">
        <w:lastRenderedPageBreak/>
        <w:t>Material complementario</w:t>
      </w:r>
      <w:bookmarkEnd w:id="13"/>
    </w:p>
    <w:tbl>
      <w:tblPr>
        <w:tblStyle w:val="SENA"/>
        <w:tblW w:w="10246" w:type="dxa"/>
        <w:tblLayout w:type="fixed"/>
        <w:tblLook w:val="04A0" w:firstRow="1" w:lastRow="0" w:firstColumn="1" w:lastColumn="0" w:noHBand="0" w:noVBand="1"/>
      </w:tblPr>
      <w:tblGrid>
        <w:gridCol w:w="1980"/>
        <w:gridCol w:w="3119"/>
        <w:gridCol w:w="2268"/>
        <w:gridCol w:w="2879"/>
      </w:tblGrid>
      <w:tr w:rsidR="002375C4" w:rsidRPr="007B0350" w14:paraId="5ACFD6FC" w14:textId="77777777" w:rsidTr="00F36D15">
        <w:trPr>
          <w:cnfStyle w:val="100000000000" w:firstRow="1" w:lastRow="0" w:firstColumn="0" w:lastColumn="0" w:oddVBand="0" w:evenVBand="0" w:oddHBand="0" w:evenHBand="0" w:firstRowFirstColumn="0" w:firstRowLastColumn="0" w:lastRowFirstColumn="0" w:lastRowLastColumn="0"/>
        </w:trPr>
        <w:tc>
          <w:tcPr>
            <w:tcW w:w="1980" w:type="dxa"/>
          </w:tcPr>
          <w:p w14:paraId="2E11C96E" w14:textId="23095499" w:rsidR="00F36C9D" w:rsidRPr="007B0350" w:rsidRDefault="00F36C9D" w:rsidP="001A33D0">
            <w:pPr>
              <w:spacing w:before="0" w:after="0"/>
              <w:ind w:firstLine="0"/>
              <w:rPr>
                <w:rFonts w:asciiTheme="minorHAnsi" w:hAnsiTheme="minorHAnsi" w:cstheme="minorHAnsi"/>
              </w:rPr>
            </w:pPr>
            <w:r w:rsidRPr="007B0350">
              <w:rPr>
                <w:rFonts w:asciiTheme="minorHAnsi" w:hAnsiTheme="minorHAnsi" w:cstheme="minorHAnsi"/>
              </w:rPr>
              <w:t>Tema</w:t>
            </w:r>
          </w:p>
        </w:tc>
        <w:tc>
          <w:tcPr>
            <w:tcW w:w="3119" w:type="dxa"/>
          </w:tcPr>
          <w:p w14:paraId="7B695FBE" w14:textId="24DBD009" w:rsidR="00F36C9D" w:rsidRPr="007B0350" w:rsidRDefault="00F36C9D" w:rsidP="001A33D0">
            <w:pPr>
              <w:spacing w:before="0" w:after="0"/>
              <w:ind w:firstLine="0"/>
              <w:rPr>
                <w:rFonts w:asciiTheme="minorHAnsi" w:hAnsiTheme="minorHAnsi" w:cstheme="minorHAnsi"/>
              </w:rPr>
            </w:pPr>
            <w:r w:rsidRPr="007B0350">
              <w:rPr>
                <w:rFonts w:asciiTheme="minorHAnsi" w:hAnsiTheme="minorHAnsi" w:cstheme="minorHAnsi"/>
              </w:rPr>
              <w:t>Referencia</w:t>
            </w:r>
          </w:p>
        </w:tc>
        <w:tc>
          <w:tcPr>
            <w:tcW w:w="2268" w:type="dxa"/>
          </w:tcPr>
          <w:p w14:paraId="148AF39D" w14:textId="3222D224" w:rsidR="00F36C9D" w:rsidRPr="007B0350" w:rsidRDefault="00F36C9D" w:rsidP="001A33D0">
            <w:pPr>
              <w:spacing w:before="0" w:after="0"/>
              <w:ind w:firstLine="0"/>
              <w:rPr>
                <w:rFonts w:asciiTheme="minorHAnsi" w:hAnsiTheme="minorHAnsi" w:cstheme="minorHAnsi"/>
              </w:rPr>
            </w:pPr>
            <w:r w:rsidRPr="007B0350">
              <w:rPr>
                <w:rFonts w:asciiTheme="minorHAnsi" w:hAnsiTheme="minorHAnsi" w:cstheme="minorHAnsi"/>
              </w:rPr>
              <w:t>Tipo de material</w:t>
            </w:r>
          </w:p>
        </w:tc>
        <w:tc>
          <w:tcPr>
            <w:tcW w:w="2879" w:type="dxa"/>
          </w:tcPr>
          <w:p w14:paraId="31B07D9E" w14:textId="058886D8" w:rsidR="00F36C9D" w:rsidRPr="007B0350" w:rsidRDefault="00F36C9D" w:rsidP="001A33D0">
            <w:pPr>
              <w:spacing w:before="0" w:after="0"/>
              <w:ind w:firstLine="0"/>
              <w:rPr>
                <w:rFonts w:asciiTheme="minorHAnsi" w:hAnsiTheme="minorHAnsi" w:cstheme="minorHAnsi"/>
              </w:rPr>
            </w:pPr>
            <w:r w:rsidRPr="007B0350">
              <w:rPr>
                <w:rFonts w:asciiTheme="minorHAnsi" w:hAnsiTheme="minorHAnsi" w:cstheme="minorHAnsi"/>
              </w:rPr>
              <w:t>Enlace del recurso</w:t>
            </w:r>
          </w:p>
        </w:tc>
      </w:tr>
      <w:tr w:rsidR="007B0350" w:rsidRPr="007B0350" w14:paraId="5155B20F" w14:textId="77777777" w:rsidTr="00F36D15">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5C7B7AD" w14:textId="094ADA86" w:rsidR="007B0350" w:rsidRPr="007B0350" w:rsidRDefault="007B0350" w:rsidP="002F2848">
            <w:pPr>
              <w:ind w:firstLine="0"/>
              <w:rPr>
                <w:rFonts w:asciiTheme="minorHAnsi" w:hAnsiTheme="minorHAnsi" w:cstheme="minorHAnsi"/>
              </w:rPr>
            </w:pPr>
            <w:r w:rsidRPr="007B0350">
              <w:rPr>
                <w:rFonts w:asciiTheme="minorHAnsi" w:hAnsiTheme="minorHAnsi" w:cstheme="minorHAnsi"/>
              </w:rPr>
              <w:t>1. Conceptos generales de los indicadores financieros</w:t>
            </w:r>
          </w:p>
        </w:tc>
        <w:tc>
          <w:tcPr>
            <w:tcW w:w="3119" w:type="dxa"/>
            <w:vAlign w:val="center"/>
          </w:tcPr>
          <w:p w14:paraId="09DE5ADE" w14:textId="3AFE3D1D" w:rsidR="007B0350" w:rsidRPr="007B0350" w:rsidRDefault="007B0350" w:rsidP="002F2848">
            <w:pPr>
              <w:pStyle w:val="Encabezado"/>
              <w:tabs>
                <w:tab w:val="clear" w:pos="4419"/>
                <w:tab w:val="clear" w:pos="8838"/>
              </w:tabs>
              <w:spacing w:before="160" w:after="120" w:line="360" w:lineRule="auto"/>
              <w:ind w:firstLine="0"/>
              <w:rPr>
                <w:rFonts w:cstheme="minorHAnsi"/>
              </w:rPr>
            </w:pPr>
            <w:proofErr w:type="spellStart"/>
            <w:r w:rsidRPr="007B0350">
              <w:rPr>
                <w:rFonts w:cstheme="minorHAnsi"/>
              </w:rPr>
              <w:t>Toala</w:t>
            </w:r>
            <w:proofErr w:type="spellEnd"/>
            <w:r w:rsidRPr="007B0350">
              <w:rPr>
                <w:rFonts w:cstheme="minorHAnsi"/>
              </w:rPr>
              <w:t xml:space="preserve"> Zavala, C. F. (2022). Análisis financiero y su relevancia en la toma de decisiones en las PYMES. Revista UNESUM-Ciencias, 7(2), 170-176.</w:t>
            </w:r>
          </w:p>
        </w:tc>
        <w:tc>
          <w:tcPr>
            <w:tcW w:w="2268" w:type="dxa"/>
            <w:vAlign w:val="center"/>
          </w:tcPr>
          <w:p w14:paraId="3250A33B" w14:textId="1CA8CAA2" w:rsidR="007B0350" w:rsidRPr="007B0350" w:rsidRDefault="007B0350" w:rsidP="002F2848">
            <w:pPr>
              <w:ind w:firstLine="0"/>
              <w:rPr>
                <w:rFonts w:asciiTheme="minorHAnsi" w:hAnsiTheme="minorHAnsi" w:cstheme="minorHAnsi"/>
              </w:rPr>
            </w:pPr>
            <w:r w:rsidRPr="007B0350">
              <w:rPr>
                <w:rFonts w:asciiTheme="minorHAnsi" w:hAnsiTheme="minorHAnsi" w:cstheme="minorHAnsi"/>
              </w:rPr>
              <w:t>Art</w:t>
            </w:r>
            <w:r w:rsidR="002F2848">
              <w:rPr>
                <w:rFonts w:asciiTheme="minorHAnsi" w:hAnsiTheme="minorHAnsi" w:cstheme="minorHAnsi"/>
              </w:rPr>
              <w:t>i</w:t>
            </w:r>
            <w:r w:rsidRPr="007B0350">
              <w:rPr>
                <w:rFonts w:asciiTheme="minorHAnsi" w:hAnsiTheme="minorHAnsi" w:cstheme="minorHAnsi"/>
              </w:rPr>
              <w:t>culo</w:t>
            </w:r>
          </w:p>
        </w:tc>
        <w:tc>
          <w:tcPr>
            <w:tcW w:w="2879" w:type="dxa"/>
          </w:tcPr>
          <w:p w14:paraId="5A92EB32" w14:textId="23AEE564" w:rsidR="007B0350" w:rsidRPr="007B0350" w:rsidRDefault="00342B58" w:rsidP="007B0350">
            <w:pPr>
              <w:ind w:firstLine="0"/>
              <w:rPr>
                <w:rStyle w:val="Hipervnculo"/>
                <w:rFonts w:asciiTheme="minorHAnsi" w:hAnsiTheme="minorHAnsi" w:cstheme="minorHAnsi"/>
                <w:szCs w:val="28"/>
              </w:rPr>
            </w:pPr>
            <w:hyperlink r:id="rId15" w:history="1">
              <w:r w:rsidR="007B0350" w:rsidRPr="007B0350">
                <w:rPr>
                  <w:rStyle w:val="Hipervnculo"/>
                  <w:rFonts w:asciiTheme="minorHAnsi" w:hAnsiTheme="minorHAnsi" w:cstheme="minorHAnsi"/>
                </w:rPr>
                <w:t>https://pdfs.semanticscholar.org/dbb4/aee964c5afcca718a5476eb6a7bbe5f8d60c.pdf</w:t>
              </w:r>
            </w:hyperlink>
          </w:p>
        </w:tc>
      </w:tr>
      <w:tr w:rsidR="007B0350" w:rsidRPr="007B0350" w14:paraId="3EE3DD15" w14:textId="77777777" w:rsidTr="00F36D15">
        <w:tc>
          <w:tcPr>
            <w:tcW w:w="1980" w:type="dxa"/>
            <w:vAlign w:val="center"/>
          </w:tcPr>
          <w:p w14:paraId="2D4C27EF" w14:textId="0C9761A4" w:rsidR="007B0350" w:rsidRPr="007B0350" w:rsidRDefault="007B0350" w:rsidP="007B0350">
            <w:pPr>
              <w:ind w:firstLine="32"/>
              <w:rPr>
                <w:rFonts w:asciiTheme="minorHAnsi" w:hAnsiTheme="minorHAnsi" w:cstheme="minorHAnsi"/>
                <w:color w:val="000000" w:themeColor="text1"/>
              </w:rPr>
            </w:pPr>
            <w:r w:rsidRPr="007B0350">
              <w:rPr>
                <w:rFonts w:asciiTheme="minorHAnsi" w:hAnsiTheme="minorHAnsi" w:cstheme="minorHAnsi"/>
                <w:color w:val="000000" w:themeColor="text1"/>
              </w:rPr>
              <w:t>2. La aplicación de los indicadores financieros en la toma de decisiones</w:t>
            </w:r>
          </w:p>
        </w:tc>
        <w:tc>
          <w:tcPr>
            <w:tcW w:w="3119" w:type="dxa"/>
            <w:vAlign w:val="center"/>
          </w:tcPr>
          <w:p w14:paraId="5DA4B418" w14:textId="64E16457" w:rsidR="007B0350" w:rsidRPr="007B0350" w:rsidRDefault="00A83C82" w:rsidP="007B0350">
            <w:pPr>
              <w:ind w:firstLine="0"/>
              <w:rPr>
                <w:rFonts w:asciiTheme="minorHAnsi" w:hAnsiTheme="minorHAnsi" w:cstheme="minorHAnsi"/>
                <w:color w:val="000000" w:themeColor="text1"/>
              </w:rPr>
            </w:pPr>
            <w:r w:rsidRPr="00A83C82">
              <w:rPr>
                <w:rFonts w:asciiTheme="minorHAnsi" w:hAnsiTheme="minorHAnsi" w:cstheme="minorHAnsi"/>
                <w:color w:val="000000" w:themeColor="text1"/>
              </w:rPr>
              <w:t>Marcillo Parrales</w:t>
            </w:r>
            <w:r w:rsidRPr="00A83C82">
              <w:rPr>
                <w:rFonts w:asciiTheme="minorHAnsi" w:hAnsiTheme="minorHAnsi" w:cstheme="minorHAnsi"/>
                <w:b/>
                <w:bCs/>
                <w:color w:val="000000" w:themeColor="text1"/>
              </w:rPr>
              <w:t xml:space="preserve">, </w:t>
            </w:r>
            <w:r w:rsidRPr="00A83C82">
              <w:rPr>
                <w:rFonts w:asciiTheme="minorHAnsi" w:hAnsiTheme="minorHAnsi" w:cstheme="minorHAnsi"/>
                <w:color w:val="000000" w:themeColor="text1"/>
              </w:rPr>
              <w:t xml:space="preserve">D. M. &amp; Chinga Flores, J.M. (2023). </w:t>
            </w:r>
            <w:r w:rsidRPr="00A83C82">
              <w:rPr>
                <w:rFonts w:asciiTheme="minorHAnsi" w:hAnsiTheme="minorHAnsi" w:cstheme="minorHAnsi"/>
                <w:i/>
                <w:iCs/>
                <w:color w:val="000000" w:themeColor="text1"/>
              </w:rPr>
              <w:t>Indicadores financieros y su influencia en la toma de decisiones del Supermercado Open 24 &amp; 7, Portoviejo. Manabí.</w:t>
            </w:r>
            <w:r w:rsidRPr="00A83C82">
              <w:rPr>
                <w:rFonts w:asciiTheme="minorHAnsi" w:hAnsiTheme="minorHAnsi" w:cstheme="minorHAnsi"/>
                <w:color w:val="000000" w:themeColor="text1"/>
              </w:rPr>
              <w:t xml:space="preserve"> </w:t>
            </w:r>
            <w:r w:rsidRPr="00A83C82">
              <w:rPr>
                <w:rFonts w:asciiTheme="minorHAnsi" w:hAnsiTheme="minorHAnsi" w:cstheme="minorHAnsi"/>
                <w:i/>
                <w:iCs/>
                <w:color w:val="000000" w:themeColor="text1"/>
              </w:rPr>
              <w:t>Revista FIPCAEC, 8</w:t>
            </w:r>
            <w:r w:rsidRPr="00A83C82">
              <w:rPr>
                <w:rFonts w:asciiTheme="minorHAnsi" w:hAnsiTheme="minorHAnsi" w:cstheme="minorHAnsi"/>
                <w:color w:val="000000" w:themeColor="text1"/>
              </w:rPr>
              <w:t>(1), 172–185.</w:t>
            </w:r>
          </w:p>
        </w:tc>
        <w:tc>
          <w:tcPr>
            <w:tcW w:w="2268" w:type="dxa"/>
            <w:vAlign w:val="center"/>
          </w:tcPr>
          <w:p w14:paraId="129DE65F" w14:textId="4901EC0A" w:rsidR="007B0350" w:rsidRPr="007B0350" w:rsidRDefault="007B0350" w:rsidP="007B0350">
            <w:pPr>
              <w:ind w:firstLine="0"/>
              <w:rPr>
                <w:rFonts w:asciiTheme="minorHAnsi" w:hAnsiTheme="minorHAnsi" w:cstheme="minorHAnsi"/>
                <w:color w:val="000000" w:themeColor="text1"/>
              </w:rPr>
            </w:pPr>
            <w:r w:rsidRPr="007B0350">
              <w:rPr>
                <w:rFonts w:asciiTheme="minorHAnsi" w:hAnsiTheme="minorHAnsi" w:cstheme="minorHAnsi"/>
                <w:color w:val="000000" w:themeColor="text1"/>
              </w:rPr>
              <w:t>Art</w:t>
            </w:r>
            <w:r w:rsidR="002F2848">
              <w:rPr>
                <w:rFonts w:asciiTheme="minorHAnsi" w:hAnsiTheme="minorHAnsi" w:cstheme="minorHAnsi"/>
                <w:color w:val="000000" w:themeColor="text1"/>
              </w:rPr>
              <w:t>i</w:t>
            </w:r>
            <w:r w:rsidRPr="007B0350">
              <w:rPr>
                <w:rFonts w:asciiTheme="minorHAnsi" w:hAnsiTheme="minorHAnsi" w:cstheme="minorHAnsi"/>
                <w:color w:val="000000" w:themeColor="text1"/>
              </w:rPr>
              <w:t>culo</w:t>
            </w:r>
          </w:p>
        </w:tc>
        <w:tc>
          <w:tcPr>
            <w:tcW w:w="2879" w:type="dxa"/>
          </w:tcPr>
          <w:p w14:paraId="4E9B8255" w14:textId="48B4ABBF" w:rsidR="007B0350" w:rsidRPr="007B0350" w:rsidRDefault="00342B58" w:rsidP="007B0350">
            <w:pPr>
              <w:ind w:firstLine="0"/>
              <w:rPr>
                <w:rStyle w:val="Hipervnculo"/>
                <w:rFonts w:asciiTheme="minorHAnsi" w:hAnsiTheme="minorHAnsi" w:cstheme="minorHAnsi"/>
                <w:szCs w:val="28"/>
              </w:rPr>
            </w:pPr>
            <w:hyperlink r:id="rId16" w:history="1">
              <w:r w:rsidR="007B0350" w:rsidRPr="007B0350">
                <w:rPr>
                  <w:rStyle w:val="Hipervnculo"/>
                  <w:rFonts w:asciiTheme="minorHAnsi" w:hAnsiTheme="minorHAnsi" w:cstheme="minorHAnsi"/>
                </w:rPr>
                <w:t>https://www.fipcaec.com/index.php/fipcaec/article/view/770/1393</w:t>
              </w:r>
            </w:hyperlink>
          </w:p>
        </w:tc>
      </w:tr>
    </w:tbl>
    <w:p w14:paraId="6A4BDB98" w14:textId="204B36E1" w:rsidR="00CE2C4A" w:rsidRDefault="00CE2C4A" w:rsidP="001A33D0">
      <w:pPr>
        <w:spacing w:before="0" w:after="0"/>
        <w:rPr>
          <w:lang w:val="es-419" w:eastAsia="es-CO"/>
        </w:rPr>
      </w:pPr>
    </w:p>
    <w:p w14:paraId="70728160" w14:textId="77777777" w:rsidR="00B63204" w:rsidRDefault="00B63204" w:rsidP="001A33D0">
      <w:pPr>
        <w:spacing w:before="0" w:after="0"/>
        <w:rPr>
          <w:lang w:val="es-419" w:eastAsia="es-CO"/>
        </w:rPr>
      </w:pPr>
    </w:p>
    <w:p w14:paraId="16353876" w14:textId="77777777" w:rsidR="00B63204" w:rsidRDefault="00B63204" w:rsidP="001A33D0">
      <w:pPr>
        <w:spacing w:before="0" w:after="0"/>
        <w:rPr>
          <w:lang w:val="es-419" w:eastAsia="es-CO"/>
        </w:rPr>
      </w:pPr>
    </w:p>
    <w:p w14:paraId="7C8DF415" w14:textId="77777777" w:rsidR="00B63204" w:rsidRDefault="00B63204" w:rsidP="001A33D0">
      <w:pPr>
        <w:spacing w:before="0" w:after="0"/>
        <w:rPr>
          <w:lang w:val="es-419" w:eastAsia="es-CO"/>
        </w:rPr>
      </w:pPr>
    </w:p>
    <w:p w14:paraId="6753C4E6" w14:textId="5C3BB774" w:rsidR="00F36C9D" w:rsidRDefault="00F36C9D" w:rsidP="001A33D0">
      <w:pPr>
        <w:spacing w:before="0" w:after="0"/>
        <w:rPr>
          <w:lang w:val="es-419" w:eastAsia="es-CO"/>
        </w:rPr>
      </w:pPr>
    </w:p>
    <w:p w14:paraId="79F9C583" w14:textId="77777777" w:rsidR="00C223CB" w:rsidRDefault="00C223CB" w:rsidP="001A33D0">
      <w:pPr>
        <w:spacing w:before="0" w:after="0"/>
        <w:rPr>
          <w:lang w:val="es-419" w:eastAsia="es-CO"/>
        </w:rPr>
      </w:pPr>
    </w:p>
    <w:p w14:paraId="1C276251" w14:textId="51775AC2" w:rsidR="00F36C9D" w:rsidRDefault="00F36C9D" w:rsidP="0061041A">
      <w:pPr>
        <w:pStyle w:val="Titulosgenerales"/>
      </w:pPr>
      <w:bookmarkStart w:id="14" w:name="_Toc201665098"/>
      <w:r>
        <w:lastRenderedPageBreak/>
        <w:t>Gl</w:t>
      </w:r>
      <w:r w:rsidR="007B0350">
        <w:t>os</w:t>
      </w:r>
      <w:r>
        <w:t>ario</w:t>
      </w:r>
      <w:bookmarkEnd w:id="14"/>
    </w:p>
    <w:p w14:paraId="163CCE2B" w14:textId="77777777" w:rsidR="007B0350" w:rsidRPr="003941FF" w:rsidRDefault="007B0350" w:rsidP="003941FF">
      <w:pPr>
        <w:rPr>
          <w:lang w:eastAsia="es-CO"/>
        </w:rPr>
      </w:pPr>
      <w:r w:rsidRPr="003941FF">
        <w:rPr>
          <w:b/>
          <w:bCs/>
          <w:bdr w:val="none" w:sz="0" w:space="0" w:color="auto" w:frame="1"/>
          <w:lang w:eastAsia="es-CO"/>
        </w:rPr>
        <w:t>Análisis financiero: </w:t>
      </w:r>
      <w:r w:rsidRPr="003941FF">
        <w:rPr>
          <w:bdr w:val="none" w:sz="0" w:space="0" w:color="auto" w:frame="1"/>
          <w:lang w:eastAsia="es-CO"/>
        </w:rPr>
        <w:t>proceso de evaluación de la situación económica y financiera de una empresa, mediante el estudio de sus estados financieros.</w:t>
      </w:r>
    </w:p>
    <w:p w14:paraId="56F1A1C0" w14:textId="77777777" w:rsidR="007B0350" w:rsidRPr="003941FF" w:rsidRDefault="007B0350" w:rsidP="003941FF">
      <w:pPr>
        <w:rPr>
          <w:lang w:eastAsia="es-CO"/>
        </w:rPr>
      </w:pPr>
      <w:r w:rsidRPr="003941FF">
        <w:rPr>
          <w:b/>
          <w:bCs/>
          <w:bdr w:val="none" w:sz="0" w:space="0" w:color="auto" w:frame="1"/>
          <w:lang w:eastAsia="es-CO"/>
        </w:rPr>
        <w:t>Capital de trabajo: </w:t>
      </w:r>
      <w:r w:rsidRPr="003941FF">
        <w:rPr>
          <w:bdr w:val="none" w:sz="0" w:space="0" w:color="auto" w:frame="1"/>
          <w:lang w:eastAsia="es-CO"/>
        </w:rPr>
        <w:t>diferencia entre los activos corrientes y los pasivos corrientes, que indica la capacidad de la empresa para operar eficientemente.</w:t>
      </w:r>
    </w:p>
    <w:p w14:paraId="6DD25A21" w14:textId="77777777" w:rsidR="007B0350" w:rsidRPr="003941FF" w:rsidRDefault="007B0350" w:rsidP="003941FF">
      <w:pPr>
        <w:rPr>
          <w:lang w:eastAsia="es-CO"/>
        </w:rPr>
      </w:pPr>
      <w:r w:rsidRPr="003941FF">
        <w:rPr>
          <w:b/>
          <w:bCs/>
          <w:bdr w:val="none" w:sz="0" w:space="0" w:color="auto" w:frame="1"/>
          <w:lang w:eastAsia="es-CO"/>
        </w:rPr>
        <w:t>Endeudamiento: </w:t>
      </w:r>
      <w:r w:rsidRPr="003941FF">
        <w:rPr>
          <w:bdr w:val="none" w:sz="0" w:space="0" w:color="auto" w:frame="1"/>
          <w:lang w:eastAsia="es-CO"/>
        </w:rPr>
        <w:t>grado en que una empresa utiliza recursos financieros de terceros, para financiar sus operaciones.</w:t>
      </w:r>
    </w:p>
    <w:p w14:paraId="434E6985" w14:textId="77777777" w:rsidR="007B0350" w:rsidRPr="003941FF" w:rsidRDefault="007B0350" w:rsidP="003941FF">
      <w:pPr>
        <w:rPr>
          <w:lang w:eastAsia="es-CO"/>
        </w:rPr>
      </w:pPr>
      <w:r w:rsidRPr="003941FF">
        <w:rPr>
          <w:b/>
          <w:bCs/>
          <w:bdr w:val="none" w:sz="0" w:space="0" w:color="auto" w:frame="1"/>
          <w:lang w:eastAsia="es-CO"/>
        </w:rPr>
        <w:t>Indicadores financieros: </w:t>
      </w:r>
      <w:r w:rsidRPr="003941FF">
        <w:rPr>
          <w:bdr w:val="none" w:sz="0" w:space="0" w:color="auto" w:frame="1"/>
          <w:lang w:eastAsia="es-CO"/>
        </w:rPr>
        <w:t>relaciones matemáticas entre cuentas contables, que permiten medir aspectos clave del desempeño económico de la empresa.</w:t>
      </w:r>
    </w:p>
    <w:p w14:paraId="64FD9D81" w14:textId="77777777" w:rsidR="007B0350" w:rsidRPr="007B0350" w:rsidRDefault="007B0350" w:rsidP="003941FF">
      <w:pPr>
        <w:rPr>
          <w:lang w:eastAsia="es-CO"/>
        </w:rPr>
      </w:pPr>
      <w:r w:rsidRPr="007B0350">
        <w:rPr>
          <w:b/>
          <w:bCs/>
          <w:bdr w:val="none" w:sz="0" w:space="0" w:color="auto" w:frame="1"/>
          <w:lang w:eastAsia="es-CO"/>
        </w:rPr>
        <w:t>Liquidez: </w:t>
      </w:r>
      <w:r w:rsidRPr="007B0350">
        <w:rPr>
          <w:bdr w:val="none" w:sz="0" w:space="0" w:color="auto" w:frame="1"/>
          <w:lang w:eastAsia="es-CO"/>
        </w:rPr>
        <w:t>capacidad de una empresa para cumplir sus obligaciones a corto plazo, con los recursos que tiene disponibles.</w:t>
      </w:r>
    </w:p>
    <w:p w14:paraId="6C9DED8B" w14:textId="77777777" w:rsidR="007B0350" w:rsidRPr="007B0350" w:rsidRDefault="007B0350" w:rsidP="003941FF">
      <w:pPr>
        <w:rPr>
          <w:lang w:eastAsia="es-CO"/>
        </w:rPr>
      </w:pPr>
      <w:r w:rsidRPr="007B0350">
        <w:rPr>
          <w:b/>
          <w:bCs/>
          <w:bdr w:val="none" w:sz="0" w:space="0" w:color="auto" w:frame="1"/>
          <w:lang w:eastAsia="es-CO"/>
        </w:rPr>
        <w:t>Prueba ácida: </w:t>
      </w:r>
      <w:r w:rsidRPr="007B0350">
        <w:rPr>
          <w:bdr w:val="none" w:sz="0" w:space="0" w:color="auto" w:frame="1"/>
          <w:lang w:eastAsia="es-CO"/>
        </w:rPr>
        <w:t>indicador de liquidez que excluye inventarios del cálculo para mostrar la capacidad inmediata de pago.</w:t>
      </w:r>
    </w:p>
    <w:p w14:paraId="2F26BAAC" w14:textId="77777777" w:rsidR="007B0350" w:rsidRPr="007B0350" w:rsidRDefault="007B0350" w:rsidP="003941FF">
      <w:pPr>
        <w:rPr>
          <w:lang w:eastAsia="es-CO"/>
        </w:rPr>
      </w:pPr>
      <w:r w:rsidRPr="007B0350">
        <w:rPr>
          <w:b/>
          <w:bCs/>
          <w:bdr w:val="none" w:sz="0" w:space="0" w:color="auto" w:frame="1"/>
          <w:lang w:eastAsia="es-CO"/>
        </w:rPr>
        <w:t>Rentabilidad: </w:t>
      </w:r>
      <w:r w:rsidRPr="007B0350">
        <w:rPr>
          <w:bdr w:val="none" w:sz="0" w:space="0" w:color="auto" w:frame="1"/>
          <w:lang w:eastAsia="es-CO"/>
        </w:rPr>
        <w:t>capacidad de una empresa para generar utilidades en relación con los recursos utilizados.</w:t>
      </w:r>
    </w:p>
    <w:p w14:paraId="61EBA4CB" w14:textId="77777777" w:rsidR="00B63204" w:rsidRPr="003941FF" w:rsidRDefault="00B63204" w:rsidP="003941FF">
      <w:pPr>
        <w:rPr>
          <w:szCs w:val="28"/>
          <w:lang w:eastAsia="es-CO"/>
        </w:rPr>
      </w:pPr>
    </w:p>
    <w:p w14:paraId="2138E73A" w14:textId="77777777" w:rsidR="00B63204" w:rsidRPr="005E3D05" w:rsidRDefault="00B63204" w:rsidP="001A33D0">
      <w:pPr>
        <w:spacing w:before="0" w:after="0"/>
        <w:rPr>
          <w:color w:val="000000" w:themeColor="text1"/>
          <w:szCs w:val="28"/>
          <w:lang w:val="es-419" w:eastAsia="es-CO"/>
        </w:rPr>
      </w:pPr>
    </w:p>
    <w:p w14:paraId="1DE221F4" w14:textId="77777777" w:rsidR="00321195" w:rsidRDefault="00321195">
      <w:pPr>
        <w:spacing w:before="0" w:after="160" w:line="259" w:lineRule="auto"/>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40B682D2" w14:textId="714C799B" w:rsidR="002E5B3A" w:rsidRDefault="002E5B3A" w:rsidP="0061041A">
      <w:pPr>
        <w:pStyle w:val="Ttulo1"/>
      </w:pPr>
      <w:bookmarkStart w:id="15" w:name="_Toc201665099"/>
      <w:r>
        <w:lastRenderedPageBreak/>
        <w:t>Referencias bibliográficas</w:t>
      </w:r>
      <w:bookmarkEnd w:id="15"/>
      <w:r>
        <w:t xml:space="preserve"> </w:t>
      </w:r>
    </w:p>
    <w:p w14:paraId="3B74AA6A" w14:textId="77777777" w:rsidR="00F859D5" w:rsidRPr="00F859D5" w:rsidRDefault="00F859D5" w:rsidP="00F859D5">
      <w:r w:rsidRPr="00F859D5">
        <w:t>Coral Delgado, L. C. &amp; Gudiño Dávila, E. L. (2014). Contabilidad universitaria. (7ª Edición). Bogotá, Colombia: Editorial. Mc Graw Hill.</w:t>
      </w:r>
    </w:p>
    <w:p w14:paraId="5DC1D72F" w14:textId="77777777" w:rsidR="00F859D5" w:rsidRPr="00F859D5" w:rsidRDefault="00F859D5" w:rsidP="00F859D5">
      <w:r w:rsidRPr="00F859D5">
        <w:t>Díaz, H. (2006). Contabilidad general. (2ª Edición). México DF, México: Editorial. Pearson Prentice Hall.</w:t>
      </w:r>
    </w:p>
    <w:p w14:paraId="0AB7FCF2" w14:textId="6FD5BC94" w:rsidR="00F859D5" w:rsidRPr="00F859D5" w:rsidRDefault="00F859D5" w:rsidP="00F859D5">
      <w:r w:rsidRPr="00F859D5">
        <w:t xml:space="preserve">García, O. L. (2009). Administración financiera: Fundamentos y aplicaciones. (4ª Edición). </w:t>
      </w:r>
      <w:r w:rsidR="00504C16" w:rsidRPr="00504C16">
        <w:t>Cali, Colombia: Prensa Moderna Impresores.</w:t>
      </w:r>
    </w:p>
    <w:p w14:paraId="04F09AEB" w14:textId="77777777" w:rsidR="00F859D5" w:rsidRPr="00F859D5" w:rsidRDefault="00F859D5" w:rsidP="00026A01">
      <w:pPr>
        <w:pStyle w:val="Sangradetextonormal"/>
      </w:pPr>
      <w:r w:rsidRPr="00F859D5">
        <w:t>Ortiz Anaya, H. (2011). Análisis financiero aplicado y principios de administración financiera. (14ª Edición). Bogotá, Colombia: Editorial. Universidad Externado de Colombia.</w:t>
      </w:r>
    </w:p>
    <w:p w14:paraId="76E53F7F" w14:textId="77777777" w:rsidR="00726CBE" w:rsidRPr="00F859D5" w:rsidRDefault="00726CBE" w:rsidP="00F859D5">
      <w:r w:rsidRPr="00F859D5">
        <w:br w:type="page"/>
      </w:r>
    </w:p>
    <w:p w14:paraId="0ACDF4A3" w14:textId="453E0226" w:rsidR="002E5B3A" w:rsidRPr="002E5B3A" w:rsidRDefault="00F36C9D" w:rsidP="0061041A">
      <w:pPr>
        <w:pStyle w:val="Ttulo1"/>
      </w:pPr>
      <w:bookmarkStart w:id="16" w:name="_Toc201665100"/>
      <w:r>
        <w:lastRenderedPageBreak/>
        <w:t>Créditos</w:t>
      </w:r>
      <w:bookmarkEnd w:id="16"/>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8B6A33"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8B6A33" w:rsidRDefault="004554CA" w:rsidP="001A33D0">
            <w:pPr>
              <w:spacing w:before="0" w:after="0"/>
              <w:ind w:firstLine="0"/>
              <w:rPr>
                <w:rFonts w:asciiTheme="minorHAnsi" w:hAnsiTheme="minorHAnsi" w:cstheme="minorHAnsi"/>
                <w:szCs w:val="28"/>
                <w:lang w:val="es-419" w:eastAsia="es-CO"/>
              </w:rPr>
            </w:pPr>
            <w:bookmarkStart w:id="17" w:name="_Hlk154833079"/>
            <w:r w:rsidRPr="008B6A33">
              <w:rPr>
                <w:rFonts w:asciiTheme="minorHAnsi" w:hAnsiTheme="minorHAnsi" w:cstheme="minorHAnsi"/>
                <w:szCs w:val="28"/>
                <w:lang w:val="es-419" w:eastAsia="es-CO"/>
              </w:rPr>
              <w:t>Nombre</w:t>
            </w:r>
          </w:p>
        </w:tc>
        <w:tc>
          <w:tcPr>
            <w:tcW w:w="3260" w:type="dxa"/>
          </w:tcPr>
          <w:p w14:paraId="34AD80E5" w14:textId="25DC38F0" w:rsidR="004554CA" w:rsidRPr="008B6A33" w:rsidRDefault="004554CA" w:rsidP="001A33D0">
            <w:pPr>
              <w:spacing w:before="0" w:after="0"/>
              <w:ind w:firstLine="0"/>
              <w:rPr>
                <w:rFonts w:asciiTheme="minorHAnsi" w:hAnsiTheme="minorHAnsi" w:cstheme="minorHAnsi"/>
                <w:szCs w:val="28"/>
                <w:lang w:val="es-419" w:eastAsia="es-CO"/>
              </w:rPr>
            </w:pPr>
            <w:r w:rsidRPr="008B6A33">
              <w:rPr>
                <w:rFonts w:asciiTheme="minorHAnsi" w:hAnsiTheme="minorHAnsi" w:cstheme="minorHAnsi"/>
                <w:szCs w:val="28"/>
                <w:lang w:val="es-419" w:eastAsia="es-CO"/>
              </w:rPr>
              <w:t>Cargo</w:t>
            </w:r>
          </w:p>
        </w:tc>
        <w:tc>
          <w:tcPr>
            <w:tcW w:w="3402" w:type="dxa"/>
          </w:tcPr>
          <w:p w14:paraId="7F36A75B" w14:textId="02C68625" w:rsidR="004554CA" w:rsidRPr="008B6A33" w:rsidRDefault="004554CA" w:rsidP="001A33D0">
            <w:pPr>
              <w:spacing w:before="0" w:after="0"/>
              <w:ind w:firstLine="0"/>
              <w:rPr>
                <w:rFonts w:asciiTheme="minorHAnsi" w:hAnsiTheme="minorHAnsi" w:cstheme="minorHAnsi"/>
                <w:szCs w:val="28"/>
                <w:lang w:val="es-419" w:eastAsia="es-CO"/>
              </w:rPr>
            </w:pPr>
            <w:r w:rsidRPr="008B6A33">
              <w:rPr>
                <w:rFonts w:asciiTheme="minorHAnsi" w:hAnsiTheme="minorHAnsi" w:cstheme="minorHAnsi"/>
                <w:szCs w:val="28"/>
                <w:lang w:val="es-419" w:eastAsia="es-CO"/>
              </w:rPr>
              <w:t>Regional y Centro de Formación</w:t>
            </w:r>
          </w:p>
        </w:tc>
      </w:tr>
      <w:tr w:rsidR="00823FE8" w:rsidRPr="008B6A33"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8B6A33" w:rsidRDefault="00823FE8" w:rsidP="001A33D0">
            <w:pPr>
              <w:pStyle w:val="TextoTablas"/>
              <w:spacing w:before="0" w:after="0" w:line="360" w:lineRule="auto"/>
              <w:rPr>
                <w:rFonts w:asciiTheme="minorHAnsi" w:hAnsiTheme="minorHAnsi" w:cstheme="minorHAnsi"/>
                <w:sz w:val="28"/>
                <w:szCs w:val="28"/>
              </w:rPr>
            </w:pPr>
            <w:proofErr w:type="spellStart"/>
            <w:r w:rsidRPr="008B6A33">
              <w:rPr>
                <w:rFonts w:asciiTheme="minorHAnsi" w:hAnsiTheme="minorHAnsi" w:cstheme="minorHAnsi"/>
                <w:color w:val="000000"/>
                <w:sz w:val="28"/>
                <w:szCs w:val="28"/>
              </w:rPr>
              <w:t>Milady</w:t>
            </w:r>
            <w:proofErr w:type="spellEnd"/>
            <w:r w:rsidRPr="008B6A33">
              <w:rPr>
                <w:rFonts w:asciiTheme="minorHAnsi" w:hAnsiTheme="minorHAnsi" w:cstheme="minorHAnsi"/>
                <w:color w:val="000000"/>
                <w:sz w:val="28"/>
                <w:szCs w:val="28"/>
              </w:rPr>
              <w:t xml:space="preserve"> Tatiana Villamil Castellanos</w:t>
            </w:r>
          </w:p>
        </w:tc>
        <w:tc>
          <w:tcPr>
            <w:tcW w:w="3260" w:type="dxa"/>
          </w:tcPr>
          <w:p w14:paraId="494638E9" w14:textId="0101731A" w:rsidR="00823FE8" w:rsidRPr="008B6A33" w:rsidRDefault="006E564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Responsable Ecosistema de Recursos Educativos Digitales (RED)</w:t>
            </w:r>
          </w:p>
        </w:tc>
        <w:tc>
          <w:tcPr>
            <w:tcW w:w="3402" w:type="dxa"/>
          </w:tcPr>
          <w:p w14:paraId="26021717" w14:textId="41279C91"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Dirección General</w:t>
            </w:r>
          </w:p>
        </w:tc>
      </w:tr>
      <w:tr w:rsidR="00823FE8" w:rsidRPr="008B6A33" w14:paraId="2E62ACF7" w14:textId="77777777" w:rsidTr="00C223CB">
        <w:trPr>
          <w:jc w:val="center"/>
        </w:trPr>
        <w:tc>
          <w:tcPr>
            <w:tcW w:w="3114" w:type="dxa"/>
          </w:tcPr>
          <w:p w14:paraId="11C6E15E" w14:textId="34A91D84" w:rsidR="00823FE8" w:rsidRPr="008B6A33" w:rsidRDefault="006E564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Diana </w:t>
            </w:r>
            <w:proofErr w:type="spellStart"/>
            <w:r w:rsidRPr="008B6A33">
              <w:rPr>
                <w:rFonts w:asciiTheme="minorHAnsi" w:hAnsiTheme="minorHAnsi" w:cstheme="minorHAnsi"/>
                <w:color w:val="000000"/>
                <w:sz w:val="28"/>
                <w:szCs w:val="28"/>
              </w:rPr>
              <w:t>Rocio</w:t>
            </w:r>
            <w:proofErr w:type="spellEnd"/>
            <w:r w:rsidRPr="008B6A33">
              <w:rPr>
                <w:rFonts w:asciiTheme="minorHAnsi" w:hAnsiTheme="minorHAnsi" w:cstheme="minorHAnsi"/>
                <w:color w:val="000000"/>
                <w:sz w:val="28"/>
                <w:szCs w:val="28"/>
              </w:rPr>
              <w:t xml:space="preserve"> </w:t>
            </w:r>
            <w:proofErr w:type="spellStart"/>
            <w:r w:rsidRPr="008B6A33">
              <w:rPr>
                <w:rFonts w:asciiTheme="minorHAnsi" w:hAnsiTheme="minorHAnsi" w:cstheme="minorHAnsi"/>
                <w:color w:val="000000"/>
                <w:sz w:val="28"/>
                <w:szCs w:val="28"/>
              </w:rPr>
              <w:t>Possos</w:t>
            </w:r>
            <w:proofErr w:type="spellEnd"/>
            <w:r w:rsidRPr="008B6A33">
              <w:rPr>
                <w:rFonts w:asciiTheme="minorHAnsi" w:hAnsiTheme="minorHAnsi" w:cstheme="minorHAnsi"/>
                <w:color w:val="000000"/>
                <w:sz w:val="28"/>
                <w:szCs w:val="28"/>
              </w:rPr>
              <w:t xml:space="preserve"> Beltrán</w:t>
            </w:r>
          </w:p>
        </w:tc>
        <w:tc>
          <w:tcPr>
            <w:tcW w:w="3260" w:type="dxa"/>
          </w:tcPr>
          <w:p w14:paraId="15C0928A" w14:textId="0F5152A0"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Responsable de línea de producción </w:t>
            </w:r>
          </w:p>
        </w:tc>
        <w:tc>
          <w:tcPr>
            <w:tcW w:w="3402" w:type="dxa"/>
          </w:tcPr>
          <w:p w14:paraId="17C2853D" w14:textId="093FB34A"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AB1C4C">
              <w:rPr>
                <w:rFonts w:asciiTheme="minorHAnsi" w:hAnsiTheme="minorHAnsi" w:cstheme="minorHAnsi"/>
                <w:color w:val="000000"/>
                <w:sz w:val="28"/>
                <w:szCs w:val="28"/>
              </w:rPr>
              <w:t xml:space="preserve"> - </w:t>
            </w:r>
            <w:r w:rsidR="00AB1C4C" w:rsidRPr="008B6A33">
              <w:rPr>
                <w:rFonts w:asciiTheme="minorHAnsi" w:hAnsiTheme="minorHAnsi" w:cstheme="minorHAnsi"/>
                <w:color w:val="000000"/>
                <w:sz w:val="28"/>
                <w:szCs w:val="28"/>
              </w:rPr>
              <w:t>Regional Tolima</w:t>
            </w:r>
          </w:p>
        </w:tc>
      </w:tr>
      <w:tr w:rsidR="008B6A33" w:rsidRPr="008B6A33" w14:paraId="5D0928E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1A925AFF" w14:textId="042CEE29" w:rsidR="008B6A33" w:rsidRPr="008B6A33" w:rsidRDefault="00325D58" w:rsidP="008B6A33">
            <w:pPr>
              <w:pStyle w:val="TextoTablas"/>
              <w:spacing w:before="0" w:after="0" w:line="360" w:lineRule="auto"/>
              <w:rPr>
                <w:rFonts w:asciiTheme="minorHAnsi" w:hAnsiTheme="minorHAnsi" w:cstheme="minorHAnsi"/>
                <w:sz w:val="28"/>
                <w:szCs w:val="28"/>
              </w:rPr>
            </w:pPr>
            <w:r>
              <w:rPr>
                <w:rFonts w:asciiTheme="minorHAnsi" w:hAnsiTheme="minorHAnsi" w:cstheme="minorHAnsi"/>
                <w:color w:val="000000"/>
                <w:sz w:val="28"/>
                <w:szCs w:val="28"/>
              </w:rPr>
              <w:t>Gustavo Ernesto Mariño Puentes</w:t>
            </w:r>
          </w:p>
        </w:tc>
        <w:tc>
          <w:tcPr>
            <w:tcW w:w="3260" w:type="dxa"/>
          </w:tcPr>
          <w:p w14:paraId="7BB9A540" w14:textId="5AD6FFFC" w:rsidR="008B6A33" w:rsidRPr="008B6A33" w:rsidRDefault="008B6A33" w:rsidP="008B6A33">
            <w:pPr>
              <w:pStyle w:val="TextoTablas"/>
              <w:spacing w:before="0" w:after="0" w:line="360" w:lineRule="auto"/>
              <w:rPr>
                <w:rFonts w:asciiTheme="minorHAnsi" w:hAnsiTheme="minorHAnsi" w:cstheme="minorHAnsi"/>
                <w:sz w:val="28"/>
                <w:szCs w:val="28"/>
              </w:rPr>
            </w:pPr>
            <w:r w:rsidRPr="008B6A33">
              <w:rPr>
                <w:rStyle w:val="normaltextrun"/>
                <w:rFonts w:asciiTheme="minorHAnsi" w:hAnsiTheme="minorHAnsi" w:cstheme="minorHAnsi"/>
                <w:sz w:val="28"/>
                <w:szCs w:val="28"/>
              </w:rPr>
              <w:t>Experto temático</w:t>
            </w:r>
            <w:r w:rsidRPr="008B6A33">
              <w:rPr>
                <w:rStyle w:val="eop"/>
                <w:rFonts w:asciiTheme="minorHAnsi" w:hAnsiTheme="minorHAnsi" w:cstheme="minorHAnsi"/>
                <w:sz w:val="28"/>
                <w:szCs w:val="28"/>
              </w:rPr>
              <w:t> </w:t>
            </w:r>
          </w:p>
        </w:tc>
        <w:tc>
          <w:tcPr>
            <w:tcW w:w="3402" w:type="dxa"/>
            <w:vAlign w:val="center"/>
          </w:tcPr>
          <w:p w14:paraId="1C05866F" w14:textId="2FB7CB10" w:rsidR="008B6A33" w:rsidRPr="008B6A33" w:rsidRDefault="00325D58" w:rsidP="008B6A33">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006081" w:rsidRPr="008B6A33" w14:paraId="34080B41" w14:textId="77777777" w:rsidTr="00C223CB">
        <w:trPr>
          <w:jc w:val="center"/>
        </w:trPr>
        <w:tc>
          <w:tcPr>
            <w:tcW w:w="3114" w:type="dxa"/>
          </w:tcPr>
          <w:p w14:paraId="4EF8DEC6" w14:textId="39EEBD4E" w:rsidR="00006081" w:rsidRPr="008B6A33" w:rsidRDefault="00632B5F" w:rsidP="001A33D0">
            <w:pPr>
              <w:pStyle w:val="TextoTablas"/>
              <w:spacing w:before="0" w:after="0" w:line="360" w:lineRule="auto"/>
              <w:rPr>
                <w:rFonts w:asciiTheme="minorHAnsi" w:hAnsiTheme="minorHAnsi" w:cstheme="minorHAnsi"/>
                <w:sz w:val="28"/>
                <w:szCs w:val="28"/>
              </w:rPr>
            </w:pPr>
            <w:r w:rsidRPr="00632B5F">
              <w:rPr>
                <w:rFonts w:asciiTheme="minorHAnsi" w:hAnsiTheme="minorHAnsi" w:cstheme="minorHAnsi"/>
                <w:color w:val="000000"/>
                <w:sz w:val="28"/>
                <w:szCs w:val="28"/>
              </w:rPr>
              <w:t>Andrés Felipe Velandia Espitia</w:t>
            </w:r>
          </w:p>
        </w:tc>
        <w:tc>
          <w:tcPr>
            <w:tcW w:w="3260" w:type="dxa"/>
          </w:tcPr>
          <w:p w14:paraId="3C872D58" w14:textId="17C39DBD" w:rsidR="00006081" w:rsidRPr="008B6A33" w:rsidRDefault="00006081"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Evaluador instruccional </w:t>
            </w:r>
          </w:p>
        </w:tc>
        <w:tc>
          <w:tcPr>
            <w:tcW w:w="3402" w:type="dxa"/>
          </w:tcPr>
          <w:p w14:paraId="28E35386" w14:textId="7F988F0A" w:rsidR="00006081" w:rsidRPr="008B6A33" w:rsidRDefault="00006081"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Centro de Comercio y Servicios </w:t>
            </w:r>
            <w:r w:rsidR="00632B5F">
              <w:rPr>
                <w:rFonts w:asciiTheme="minorHAnsi" w:hAnsiTheme="minorHAnsi" w:cstheme="minorHAnsi"/>
                <w:color w:val="000000"/>
                <w:sz w:val="28"/>
                <w:szCs w:val="28"/>
              </w:rPr>
              <w:t xml:space="preserve">- </w:t>
            </w:r>
            <w:r w:rsidR="00632B5F" w:rsidRPr="008B6A33">
              <w:rPr>
                <w:rFonts w:asciiTheme="minorHAnsi" w:hAnsiTheme="minorHAnsi" w:cstheme="minorHAnsi"/>
                <w:color w:val="000000"/>
                <w:sz w:val="28"/>
                <w:szCs w:val="28"/>
              </w:rPr>
              <w:t>Regional Tolima</w:t>
            </w:r>
          </w:p>
        </w:tc>
      </w:tr>
      <w:tr w:rsidR="00E8116D" w:rsidRPr="008B6A33" w14:paraId="015A71DB"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AA321BA" w14:textId="73F8C629"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Oscar Iván Uribe Ortiz </w:t>
            </w:r>
          </w:p>
        </w:tc>
        <w:tc>
          <w:tcPr>
            <w:tcW w:w="3260" w:type="dxa"/>
          </w:tcPr>
          <w:p w14:paraId="1F51BEF4" w14:textId="4F615C29"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Diseñador web </w:t>
            </w:r>
          </w:p>
        </w:tc>
        <w:tc>
          <w:tcPr>
            <w:tcW w:w="3402" w:type="dxa"/>
          </w:tcPr>
          <w:p w14:paraId="1E175D13" w14:textId="5CD41140"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F10906">
              <w:rPr>
                <w:rFonts w:asciiTheme="minorHAnsi" w:hAnsiTheme="minorHAnsi" w:cstheme="minorHAnsi"/>
                <w:color w:val="000000"/>
                <w:sz w:val="28"/>
                <w:szCs w:val="28"/>
              </w:rPr>
              <w:t xml:space="preserve"> - </w:t>
            </w:r>
            <w:r w:rsidR="00F10906" w:rsidRPr="008B6A33">
              <w:rPr>
                <w:rFonts w:asciiTheme="minorHAnsi" w:hAnsiTheme="minorHAnsi" w:cstheme="minorHAnsi"/>
                <w:color w:val="000000"/>
                <w:sz w:val="28"/>
                <w:szCs w:val="28"/>
              </w:rPr>
              <w:t>Regional Tolima</w:t>
            </w:r>
          </w:p>
        </w:tc>
      </w:tr>
      <w:tr w:rsidR="008B6A33" w:rsidRPr="008B6A33" w14:paraId="3E651872" w14:textId="77777777" w:rsidTr="00C223CB">
        <w:trPr>
          <w:jc w:val="center"/>
        </w:trPr>
        <w:tc>
          <w:tcPr>
            <w:tcW w:w="3114" w:type="dxa"/>
            <w:vAlign w:val="center"/>
          </w:tcPr>
          <w:p w14:paraId="4B8B471E" w14:textId="7A69ACA6" w:rsidR="008B6A33" w:rsidRPr="008B6A33" w:rsidRDefault="00325D58" w:rsidP="008B6A33">
            <w:pPr>
              <w:pStyle w:val="TextoTablas"/>
              <w:spacing w:before="0" w:after="0" w:line="360" w:lineRule="auto"/>
              <w:rPr>
                <w:rFonts w:asciiTheme="minorHAnsi" w:hAnsiTheme="minorHAnsi" w:cstheme="minorHAnsi"/>
                <w:color w:val="000000"/>
                <w:sz w:val="28"/>
                <w:szCs w:val="28"/>
              </w:rPr>
            </w:pPr>
            <w:r>
              <w:rPr>
                <w:rStyle w:val="normaltextrun"/>
                <w:rFonts w:asciiTheme="minorHAnsi" w:hAnsiTheme="minorHAnsi" w:cstheme="minorHAnsi"/>
                <w:sz w:val="28"/>
                <w:szCs w:val="28"/>
              </w:rPr>
              <w:t xml:space="preserve">Lina Marcela </w:t>
            </w:r>
            <w:r w:rsidR="00026A01">
              <w:rPr>
                <w:rStyle w:val="normaltextrun"/>
                <w:rFonts w:asciiTheme="minorHAnsi" w:hAnsiTheme="minorHAnsi" w:cstheme="minorHAnsi"/>
                <w:sz w:val="28"/>
                <w:szCs w:val="28"/>
              </w:rPr>
              <w:t xml:space="preserve">Pérez </w:t>
            </w:r>
            <w:r>
              <w:rPr>
                <w:rStyle w:val="normaltextrun"/>
                <w:rFonts w:asciiTheme="minorHAnsi" w:hAnsiTheme="minorHAnsi" w:cstheme="minorHAnsi"/>
                <w:sz w:val="28"/>
                <w:szCs w:val="28"/>
              </w:rPr>
              <w:t>Manchego</w:t>
            </w:r>
            <w:r w:rsidR="008B6A33" w:rsidRPr="008B6A33">
              <w:rPr>
                <w:rStyle w:val="eop"/>
                <w:rFonts w:asciiTheme="minorHAnsi" w:hAnsiTheme="minorHAnsi" w:cstheme="minorHAnsi"/>
                <w:sz w:val="28"/>
                <w:szCs w:val="28"/>
              </w:rPr>
              <w:t> </w:t>
            </w:r>
          </w:p>
        </w:tc>
        <w:tc>
          <w:tcPr>
            <w:tcW w:w="3260" w:type="dxa"/>
            <w:vAlign w:val="center"/>
          </w:tcPr>
          <w:p w14:paraId="39342B28" w14:textId="7B22E665" w:rsidR="008B6A33" w:rsidRPr="008B6A33" w:rsidRDefault="008B6A33" w:rsidP="008B6A33">
            <w:pPr>
              <w:pStyle w:val="TextoTablas"/>
              <w:spacing w:before="0" w:after="0" w:line="360" w:lineRule="auto"/>
              <w:rPr>
                <w:rFonts w:asciiTheme="minorHAnsi" w:hAnsiTheme="minorHAnsi" w:cstheme="minorHAnsi"/>
                <w:color w:val="000000"/>
                <w:sz w:val="28"/>
                <w:szCs w:val="28"/>
              </w:rPr>
            </w:pPr>
            <w:r w:rsidRPr="008B6A33">
              <w:rPr>
                <w:rStyle w:val="normaltextrun"/>
                <w:rFonts w:asciiTheme="minorHAnsi" w:hAnsiTheme="minorHAnsi" w:cstheme="minorHAnsi"/>
                <w:sz w:val="28"/>
                <w:szCs w:val="28"/>
                <w:lang w:val="es-ES"/>
              </w:rPr>
              <w:t>Diseñador web</w:t>
            </w:r>
            <w:r w:rsidRPr="008B6A33">
              <w:rPr>
                <w:rStyle w:val="eop"/>
                <w:rFonts w:asciiTheme="minorHAnsi" w:hAnsiTheme="minorHAnsi" w:cstheme="minorHAnsi"/>
                <w:sz w:val="28"/>
                <w:szCs w:val="28"/>
              </w:rPr>
              <w:t> </w:t>
            </w:r>
          </w:p>
        </w:tc>
        <w:tc>
          <w:tcPr>
            <w:tcW w:w="3402" w:type="dxa"/>
            <w:vAlign w:val="center"/>
          </w:tcPr>
          <w:p w14:paraId="21686E88" w14:textId="2BEA86E9" w:rsidR="008B6A33" w:rsidRPr="008B6A33" w:rsidRDefault="008B6A33" w:rsidP="008B6A33">
            <w:pPr>
              <w:pStyle w:val="TextoTablas"/>
              <w:spacing w:before="0" w:after="0" w:line="360" w:lineRule="auto"/>
              <w:rPr>
                <w:rFonts w:asciiTheme="minorHAnsi" w:hAnsiTheme="minorHAnsi" w:cstheme="minorHAnsi"/>
                <w:color w:val="000000"/>
                <w:sz w:val="28"/>
                <w:szCs w:val="28"/>
              </w:rPr>
            </w:pPr>
            <w:r w:rsidRPr="008B6A33">
              <w:rPr>
                <w:rStyle w:val="normaltextrun"/>
                <w:rFonts w:asciiTheme="minorHAnsi" w:hAnsiTheme="minorHAnsi" w:cstheme="minorHAnsi"/>
                <w:sz w:val="28"/>
                <w:szCs w:val="28"/>
              </w:rPr>
              <w:t>Centro de Comercio y Servicios - Regional Tolima</w:t>
            </w:r>
            <w:r w:rsidRPr="008B6A33">
              <w:rPr>
                <w:rStyle w:val="eop"/>
                <w:rFonts w:asciiTheme="minorHAnsi" w:hAnsiTheme="minorHAnsi" w:cstheme="minorHAnsi"/>
                <w:sz w:val="28"/>
                <w:szCs w:val="28"/>
              </w:rPr>
              <w:t> </w:t>
            </w:r>
          </w:p>
        </w:tc>
      </w:tr>
      <w:tr w:rsidR="00AB2353" w:rsidRPr="008B6A33" w14:paraId="60CCD03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D4935E5" w14:textId="087C5E95"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Diego Fernando Velasco </w:t>
            </w:r>
            <w:proofErr w:type="spellStart"/>
            <w:r w:rsidRPr="008B6A33">
              <w:rPr>
                <w:rFonts w:asciiTheme="minorHAnsi" w:hAnsiTheme="minorHAnsi" w:cstheme="minorHAnsi"/>
                <w:color w:val="000000"/>
                <w:sz w:val="28"/>
                <w:szCs w:val="28"/>
              </w:rPr>
              <w:t>Güiza</w:t>
            </w:r>
            <w:proofErr w:type="spellEnd"/>
            <w:r w:rsidRPr="008B6A33">
              <w:rPr>
                <w:rFonts w:asciiTheme="minorHAnsi" w:hAnsiTheme="minorHAnsi" w:cstheme="minorHAnsi"/>
                <w:color w:val="000000"/>
                <w:sz w:val="28"/>
                <w:szCs w:val="28"/>
              </w:rPr>
              <w:t xml:space="preserve"> </w:t>
            </w:r>
          </w:p>
        </w:tc>
        <w:tc>
          <w:tcPr>
            <w:tcW w:w="3260" w:type="dxa"/>
          </w:tcPr>
          <w:p w14:paraId="7CA57FBC" w14:textId="459794A1"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Desarrollador </w:t>
            </w:r>
            <w:r w:rsidRPr="008B6A33">
              <w:rPr>
                <w:rStyle w:val="Extranjerismo"/>
                <w:rFonts w:asciiTheme="minorHAnsi" w:hAnsiTheme="minorHAnsi" w:cstheme="minorHAnsi"/>
                <w:sz w:val="28"/>
                <w:szCs w:val="28"/>
              </w:rPr>
              <w:t>full stack</w:t>
            </w:r>
            <w:r w:rsidRPr="008B6A33">
              <w:rPr>
                <w:rFonts w:asciiTheme="minorHAnsi" w:hAnsiTheme="minorHAnsi" w:cstheme="minorHAnsi"/>
                <w:color w:val="000000"/>
                <w:sz w:val="28"/>
                <w:szCs w:val="28"/>
              </w:rPr>
              <w:t xml:space="preserve"> </w:t>
            </w:r>
          </w:p>
        </w:tc>
        <w:tc>
          <w:tcPr>
            <w:tcW w:w="3402" w:type="dxa"/>
          </w:tcPr>
          <w:p w14:paraId="74223EB6" w14:textId="66F66C66"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F10906">
              <w:rPr>
                <w:rFonts w:asciiTheme="minorHAnsi" w:hAnsiTheme="minorHAnsi" w:cstheme="minorHAnsi"/>
                <w:color w:val="000000"/>
                <w:sz w:val="28"/>
                <w:szCs w:val="28"/>
              </w:rPr>
              <w:t xml:space="preserve"> - </w:t>
            </w:r>
            <w:r w:rsidR="00F10906" w:rsidRPr="008B6A33">
              <w:rPr>
                <w:rFonts w:asciiTheme="minorHAnsi" w:hAnsiTheme="minorHAnsi" w:cstheme="minorHAnsi"/>
                <w:color w:val="000000"/>
                <w:sz w:val="28"/>
                <w:szCs w:val="28"/>
              </w:rPr>
              <w:t xml:space="preserve">Regional Tolima </w:t>
            </w:r>
            <w:r w:rsidRPr="008B6A33">
              <w:rPr>
                <w:rFonts w:asciiTheme="minorHAnsi" w:hAnsiTheme="minorHAnsi" w:cstheme="minorHAnsi"/>
                <w:color w:val="000000"/>
                <w:sz w:val="28"/>
                <w:szCs w:val="28"/>
              </w:rPr>
              <w:t xml:space="preserve"> </w:t>
            </w:r>
          </w:p>
        </w:tc>
      </w:tr>
      <w:tr w:rsidR="00325D58" w:rsidRPr="008B6A33" w14:paraId="72DDB57B" w14:textId="77777777" w:rsidTr="00C223CB">
        <w:trPr>
          <w:jc w:val="center"/>
        </w:trPr>
        <w:tc>
          <w:tcPr>
            <w:tcW w:w="3114" w:type="dxa"/>
          </w:tcPr>
          <w:p w14:paraId="163566E3" w14:textId="6CD14CFE"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Francisco José Vásquez Suárez</w:t>
            </w:r>
          </w:p>
        </w:tc>
        <w:tc>
          <w:tcPr>
            <w:tcW w:w="3260" w:type="dxa"/>
          </w:tcPr>
          <w:p w14:paraId="19B8DAEC" w14:textId="3370A870"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 xml:space="preserve">Desarrollador </w:t>
            </w:r>
            <w:r w:rsidRPr="008B6A33">
              <w:rPr>
                <w:rStyle w:val="Extranjerismo"/>
                <w:rFonts w:asciiTheme="minorHAnsi" w:hAnsiTheme="minorHAnsi" w:cstheme="minorHAnsi"/>
                <w:sz w:val="28"/>
                <w:szCs w:val="28"/>
              </w:rPr>
              <w:t>full stack</w:t>
            </w:r>
            <w:r w:rsidRPr="008B6A33">
              <w:rPr>
                <w:rFonts w:asciiTheme="minorHAnsi" w:hAnsiTheme="minorHAnsi" w:cstheme="minorHAnsi"/>
                <w:color w:val="000000"/>
                <w:sz w:val="28"/>
                <w:szCs w:val="28"/>
              </w:rPr>
              <w:t xml:space="preserve"> </w:t>
            </w:r>
          </w:p>
        </w:tc>
        <w:tc>
          <w:tcPr>
            <w:tcW w:w="3402" w:type="dxa"/>
          </w:tcPr>
          <w:p w14:paraId="63B35C02" w14:textId="03FAA895"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 xml:space="preserve">Regional Tolima  </w:t>
            </w:r>
          </w:p>
        </w:tc>
      </w:tr>
      <w:tr w:rsidR="00325D58" w:rsidRPr="008B6A33" w14:paraId="373ED0AE"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1EF98FBC" w14:textId="28C03E47"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Gilberto Junior Rodríguez </w:t>
            </w:r>
            <w:proofErr w:type="spellStart"/>
            <w:r w:rsidRPr="008B6A33">
              <w:rPr>
                <w:rFonts w:asciiTheme="minorHAnsi" w:hAnsiTheme="minorHAnsi" w:cstheme="minorHAnsi"/>
                <w:color w:val="000000"/>
                <w:sz w:val="28"/>
                <w:szCs w:val="28"/>
              </w:rPr>
              <w:t>Rodríguez</w:t>
            </w:r>
            <w:proofErr w:type="spellEnd"/>
          </w:p>
        </w:tc>
        <w:tc>
          <w:tcPr>
            <w:tcW w:w="3260" w:type="dxa"/>
          </w:tcPr>
          <w:p w14:paraId="670BEF51" w14:textId="6FBA2F73"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Animador y productor audiovisual </w:t>
            </w:r>
          </w:p>
        </w:tc>
        <w:tc>
          <w:tcPr>
            <w:tcW w:w="3402" w:type="dxa"/>
          </w:tcPr>
          <w:p w14:paraId="4FE8F654" w14:textId="3AF85F58"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325D58" w:rsidRPr="008B6A33" w14:paraId="0737D40F" w14:textId="77777777" w:rsidTr="00C223CB">
        <w:trPr>
          <w:jc w:val="center"/>
        </w:trPr>
        <w:tc>
          <w:tcPr>
            <w:tcW w:w="3114" w:type="dxa"/>
          </w:tcPr>
          <w:p w14:paraId="67CABB3B" w14:textId="0470EE53"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Norma Constanza Morales Cruz </w:t>
            </w:r>
          </w:p>
        </w:tc>
        <w:tc>
          <w:tcPr>
            <w:tcW w:w="3260" w:type="dxa"/>
          </w:tcPr>
          <w:p w14:paraId="677DC104" w14:textId="4DC36EF9"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Evaluadora de contenidos inclusivos y accesibles </w:t>
            </w:r>
          </w:p>
        </w:tc>
        <w:tc>
          <w:tcPr>
            <w:tcW w:w="3402" w:type="dxa"/>
          </w:tcPr>
          <w:p w14:paraId="5E629696" w14:textId="4A440230"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325D58" w:rsidRPr="008B6A33" w14:paraId="22DE36E3"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74BCDEF" w14:textId="430AA117"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lastRenderedPageBreak/>
              <w:t>Javier Mauricio Oviedo</w:t>
            </w:r>
          </w:p>
        </w:tc>
        <w:tc>
          <w:tcPr>
            <w:tcW w:w="3260" w:type="dxa"/>
          </w:tcPr>
          <w:p w14:paraId="72282C34" w14:textId="09D2B8B7"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 xml:space="preserve">Validador y vinculador de recursos educativos digitales </w:t>
            </w:r>
          </w:p>
        </w:tc>
        <w:tc>
          <w:tcPr>
            <w:tcW w:w="3402" w:type="dxa"/>
          </w:tcPr>
          <w:p w14:paraId="0A34B3B1" w14:textId="7404F149"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Centro de Comercio y Servicios - Regional Tolima</w:t>
            </w:r>
          </w:p>
        </w:tc>
      </w:tr>
      <w:bookmarkEnd w:id="17"/>
    </w:tbl>
    <w:p w14:paraId="77109462" w14:textId="77777777" w:rsidR="004554CA" w:rsidRPr="004554CA" w:rsidRDefault="004554CA" w:rsidP="001A33D0">
      <w:pPr>
        <w:spacing w:before="0" w:after="0"/>
        <w:rPr>
          <w:lang w:val="es-419" w:eastAsia="es-CO"/>
        </w:rPr>
      </w:pPr>
    </w:p>
    <w:p w14:paraId="46B6446B" w14:textId="7ADC9B28" w:rsidR="003137E4" w:rsidRDefault="003137E4" w:rsidP="001A33D0">
      <w:pPr>
        <w:spacing w:before="0" w:after="0"/>
        <w:ind w:firstLine="0"/>
        <w:rPr>
          <w:lang w:val="es-419" w:eastAsia="es-CO"/>
        </w:rPr>
      </w:pPr>
    </w:p>
    <w:sectPr w:rsidR="003137E4" w:rsidSect="00C7377B">
      <w:headerReference w:type="default" r:id="rId17"/>
      <w:footerReference w:type="default" r:id="rId1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94040" w14:textId="77777777" w:rsidR="00342B58" w:rsidRDefault="00342B58" w:rsidP="00EC0858">
      <w:pPr>
        <w:spacing w:before="0" w:after="0" w:line="240" w:lineRule="auto"/>
      </w:pPr>
      <w:r>
        <w:separator/>
      </w:r>
    </w:p>
  </w:endnote>
  <w:endnote w:type="continuationSeparator" w:id="0">
    <w:p w14:paraId="0E816A95" w14:textId="77777777" w:rsidR="00342B58" w:rsidRDefault="00342B5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342B58">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938D2" w14:textId="77777777" w:rsidR="00342B58" w:rsidRDefault="00342B58" w:rsidP="00EC0858">
      <w:pPr>
        <w:spacing w:before="0" w:after="0" w:line="240" w:lineRule="auto"/>
      </w:pPr>
      <w:r>
        <w:separator/>
      </w:r>
    </w:p>
  </w:footnote>
  <w:footnote w:type="continuationSeparator" w:id="0">
    <w:p w14:paraId="203F0870" w14:textId="77777777" w:rsidR="00342B58" w:rsidRDefault="00342B5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6F0D98"/>
    <w:multiLevelType w:val="hybridMultilevel"/>
    <w:tmpl w:val="66068D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992E36"/>
    <w:multiLevelType w:val="hybridMultilevel"/>
    <w:tmpl w:val="00BED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BB5A61"/>
    <w:multiLevelType w:val="hybridMultilevel"/>
    <w:tmpl w:val="2BC6B22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5C44597"/>
    <w:multiLevelType w:val="hybridMultilevel"/>
    <w:tmpl w:val="D69254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2597B32"/>
    <w:multiLevelType w:val="hybridMultilevel"/>
    <w:tmpl w:val="AEB4C3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4337CC8"/>
    <w:multiLevelType w:val="hybridMultilevel"/>
    <w:tmpl w:val="9A8A37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771664E"/>
    <w:multiLevelType w:val="hybridMultilevel"/>
    <w:tmpl w:val="1A56A4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87B24A4"/>
    <w:multiLevelType w:val="hybridMultilevel"/>
    <w:tmpl w:val="A380DDF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CA45CD7"/>
    <w:multiLevelType w:val="hybridMultilevel"/>
    <w:tmpl w:val="F22C43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CE92457"/>
    <w:multiLevelType w:val="hybridMultilevel"/>
    <w:tmpl w:val="A13CE53C"/>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307620F"/>
    <w:multiLevelType w:val="hybridMultilevel"/>
    <w:tmpl w:val="2A5ED3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57471C8"/>
    <w:multiLevelType w:val="hybridMultilevel"/>
    <w:tmpl w:val="C6147C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404E3BE4"/>
    <w:multiLevelType w:val="hybridMultilevel"/>
    <w:tmpl w:val="B956C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24F0E84"/>
    <w:multiLevelType w:val="hybridMultilevel"/>
    <w:tmpl w:val="07C6BA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2E641E7"/>
    <w:multiLevelType w:val="hybridMultilevel"/>
    <w:tmpl w:val="F98274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8" w15:restartNumberingAfterBreak="0">
    <w:nsid w:val="490C0B8E"/>
    <w:multiLevelType w:val="hybridMultilevel"/>
    <w:tmpl w:val="082CF0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983685E"/>
    <w:multiLevelType w:val="hybridMultilevel"/>
    <w:tmpl w:val="53BEF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0627D6C"/>
    <w:multiLevelType w:val="hybridMultilevel"/>
    <w:tmpl w:val="E41808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51B2D18"/>
    <w:multiLevelType w:val="hybridMultilevel"/>
    <w:tmpl w:val="7F1CC6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7AE7B10"/>
    <w:multiLevelType w:val="hybridMultilevel"/>
    <w:tmpl w:val="C56C4B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8CC5676"/>
    <w:multiLevelType w:val="hybridMultilevel"/>
    <w:tmpl w:val="805A8C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9751DF4"/>
    <w:multiLevelType w:val="hybridMultilevel"/>
    <w:tmpl w:val="8190D8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A6E792A"/>
    <w:multiLevelType w:val="hybridMultilevel"/>
    <w:tmpl w:val="1604EA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65B0389"/>
    <w:multiLevelType w:val="hybridMultilevel"/>
    <w:tmpl w:val="BB982D46"/>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70D202EA"/>
    <w:multiLevelType w:val="hybridMultilevel"/>
    <w:tmpl w:val="D722D6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7110B13"/>
    <w:multiLevelType w:val="hybridMultilevel"/>
    <w:tmpl w:val="F7A87C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7D74FB9"/>
    <w:multiLevelType w:val="hybridMultilevel"/>
    <w:tmpl w:val="772E80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8C4546D"/>
    <w:multiLevelType w:val="hybridMultilevel"/>
    <w:tmpl w:val="4596E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BE54BAD"/>
    <w:multiLevelType w:val="hybridMultilevel"/>
    <w:tmpl w:val="BE4CDB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0"/>
  </w:num>
  <w:num w:numId="3">
    <w:abstractNumId w:val="13"/>
  </w:num>
  <w:num w:numId="4">
    <w:abstractNumId w:val="17"/>
  </w:num>
  <w:num w:numId="5">
    <w:abstractNumId w:val="21"/>
  </w:num>
  <w:num w:numId="6">
    <w:abstractNumId w:val="9"/>
  </w:num>
  <w:num w:numId="7">
    <w:abstractNumId w:val="28"/>
  </w:num>
  <w:num w:numId="8">
    <w:abstractNumId w:val="5"/>
  </w:num>
  <w:num w:numId="9">
    <w:abstractNumId w:val="32"/>
  </w:num>
  <w:num w:numId="10">
    <w:abstractNumId w:val="4"/>
  </w:num>
  <w:num w:numId="11">
    <w:abstractNumId w:val="2"/>
  </w:num>
  <w:num w:numId="12">
    <w:abstractNumId w:val="14"/>
  </w:num>
  <w:num w:numId="13">
    <w:abstractNumId w:val="19"/>
  </w:num>
  <w:num w:numId="14">
    <w:abstractNumId w:val="8"/>
  </w:num>
  <w:num w:numId="15">
    <w:abstractNumId w:val="6"/>
  </w:num>
  <w:num w:numId="16">
    <w:abstractNumId w:val="29"/>
  </w:num>
  <w:num w:numId="17">
    <w:abstractNumId w:val="10"/>
  </w:num>
  <w:num w:numId="18">
    <w:abstractNumId w:val="12"/>
  </w:num>
  <w:num w:numId="19">
    <w:abstractNumId w:val="3"/>
  </w:num>
  <w:num w:numId="20">
    <w:abstractNumId w:val="27"/>
  </w:num>
  <w:num w:numId="21">
    <w:abstractNumId w:val="16"/>
  </w:num>
  <w:num w:numId="22">
    <w:abstractNumId w:val="25"/>
  </w:num>
  <w:num w:numId="23">
    <w:abstractNumId w:val="22"/>
  </w:num>
  <w:num w:numId="24">
    <w:abstractNumId w:val="23"/>
  </w:num>
  <w:num w:numId="25">
    <w:abstractNumId w:val="1"/>
  </w:num>
  <w:num w:numId="26">
    <w:abstractNumId w:val="26"/>
  </w:num>
  <w:num w:numId="27">
    <w:abstractNumId w:val="7"/>
  </w:num>
  <w:num w:numId="28">
    <w:abstractNumId w:val="24"/>
  </w:num>
  <w:num w:numId="29">
    <w:abstractNumId w:val="15"/>
  </w:num>
  <w:num w:numId="30">
    <w:abstractNumId w:val="11"/>
  </w:num>
  <w:num w:numId="31">
    <w:abstractNumId w:val="31"/>
  </w:num>
  <w:num w:numId="32">
    <w:abstractNumId w:val="30"/>
  </w:num>
  <w:num w:numId="33">
    <w:abstractNumId w:val="1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2C6"/>
    <w:rsid w:val="00001499"/>
    <w:rsid w:val="00002DFC"/>
    <w:rsid w:val="00005155"/>
    <w:rsid w:val="000052B7"/>
    <w:rsid w:val="00006081"/>
    <w:rsid w:val="00006215"/>
    <w:rsid w:val="00006977"/>
    <w:rsid w:val="00007CC9"/>
    <w:rsid w:val="000108AB"/>
    <w:rsid w:val="00011CF7"/>
    <w:rsid w:val="00012641"/>
    <w:rsid w:val="000132F3"/>
    <w:rsid w:val="0001391C"/>
    <w:rsid w:val="00014D74"/>
    <w:rsid w:val="000165F8"/>
    <w:rsid w:val="0001705E"/>
    <w:rsid w:val="000172C4"/>
    <w:rsid w:val="00022071"/>
    <w:rsid w:val="00024D63"/>
    <w:rsid w:val="0002653B"/>
    <w:rsid w:val="00026A01"/>
    <w:rsid w:val="00030DCE"/>
    <w:rsid w:val="00031249"/>
    <w:rsid w:val="00031EB7"/>
    <w:rsid w:val="00033319"/>
    <w:rsid w:val="00034335"/>
    <w:rsid w:val="000344D2"/>
    <w:rsid w:val="00035448"/>
    <w:rsid w:val="000366A4"/>
    <w:rsid w:val="00040172"/>
    <w:rsid w:val="00040801"/>
    <w:rsid w:val="00041D64"/>
    <w:rsid w:val="00042559"/>
    <w:rsid w:val="000434FA"/>
    <w:rsid w:val="00043682"/>
    <w:rsid w:val="00043A4C"/>
    <w:rsid w:val="00044871"/>
    <w:rsid w:val="00045B2B"/>
    <w:rsid w:val="000464DB"/>
    <w:rsid w:val="000464F6"/>
    <w:rsid w:val="00047281"/>
    <w:rsid w:val="00050960"/>
    <w:rsid w:val="00051888"/>
    <w:rsid w:val="0005377B"/>
    <w:rsid w:val="0005395F"/>
    <w:rsid w:val="0005476E"/>
    <w:rsid w:val="000547B6"/>
    <w:rsid w:val="00054F88"/>
    <w:rsid w:val="0005708D"/>
    <w:rsid w:val="000608EB"/>
    <w:rsid w:val="000634E4"/>
    <w:rsid w:val="00063ECD"/>
    <w:rsid w:val="00064FB9"/>
    <w:rsid w:val="0006594F"/>
    <w:rsid w:val="00065D78"/>
    <w:rsid w:val="00066215"/>
    <w:rsid w:val="00066A42"/>
    <w:rsid w:val="000701AA"/>
    <w:rsid w:val="00072819"/>
    <w:rsid w:val="00072B1B"/>
    <w:rsid w:val="00074013"/>
    <w:rsid w:val="000752E3"/>
    <w:rsid w:val="0007615F"/>
    <w:rsid w:val="00076806"/>
    <w:rsid w:val="00077246"/>
    <w:rsid w:val="00077506"/>
    <w:rsid w:val="000778CA"/>
    <w:rsid w:val="00077ACB"/>
    <w:rsid w:val="000835AF"/>
    <w:rsid w:val="000837A1"/>
    <w:rsid w:val="00083ECA"/>
    <w:rsid w:val="0008491B"/>
    <w:rsid w:val="00084978"/>
    <w:rsid w:val="00084C26"/>
    <w:rsid w:val="000868BF"/>
    <w:rsid w:val="00092285"/>
    <w:rsid w:val="00092371"/>
    <w:rsid w:val="0009453E"/>
    <w:rsid w:val="0009532D"/>
    <w:rsid w:val="00095A5C"/>
    <w:rsid w:val="000976E0"/>
    <w:rsid w:val="000A02D7"/>
    <w:rsid w:val="000A1EFC"/>
    <w:rsid w:val="000A33F4"/>
    <w:rsid w:val="000A39B3"/>
    <w:rsid w:val="000A3A70"/>
    <w:rsid w:val="000A4731"/>
    <w:rsid w:val="000A48FB"/>
    <w:rsid w:val="000A4B5D"/>
    <w:rsid w:val="000A5361"/>
    <w:rsid w:val="000A54FF"/>
    <w:rsid w:val="000A57B4"/>
    <w:rsid w:val="000A6CE6"/>
    <w:rsid w:val="000B137C"/>
    <w:rsid w:val="000B15A9"/>
    <w:rsid w:val="000B3C3F"/>
    <w:rsid w:val="000B3CB0"/>
    <w:rsid w:val="000B5381"/>
    <w:rsid w:val="000B544F"/>
    <w:rsid w:val="000B5E84"/>
    <w:rsid w:val="000B5F39"/>
    <w:rsid w:val="000B6CFF"/>
    <w:rsid w:val="000B79B3"/>
    <w:rsid w:val="000C0C21"/>
    <w:rsid w:val="000C166D"/>
    <w:rsid w:val="000C3F4A"/>
    <w:rsid w:val="000C5653"/>
    <w:rsid w:val="000C5A51"/>
    <w:rsid w:val="000C6ED8"/>
    <w:rsid w:val="000D16BD"/>
    <w:rsid w:val="000D1E3A"/>
    <w:rsid w:val="000D1EC5"/>
    <w:rsid w:val="000D3199"/>
    <w:rsid w:val="000D3BCB"/>
    <w:rsid w:val="000D5447"/>
    <w:rsid w:val="000D650C"/>
    <w:rsid w:val="000D6E15"/>
    <w:rsid w:val="000D782E"/>
    <w:rsid w:val="000E07CA"/>
    <w:rsid w:val="000E238D"/>
    <w:rsid w:val="000E2E67"/>
    <w:rsid w:val="000E3717"/>
    <w:rsid w:val="000E3BF9"/>
    <w:rsid w:val="000E4D86"/>
    <w:rsid w:val="000E674B"/>
    <w:rsid w:val="000F0284"/>
    <w:rsid w:val="000F1840"/>
    <w:rsid w:val="000F3E86"/>
    <w:rsid w:val="000F42EF"/>
    <w:rsid w:val="000F51A5"/>
    <w:rsid w:val="000F6CE1"/>
    <w:rsid w:val="00100382"/>
    <w:rsid w:val="001022F0"/>
    <w:rsid w:val="001030F5"/>
    <w:rsid w:val="0010330F"/>
    <w:rsid w:val="00104BC1"/>
    <w:rsid w:val="001102E1"/>
    <w:rsid w:val="001111C1"/>
    <w:rsid w:val="00111955"/>
    <w:rsid w:val="00112F24"/>
    <w:rsid w:val="00113AE7"/>
    <w:rsid w:val="00114026"/>
    <w:rsid w:val="001146AA"/>
    <w:rsid w:val="001153F3"/>
    <w:rsid w:val="0011568B"/>
    <w:rsid w:val="0011624C"/>
    <w:rsid w:val="001164FF"/>
    <w:rsid w:val="0011788F"/>
    <w:rsid w:val="00120730"/>
    <w:rsid w:val="0012197B"/>
    <w:rsid w:val="00122AEC"/>
    <w:rsid w:val="00123EA6"/>
    <w:rsid w:val="00125F8E"/>
    <w:rsid w:val="00126272"/>
    <w:rsid w:val="001262E7"/>
    <w:rsid w:val="001267B6"/>
    <w:rsid w:val="00127C17"/>
    <w:rsid w:val="00130D8E"/>
    <w:rsid w:val="0013222B"/>
    <w:rsid w:val="001324DF"/>
    <w:rsid w:val="001325D1"/>
    <w:rsid w:val="001358D8"/>
    <w:rsid w:val="001361DE"/>
    <w:rsid w:val="001378D1"/>
    <w:rsid w:val="00143502"/>
    <w:rsid w:val="00144D9B"/>
    <w:rsid w:val="00146514"/>
    <w:rsid w:val="00147F4E"/>
    <w:rsid w:val="00151253"/>
    <w:rsid w:val="00153DD1"/>
    <w:rsid w:val="001568AD"/>
    <w:rsid w:val="00157993"/>
    <w:rsid w:val="00160D56"/>
    <w:rsid w:val="00161AE8"/>
    <w:rsid w:val="0016392B"/>
    <w:rsid w:val="00165ADF"/>
    <w:rsid w:val="00165C48"/>
    <w:rsid w:val="00170014"/>
    <w:rsid w:val="00171B1B"/>
    <w:rsid w:val="001723F0"/>
    <w:rsid w:val="00173B93"/>
    <w:rsid w:val="00175445"/>
    <w:rsid w:val="001757F9"/>
    <w:rsid w:val="00176246"/>
    <w:rsid w:val="00177032"/>
    <w:rsid w:val="0017719B"/>
    <w:rsid w:val="001777B3"/>
    <w:rsid w:val="00180C15"/>
    <w:rsid w:val="00181AFA"/>
    <w:rsid w:val="00182157"/>
    <w:rsid w:val="001833EB"/>
    <w:rsid w:val="0018494D"/>
    <w:rsid w:val="00185797"/>
    <w:rsid w:val="001859C0"/>
    <w:rsid w:val="001862EF"/>
    <w:rsid w:val="00187020"/>
    <w:rsid w:val="001878E9"/>
    <w:rsid w:val="00187980"/>
    <w:rsid w:val="00192B83"/>
    <w:rsid w:val="00193D43"/>
    <w:rsid w:val="0019451A"/>
    <w:rsid w:val="0019651A"/>
    <w:rsid w:val="00196CD4"/>
    <w:rsid w:val="00197A36"/>
    <w:rsid w:val="001A0CE3"/>
    <w:rsid w:val="001A1C74"/>
    <w:rsid w:val="001A29EA"/>
    <w:rsid w:val="001A33D0"/>
    <w:rsid w:val="001A57AD"/>
    <w:rsid w:val="001A637D"/>
    <w:rsid w:val="001A6D42"/>
    <w:rsid w:val="001A741A"/>
    <w:rsid w:val="001A753A"/>
    <w:rsid w:val="001A75F9"/>
    <w:rsid w:val="001A7F73"/>
    <w:rsid w:val="001B0890"/>
    <w:rsid w:val="001B29F0"/>
    <w:rsid w:val="001B3AD7"/>
    <w:rsid w:val="001B3C10"/>
    <w:rsid w:val="001B54AE"/>
    <w:rsid w:val="001B57A6"/>
    <w:rsid w:val="001B57F8"/>
    <w:rsid w:val="001B787E"/>
    <w:rsid w:val="001C1360"/>
    <w:rsid w:val="001C1673"/>
    <w:rsid w:val="001C1CE3"/>
    <w:rsid w:val="001C30AD"/>
    <w:rsid w:val="001C5574"/>
    <w:rsid w:val="001C6E7E"/>
    <w:rsid w:val="001C6F2E"/>
    <w:rsid w:val="001D03F9"/>
    <w:rsid w:val="001D1FD9"/>
    <w:rsid w:val="001D22BF"/>
    <w:rsid w:val="001D255D"/>
    <w:rsid w:val="001D2A26"/>
    <w:rsid w:val="001D3C8F"/>
    <w:rsid w:val="001D5099"/>
    <w:rsid w:val="001D590E"/>
    <w:rsid w:val="001D5EA4"/>
    <w:rsid w:val="001D7F1A"/>
    <w:rsid w:val="001E0F24"/>
    <w:rsid w:val="001E16FE"/>
    <w:rsid w:val="001E1CB3"/>
    <w:rsid w:val="001E340B"/>
    <w:rsid w:val="001E350B"/>
    <w:rsid w:val="001E3DD2"/>
    <w:rsid w:val="001E4D50"/>
    <w:rsid w:val="001E4FCE"/>
    <w:rsid w:val="001F05B2"/>
    <w:rsid w:val="001F064E"/>
    <w:rsid w:val="001F1FD9"/>
    <w:rsid w:val="001F23FB"/>
    <w:rsid w:val="001F4AB4"/>
    <w:rsid w:val="001F74A9"/>
    <w:rsid w:val="001F7512"/>
    <w:rsid w:val="001F7815"/>
    <w:rsid w:val="001F79D6"/>
    <w:rsid w:val="002007FD"/>
    <w:rsid w:val="0020288A"/>
    <w:rsid w:val="00203367"/>
    <w:rsid w:val="002033FA"/>
    <w:rsid w:val="00204A79"/>
    <w:rsid w:val="0020633F"/>
    <w:rsid w:val="00206733"/>
    <w:rsid w:val="00206F61"/>
    <w:rsid w:val="00207535"/>
    <w:rsid w:val="002111DD"/>
    <w:rsid w:val="0021249B"/>
    <w:rsid w:val="00212945"/>
    <w:rsid w:val="00212D8B"/>
    <w:rsid w:val="00213C8A"/>
    <w:rsid w:val="00213EFE"/>
    <w:rsid w:val="00214F64"/>
    <w:rsid w:val="002154CD"/>
    <w:rsid w:val="002154FF"/>
    <w:rsid w:val="00215752"/>
    <w:rsid w:val="00215C9C"/>
    <w:rsid w:val="00215FB6"/>
    <w:rsid w:val="00217335"/>
    <w:rsid w:val="0022249E"/>
    <w:rsid w:val="002227A0"/>
    <w:rsid w:val="00223699"/>
    <w:rsid w:val="00223CE0"/>
    <w:rsid w:val="00224216"/>
    <w:rsid w:val="002243AC"/>
    <w:rsid w:val="00224A9C"/>
    <w:rsid w:val="00224DD3"/>
    <w:rsid w:val="00226182"/>
    <w:rsid w:val="00227F12"/>
    <w:rsid w:val="002304D1"/>
    <w:rsid w:val="00232816"/>
    <w:rsid w:val="00232BE7"/>
    <w:rsid w:val="00234610"/>
    <w:rsid w:val="00234A5F"/>
    <w:rsid w:val="0023564D"/>
    <w:rsid w:val="00235AF9"/>
    <w:rsid w:val="00235C90"/>
    <w:rsid w:val="0023607C"/>
    <w:rsid w:val="0023734F"/>
    <w:rsid w:val="002375C4"/>
    <w:rsid w:val="002401C2"/>
    <w:rsid w:val="00243BCF"/>
    <w:rsid w:val="00244616"/>
    <w:rsid w:val="0024494B"/>
    <w:rsid w:val="002450B6"/>
    <w:rsid w:val="00247DFD"/>
    <w:rsid w:val="00250E19"/>
    <w:rsid w:val="002517B4"/>
    <w:rsid w:val="00251843"/>
    <w:rsid w:val="0025231F"/>
    <w:rsid w:val="00253811"/>
    <w:rsid w:val="002543CC"/>
    <w:rsid w:val="00254713"/>
    <w:rsid w:val="00254E40"/>
    <w:rsid w:val="0025663F"/>
    <w:rsid w:val="002569D0"/>
    <w:rsid w:val="00257ECD"/>
    <w:rsid w:val="00261298"/>
    <w:rsid w:val="002620D8"/>
    <w:rsid w:val="00262E39"/>
    <w:rsid w:val="00262F81"/>
    <w:rsid w:val="00263331"/>
    <w:rsid w:val="00263789"/>
    <w:rsid w:val="00263D81"/>
    <w:rsid w:val="00264894"/>
    <w:rsid w:val="002654CB"/>
    <w:rsid w:val="00267783"/>
    <w:rsid w:val="00267860"/>
    <w:rsid w:val="002711E0"/>
    <w:rsid w:val="00271696"/>
    <w:rsid w:val="002735D5"/>
    <w:rsid w:val="00273EB8"/>
    <w:rsid w:val="00275990"/>
    <w:rsid w:val="00276B35"/>
    <w:rsid w:val="0028440E"/>
    <w:rsid w:val="0028482D"/>
    <w:rsid w:val="00284FD1"/>
    <w:rsid w:val="00286190"/>
    <w:rsid w:val="00287403"/>
    <w:rsid w:val="00291787"/>
    <w:rsid w:val="00292B70"/>
    <w:rsid w:val="002936AE"/>
    <w:rsid w:val="00294645"/>
    <w:rsid w:val="0029507B"/>
    <w:rsid w:val="00296026"/>
    <w:rsid w:val="00296B7D"/>
    <w:rsid w:val="002970F2"/>
    <w:rsid w:val="002A14D0"/>
    <w:rsid w:val="002A2D5D"/>
    <w:rsid w:val="002A2DC6"/>
    <w:rsid w:val="002A52F0"/>
    <w:rsid w:val="002A681A"/>
    <w:rsid w:val="002A69E1"/>
    <w:rsid w:val="002A75CF"/>
    <w:rsid w:val="002B036F"/>
    <w:rsid w:val="002B09D5"/>
    <w:rsid w:val="002B0A8C"/>
    <w:rsid w:val="002B2C52"/>
    <w:rsid w:val="002B3DE5"/>
    <w:rsid w:val="002B3F2F"/>
    <w:rsid w:val="002B4853"/>
    <w:rsid w:val="002B4C97"/>
    <w:rsid w:val="002B63A8"/>
    <w:rsid w:val="002B6F24"/>
    <w:rsid w:val="002B71F0"/>
    <w:rsid w:val="002B7204"/>
    <w:rsid w:val="002B7A62"/>
    <w:rsid w:val="002B7FD8"/>
    <w:rsid w:val="002C0BE9"/>
    <w:rsid w:val="002C11E8"/>
    <w:rsid w:val="002C12E3"/>
    <w:rsid w:val="002C1E1D"/>
    <w:rsid w:val="002C20A3"/>
    <w:rsid w:val="002C20ED"/>
    <w:rsid w:val="002C3007"/>
    <w:rsid w:val="002C3B4A"/>
    <w:rsid w:val="002C4D81"/>
    <w:rsid w:val="002C5378"/>
    <w:rsid w:val="002C66C4"/>
    <w:rsid w:val="002D0676"/>
    <w:rsid w:val="002D0E97"/>
    <w:rsid w:val="002D180B"/>
    <w:rsid w:val="002D189F"/>
    <w:rsid w:val="002D268A"/>
    <w:rsid w:val="002D37D2"/>
    <w:rsid w:val="002D43EF"/>
    <w:rsid w:val="002D5491"/>
    <w:rsid w:val="002D56F5"/>
    <w:rsid w:val="002D5EC5"/>
    <w:rsid w:val="002D6006"/>
    <w:rsid w:val="002D7FD6"/>
    <w:rsid w:val="002E0FD1"/>
    <w:rsid w:val="002E1116"/>
    <w:rsid w:val="002E1453"/>
    <w:rsid w:val="002E3F1F"/>
    <w:rsid w:val="002E5B3A"/>
    <w:rsid w:val="002F08A7"/>
    <w:rsid w:val="002F0F19"/>
    <w:rsid w:val="002F11EA"/>
    <w:rsid w:val="002F24F6"/>
    <w:rsid w:val="002F2848"/>
    <w:rsid w:val="002F2A6B"/>
    <w:rsid w:val="002F3CE6"/>
    <w:rsid w:val="002F675A"/>
    <w:rsid w:val="002F6762"/>
    <w:rsid w:val="002F7084"/>
    <w:rsid w:val="0030065C"/>
    <w:rsid w:val="00303197"/>
    <w:rsid w:val="0030423A"/>
    <w:rsid w:val="00305076"/>
    <w:rsid w:val="00306C00"/>
    <w:rsid w:val="00307579"/>
    <w:rsid w:val="00307CF9"/>
    <w:rsid w:val="003101E9"/>
    <w:rsid w:val="003113A6"/>
    <w:rsid w:val="00312187"/>
    <w:rsid w:val="003122F6"/>
    <w:rsid w:val="00312A3D"/>
    <w:rsid w:val="003137E4"/>
    <w:rsid w:val="003164A6"/>
    <w:rsid w:val="003165B8"/>
    <w:rsid w:val="00316877"/>
    <w:rsid w:val="003168BD"/>
    <w:rsid w:val="00320724"/>
    <w:rsid w:val="00321195"/>
    <w:rsid w:val="00321356"/>
    <w:rsid w:val="003219FD"/>
    <w:rsid w:val="003240B5"/>
    <w:rsid w:val="003252CD"/>
    <w:rsid w:val="00325364"/>
    <w:rsid w:val="003256B3"/>
    <w:rsid w:val="00325D58"/>
    <w:rsid w:val="00326D74"/>
    <w:rsid w:val="00327236"/>
    <w:rsid w:val="00327302"/>
    <w:rsid w:val="00327A66"/>
    <w:rsid w:val="003315CF"/>
    <w:rsid w:val="003315DB"/>
    <w:rsid w:val="003340EC"/>
    <w:rsid w:val="00334EAE"/>
    <w:rsid w:val="00335E02"/>
    <w:rsid w:val="00336C36"/>
    <w:rsid w:val="00337DA6"/>
    <w:rsid w:val="00341F48"/>
    <w:rsid w:val="0034216E"/>
    <w:rsid w:val="00342B58"/>
    <w:rsid w:val="00342E33"/>
    <w:rsid w:val="0034355E"/>
    <w:rsid w:val="003460D9"/>
    <w:rsid w:val="00346F97"/>
    <w:rsid w:val="00350819"/>
    <w:rsid w:val="003520EC"/>
    <w:rsid w:val="0035340C"/>
    <w:rsid w:val="00353681"/>
    <w:rsid w:val="00353E86"/>
    <w:rsid w:val="0035710A"/>
    <w:rsid w:val="00361907"/>
    <w:rsid w:val="0036307E"/>
    <w:rsid w:val="003632BD"/>
    <w:rsid w:val="00367995"/>
    <w:rsid w:val="00367ABD"/>
    <w:rsid w:val="00370192"/>
    <w:rsid w:val="003706D5"/>
    <w:rsid w:val="00371AE0"/>
    <w:rsid w:val="003727B6"/>
    <w:rsid w:val="0037387B"/>
    <w:rsid w:val="003758BC"/>
    <w:rsid w:val="003762AA"/>
    <w:rsid w:val="0037638E"/>
    <w:rsid w:val="00377377"/>
    <w:rsid w:val="0038306E"/>
    <w:rsid w:val="00383FD9"/>
    <w:rsid w:val="003842F1"/>
    <w:rsid w:val="0038442C"/>
    <w:rsid w:val="003867BB"/>
    <w:rsid w:val="00391EFC"/>
    <w:rsid w:val="0039312A"/>
    <w:rsid w:val="00393683"/>
    <w:rsid w:val="003941FF"/>
    <w:rsid w:val="00394DE7"/>
    <w:rsid w:val="003951E6"/>
    <w:rsid w:val="003954A2"/>
    <w:rsid w:val="00395F16"/>
    <w:rsid w:val="00397A92"/>
    <w:rsid w:val="003A0FFD"/>
    <w:rsid w:val="003A132A"/>
    <w:rsid w:val="003A15AF"/>
    <w:rsid w:val="003A199B"/>
    <w:rsid w:val="003A2F69"/>
    <w:rsid w:val="003A3B32"/>
    <w:rsid w:val="003A4F79"/>
    <w:rsid w:val="003A6436"/>
    <w:rsid w:val="003A67DA"/>
    <w:rsid w:val="003B13EB"/>
    <w:rsid w:val="003B15D0"/>
    <w:rsid w:val="003B2D8F"/>
    <w:rsid w:val="003B483C"/>
    <w:rsid w:val="003B73A7"/>
    <w:rsid w:val="003C007C"/>
    <w:rsid w:val="003C0743"/>
    <w:rsid w:val="003C107D"/>
    <w:rsid w:val="003C1EE3"/>
    <w:rsid w:val="003C202B"/>
    <w:rsid w:val="003C2F9D"/>
    <w:rsid w:val="003C39B4"/>
    <w:rsid w:val="003C4559"/>
    <w:rsid w:val="003C475A"/>
    <w:rsid w:val="003C4B48"/>
    <w:rsid w:val="003C50B7"/>
    <w:rsid w:val="003C6F45"/>
    <w:rsid w:val="003C76EA"/>
    <w:rsid w:val="003C7D13"/>
    <w:rsid w:val="003D18F9"/>
    <w:rsid w:val="003D1FAE"/>
    <w:rsid w:val="003D2353"/>
    <w:rsid w:val="003D3CA5"/>
    <w:rsid w:val="003D4BE4"/>
    <w:rsid w:val="003D5623"/>
    <w:rsid w:val="003D6D58"/>
    <w:rsid w:val="003D70F4"/>
    <w:rsid w:val="003E1C03"/>
    <w:rsid w:val="003E2FCA"/>
    <w:rsid w:val="003E30FC"/>
    <w:rsid w:val="003E39CC"/>
    <w:rsid w:val="003E59D8"/>
    <w:rsid w:val="003E7363"/>
    <w:rsid w:val="003F0F2B"/>
    <w:rsid w:val="003F1436"/>
    <w:rsid w:val="003F2163"/>
    <w:rsid w:val="003F279E"/>
    <w:rsid w:val="003F387A"/>
    <w:rsid w:val="003F3926"/>
    <w:rsid w:val="003F4057"/>
    <w:rsid w:val="003F63FC"/>
    <w:rsid w:val="003F72FF"/>
    <w:rsid w:val="003F7788"/>
    <w:rsid w:val="00400ADF"/>
    <w:rsid w:val="00400FBB"/>
    <w:rsid w:val="004023C5"/>
    <w:rsid w:val="00402C5B"/>
    <w:rsid w:val="004030EA"/>
    <w:rsid w:val="00403160"/>
    <w:rsid w:val="00404488"/>
    <w:rsid w:val="00405967"/>
    <w:rsid w:val="00405C1C"/>
    <w:rsid w:val="00406CC0"/>
    <w:rsid w:val="00410E73"/>
    <w:rsid w:val="004139C8"/>
    <w:rsid w:val="004152B0"/>
    <w:rsid w:val="004155FA"/>
    <w:rsid w:val="00415D99"/>
    <w:rsid w:val="004176DB"/>
    <w:rsid w:val="004176E7"/>
    <w:rsid w:val="0041775C"/>
    <w:rsid w:val="0042046E"/>
    <w:rsid w:val="00421A46"/>
    <w:rsid w:val="0042326E"/>
    <w:rsid w:val="0042370A"/>
    <w:rsid w:val="00424986"/>
    <w:rsid w:val="00424B00"/>
    <w:rsid w:val="00425ABF"/>
    <w:rsid w:val="00425E49"/>
    <w:rsid w:val="004300AD"/>
    <w:rsid w:val="004306AC"/>
    <w:rsid w:val="00431337"/>
    <w:rsid w:val="00431B7C"/>
    <w:rsid w:val="00431BFF"/>
    <w:rsid w:val="004329AF"/>
    <w:rsid w:val="004333D6"/>
    <w:rsid w:val="00433519"/>
    <w:rsid w:val="00434BFC"/>
    <w:rsid w:val="00434F32"/>
    <w:rsid w:val="00435B04"/>
    <w:rsid w:val="00436AFC"/>
    <w:rsid w:val="004376E8"/>
    <w:rsid w:val="00437DC5"/>
    <w:rsid w:val="004401B6"/>
    <w:rsid w:val="00441D7E"/>
    <w:rsid w:val="00443F67"/>
    <w:rsid w:val="0044400F"/>
    <w:rsid w:val="00445249"/>
    <w:rsid w:val="00445CA4"/>
    <w:rsid w:val="00445D7E"/>
    <w:rsid w:val="00446928"/>
    <w:rsid w:val="00447654"/>
    <w:rsid w:val="00451DAC"/>
    <w:rsid w:val="00451FF0"/>
    <w:rsid w:val="004529B5"/>
    <w:rsid w:val="004542FE"/>
    <w:rsid w:val="004554CA"/>
    <w:rsid w:val="00455F37"/>
    <w:rsid w:val="00456674"/>
    <w:rsid w:val="004617C1"/>
    <w:rsid w:val="004622A6"/>
    <w:rsid w:val="004628BC"/>
    <w:rsid w:val="00462E41"/>
    <w:rsid w:val="0046396F"/>
    <w:rsid w:val="004650C2"/>
    <w:rsid w:val="0046681E"/>
    <w:rsid w:val="00471B38"/>
    <w:rsid w:val="0047201B"/>
    <w:rsid w:val="0047405B"/>
    <w:rsid w:val="004745F0"/>
    <w:rsid w:val="0047536D"/>
    <w:rsid w:val="00475420"/>
    <w:rsid w:val="004761FC"/>
    <w:rsid w:val="00476E72"/>
    <w:rsid w:val="00477518"/>
    <w:rsid w:val="00480788"/>
    <w:rsid w:val="00482BF2"/>
    <w:rsid w:val="00483061"/>
    <w:rsid w:val="00484C00"/>
    <w:rsid w:val="00493660"/>
    <w:rsid w:val="0049377A"/>
    <w:rsid w:val="00495F48"/>
    <w:rsid w:val="00497B36"/>
    <w:rsid w:val="004A1667"/>
    <w:rsid w:val="004A1F97"/>
    <w:rsid w:val="004A6903"/>
    <w:rsid w:val="004A7244"/>
    <w:rsid w:val="004B04C8"/>
    <w:rsid w:val="004B0DA2"/>
    <w:rsid w:val="004B149F"/>
    <w:rsid w:val="004B15E9"/>
    <w:rsid w:val="004B1EA0"/>
    <w:rsid w:val="004B22E3"/>
    <w:rsid w:val="004B2A97"/>
    <w:rsid w:val="004B2C2D"/>
    <w:rsid w:val="004B3C1A"/>
    <w:rsid w:val="004B3FE3"/>
    <w:rsid w:val="004B5ADF"/>
    <w:rsid w:val="004B5CE2"/>
    <w:rsid w:val="004B647E"/>
    <w:rsid w:val="004C01D7"/>
    <w:rsid w:val="004C2653"/>
    <w:rsid w:val="004C2B96"/>
    <w:rsid w:val="004C410C"/>
    <w:rsid w:val="004C4313"/>
    <w:rsid w:val="004C4484"/>
    <w:rsid w:val="004C51DB"/>
    <w:rsid w:val="004C58F9"/>
    <w:rsid w:val="004C5B44"/>
    <w:rsid w:val="004C6410"/>
    <w:rsid w:val="004C7800"/>
    <w:rsid w:val="004C7D5B"/>
    <w:rsid w:val="004D0211"/>
    <w:rsid w:val="004D1CA1"/>
    <w:rsid w:val="004D4CEE"/>
    <w:rsid w:val="004D5AB9"/>
    <w:rsid w:val="004D5AC3"/>
    <w:rsid w:val="004D5C56"/>
    <w:rsid w:val="004E0AEE"/>
    <w:rsid w:val="004E4E48"/>
    <w:rsid w:val="004E4F93"/>
    <w:rsid w:val="004E58E1"/>
    <w:rsid w:val="004E5E72"/>
    <w:rsid w:val="004E60A5"/>
    <w:rsid w:val="004E6CB3"/>
    <w:rsid w:val="004E78BE"/>
    <w:rsid w:val="004F0386"/>
    <w:rsid w:val="004F0542"/>
    <w:rsid w:val="004F28E9"/>
    <w:rsid w:val="004F2F79"/>
    <w:rsid w:val="004F3B99"/>
    <w:rsid w:val="004F49F2"/>
    <w:rsid w:val="004F4FD6"/>
    <w:rsid w:val="004F53C8"/>
    <w:rsid w:val="004F5DCD"/>
    <w:rsid w:val="004F635A"/>
    <w:rsid w:val="004F64B6"/>
    <w:rsid w:val="004F6EE0"/>
    <w:rsid w:val="004F77A8"/>
    <w:rsid w:val="00501BC8"/>
    <w:rsid w:val="005033E0"/>
    <w:rsid w:val="005035CA"/>
    <w:rsid w:val="00503F1D"/>
    <w:rsid w:val="00504C16"/>
    <w:rsid w:val="0050650A"/>
    <w:rsid w:val="0050695D"/>
    <w:rsid w:val="00507669"/>
    <w:rsid w:val="005108B0"/>
    <w:rsid w:val="00510F76"/>
    <w:rsid w:val="005120D8"/>
    <w:rsid w:val="00512394"/>
    <w:rsid w:val="005134F3"/>
    <w:rsid w:val="005139AD"/>
    <w:rsid w:val="00513D75"/>
    <w:rsid w:val="0051519A"/>
    <w:rsid w:val="0051564B"/>
    <w:rsid w:val="0052513B"/>
    <w:rsid w:val="005260DC"/>
    <w:rsid w:val="00526433"/>
    <w:rsid w:val="0052729E"/>
    <w:rsid w:val="0052762B"/>
    <w:rsid w:val="0053024B"/>
    <w:rsid w:val="00533CF7"/>
    <w:rsid w:val="00534C0D"/>
    <w:rsid w:val="00534C52"/>
    <w:rsid w:val="00535DBB"/>
    <w:rsid w:val="0053698B"/>
    <w:rsid w:val="00536E6F"/>
    <w:rsid w:val="005373EF"/>
    <w:rsid w:val="0054016E"/>
    <w:rsid w:val="005409A7"/>
    <w:rsid w:val="00540F7F"/>
    <w:rsid w:val="005419D4"/>
    <w:rsid w:val="005428F7"/>
    <w:rsid w:val="005448BC"/>
    <w:rsid w:val="00544BAE"/>
    <w:rsid w:val="00544F3B"/>
    <w:rsid w:val="00546424"/>
    <w:rsid w:val="005468A8"/>
    <w:rsid w:val="00550939"/>
    <w:rsid w:val="00550AC0"/>
    <w:rsid w:val="00552870"/>
    <w:rsid w:val="0055361E"/>
    <w:rsid w:val="00553CE8"/>
    <w:rsid w:val="00556762"/>
    <w:rsid w:val="00563B22"/>
    <w:rsid w:val="00564214"/>
    <w:rsid w:val="00564661"/>
    <w:rsid w:val="0056591C"/>
    <w:rsid w:val="005669BD"/>
    <w:rsid w:val="005673BA"/>
    <w:rsid w:val="00567A3E"/>
    <w:rsid w:val="005700BE"/>
    <w:rsid w:val="005725E4"/>
    <w:rsid w:val="00572AB2"/>
    <w:rsid w:val="0057481F"/>
    <w:rsid w:val="00574E8E"/>
    <w:rsid w:val="005761BC"/>
    <w:rsid w:val="005805C5"/>
    <w:rsid w:val="00582565"/>
    <w:rsid w:val="005838FB"/>
    <w:rsid w:val="00583C88"/>
    <w:rsid w:val="0058441F"/>
    <w:rsid w:val="005844DE"/>
    <w:rsid w:val="00584A5B"/>
    <w:rsid w:val="00585771"/>
    <w:rsid w:val="00585A18"/>
    <w:rsid w:val="005866CA"/>
    <w:rsid w:val="00587120"/>
    <w:rsid w:val="0059007F"/>
    <w:rsid w:val="005903CE"/>
    <w:rsid w:val="005907E0"/>
    <w:rsid w:val="00590D20"/>
    <w:rsid w:val="00590D2D"/>
    <w:rsid w:val="00593A82"/>
    <w:rsid w:val="00595E20"/>
    <w:rsid w:val="00596252"/>
    <w:rsid w:val="005A136D"/>
    <w:rsid w:val="005A23A4"/>
    <w:rsid w:val="005A2796"/>
    <w:rsid w:val="005A3B04"/>
    <w:rsid w:val="005A732E"/>
    <w:rsid w:val="005A75BF"/>
    <w:rsid w:val="005B0531"/>
    <w:rsid w:val="005B33D9"/>
    <w:rsid w:val="005B5267"/>
    <w:rsid w:val="005B70D6"/>
    <w:rsid w:val="005B7FD5"/>
    <w:rsid w:val="005C07C1"/>
    <w:rsid w:val="005C2582"/>
    <w:rsid w:val="005C38C2"/>
    <w:rsid w:val="005C3EE2"/>
    <w:rsid w:val="005C6FF3"/>
    <w:rsid w:val="005D1171"/>
    <w:rsid w:val="005D32F9"/>
    <w:rsid w:val="005D3817"/>
    <w:rsid w:val="005D393E"/>
    <w:rsid w:val="005D3C40"/>
    <w:rsid w:val="005D524B"/>
    <w:rsid w:val="005D5BB9"/>
    <w:rsid w:val="005D6D76"/>
    <w:rsid w:val="005D729A"/>
    <w:rsid w:val="005E01C3"/>
    <w:rsid w:val="005E13CF"/>
    <w:rsid w:val="005E25ED"/>
    <w:rsid w:val="005E2C1F"/>
    <w:rsid w:val="005E3D05"/>
    <w:rsid w:val="005E5573"/>
    <w:rsid w:val="005E6D1C"/>
    <w:rsid w:val="005E7E87"/>
    <w:rsid w:val="005F1826"/>
    <w:rsid w:val="005F3F08"/>
    <w:rsid w:val="005F401A"/>
    <w:rsid w:val="005F482D"/>
    <w:rsid w:val="005F6017"/>
    <w:rsid w:val="005F7D2C"/>
    <w:rsid w:val="006000A1"/>
    <w:rsid w:val="00600CD4"/>
    <w:rsid w:val="0060166D"/>
    <w:rsid w:val="006018FC"/>
    <w:rsid w:val="0060225D"/>
    <w:rsid w:val="00602CF7"/>
    <w:rsid w:val="00603F10"/>
    <w:rsid w:val="006074C9"/>
    <w:rsid w:val="0061041A"/>
    <w:rsid w:val="00615858"/>
    <w:rsid w:val="00616266"/>
    <w:rsid w:val="00616EAB"/>
    <w:rsid w:val="00617BA4"/>
    <w:rsid w:val="00620284"/>
    <w:rsid w:val="006217E6"/>
    <w:rsid w:val="006236D4"/>
    <w:rsid w:val="00623838"/>
    <w:rsid w:val="00623B9B"/>
    <w:rsid w:val="0062432A"/>
    <w:rsid w:val="00625AE8"/>
    <w:rsid w:val="006260D9"/>
    <w:rsid w:val="006262FA"/>
    <w:rsid w:val="0062747E"/>
    <w:rsid w:val="00627BF3"/>
    <w:rsid w:val="006311C6"/>
    <w:rsid w:val="006314E9"/>
    <w:rsid w:val="00631580"/>
    <w:rsid w:val="0063192A"/>
    <w:rsid w:val="0063218E"/>
    <w:rsid w:val="00632B5F"/>
    <w:rsid w:val="006354AB"/>
    <w:rsid w:val="006358EE"/>
    <w:rsid w:val="00642C88"/>
    <w:rsid w:val="00642CC2"/>
    <w:rsid w:val="00643FA7"/>
    <w:rsid w:val="0064419C"/>
    <w:rsid w:val="00644CEF"/>
    <w:rsid w:val="00644E38"/>
    <w:rsid w:val="0064606B"/>
    <w:rsid w:val="006462B2"/>
    <w:rsid w:val="0064660A"/>
    <w:rsid w:val="00647C24"/>
    <w:rsid w:val="006513CE"/>
    <w:rsid w:val="00651901"/>
    <w:rsid w:val="00651A34"/>
    <w:rsid w:val="00651F05"/>
    <w:rsid w:val="00652FF9"/>
    <w:rsid w:val="00653546"/>
    <w:rsid w:val="00653F42"/>
    <w:rsid w:val="00654724"/>
    <w:rsid w:val="006548CD"/>
    <w:rsid w:val="00657183"/>
    <w:rsid w:val="006579F2"/>
    <w:rsid w:val="00657C4F"/>
    <w:rsid w:val="00657E8C"/>
    <w:rsid w:val="00660A54"/>
    <w:rsid w:val="006632DB"/>
    <w:rsid w:val="00664741"/>
    <w:rsid w:val="00664D6E"/>
    <w:rsid w:val="00664F55"/>
    <w:rsid w:val="00666C6C"/>
    <w:rsid w:val="00666D54"/>
    <w:rsid w:val="00671CE9"/>
    <w:rsid w:val="0067369E"/>
    <w:rsid w:val="00673964"/>
    <w:rsid w:val="00674018"/>
    <w:rsid w:val="00676E02"/>
    <w:rsid w:val="006770F5"/>
    <w:rsid w:val="00677B03"/>
    <w:rsid w:val="00680229"/>
    <w:rsid w:val="00680B07"/>
    <w:rsid w:val="00680D6D"/>
    <w:rsid w:val="0068127F"/>
    <w:rsid w:val="0068190A"/>
    <w:rsid w:val="00681EEC"/>
    <w:rsid w:val="00684A04"/>
    <w:rsid w:val="00684A1C"/>
    <w:rsid w:val="0068749B"/>
    <w:rsid w:val="006875AC"/>
    <w:rsid w:val="00687A60"/>
    <w:rsid w:val="00691374"/>
    <w:rsid w:val="00691A49"/>
    <w:rsid w:val="00691C1C"/>
    <w:rsid w:val="00692709"/>
    <w:rsid w:val="00693017"/>
    <w:rsid w:val="0069367C"/>
    <w:rsid w:val="006941C0"/>
    <w:rsid w:val="00694475"/>
    <w:rsid w:val="00696647"/>
    <w:rsid w:val="0069718E"/>
    <w:rsid w:val="006A3DD1"/>
    <w:rsid w:val="006A6782"/>
    <w:rsid w:val="006A6F96"/>
    <w:rsid w:val="006B0209"/>
    <w:rsid w:val="006B02E6"/>
    <w:rsid w:val="006B14D2"/>
    <w:rsid w:val="006B22AC"/>
    <w:rsid w:val="006B2B85"/>
    <w:rsid w:val="006B3B7F"/>
    <w:rsid w:val="006B55C4"/>
    <w:rsid w:val="006B5D18"/>
    <w:rsid w:val="006B63B7"/>
    <w:rsid w:val="006B6738"/>
    <w:rsid w:val="006B7574"/>
    <w:rsid w:val="006C13D1"/>
    <w:rsid w:val="006C1CF1"/>
    <w:rsid w:val="006C2D74"/>
    <w:rsid w:val="006C3EB1"/>
    <w:rsid w:val="006C4664"/>
    <w:rsid w:val="006C4772"/>
    <w:rsid w:val="006C6F9E"/>
    <w:rsid w:val="006C78F5"/>
    <w:rsid w:val="006D1522"/>
    <w:rsid w:val="006D1DEC"/>
    <w:rsid w:val="006D26C5"/>
    <w:rsid w:val="006D2B63"/>
    <w:rsid w:val="006D2E73"/>
    <w:rsid w:val="006D49D7"/>
    <w:rsid w:val="006D5183"/>
    <w:rsid w:val="006D5341"/>
    <w:rsid w:val="006D6BC7"/>
    <w:rsid w:val="006D7DC9"/>
    <w:rsid w:val="006E0234"/>
    <w:rsid w:val="006E4733"/>
    <w:rsid w:val="006E4848"/>
    <w:rsid w:val="006E51A1"/>
    <w:rsid w:val="006E5648"/>
    <w:rsid w:val="006E5CF0"/>
    <w:rsid w:val="006E6D23"/>
    <w:rsid w:val="006E7298"/>
    <w:rsid w:val="006F027C"/>
    <w:rsid w:val="006F1856"/>
    <w:rsid w:val="006F1C4B"/>
    <w:rsid w:val="006F425F"/>
    <w:rsid w:val="006F52BF"/>
    <w:rsid w:val="006F5526"/>
    <w:rsid w:val="006F5B35"/>
    <w:rsid w:val="006F6971"/>
    <w:rsid w:val="006F73FB"/>
    <w:rsid w:val="006F75AB"/>
    <w:rsid w:val="006F7FBE"/>
    <w:rsid w:val="0070064F"/>
    <w:rsid w:val="0070112D"/>
    <w:rsid w:val="007014DD"/>
    <w:rsid w:val="00701DB2"/>
    <w:rsid w:val="00702203"/>
    <w:rsid w:val="00703F2B"/>
    <w:rsid w:val="007049C4"/>
    <w:rsid w:val="00705936"/>
    <w:rsid w:val="007073BF"/>
    <w:rsid w:val="00707A9D"/>
    <w:rsid w:val="00707BFE"/>
    <w:rsid w:val="00707E81"/>
    <w:rsid w:val="007106B4"/>
    <w:rsid w:val="00710CA6"/>
    <w:rsid w:val="00712EDA"/>
    <w:rsid w:val="00713776"/>
    <w:rsid w:val="00714D98"/>
    <w:rsid w:val="0071528F"/>
    <w:rsid w:val="007154F4"/>
    <w:rsid w:val="00717024"/>
    <w:rsid w:val="007221BF"/>
    <w:rsid w:val="00722798"/>
    <w:rsid w:val="00723503"/>
    <w:rsid w:val="007249BF"/>
    <w:rsid w:val="00725120"/>
    <w:rsid w:val="00726299"/>
    <w:rsid w:val="00726CBE"/>
    <w:rsid w:val="007275AD"/>
    <w:rsid w:val="00730070"/>
    <w:rsid w:val="00730329"/>
    <w:rsid w:val="0073088D"/>
    <w:rsid w:val="00731950"/>
    <w:rsid w:val="007345B1"/>
    <w:rsid w:val="00734CC8"/>
    <w:rsid w:val="007368D7"/>
    <w:rsid w:val="00736FBE"/>
    <w:rsid w:val="00741B61"/>
    <w:rsid w:val="00741BAD"/>
    <w:rsid w:val="00742C22"/>
    <w:rsid w:val="0074346B"/>
    <w:rsid w:val="00744483"/>
    <w:rsid w:val="00744601"/>
    <w:rsid w:val="00744751"/>
    <w:rsid w:val="0074495A"/>
    <w:rsid w:val="00744B69"/>
    <w:rsid w:val="007465C3"/>
    <w:rsid w:val="00746AD1"/>
    <w:rsid w:val="00747037"/>
    <w:rsid w:val="00751B37"/>
    <w:rsid w:val="00752E11"/>
    <w:rsid w:val="00753415"/>
    <w:rsid w:val="00753BC3"/>
    <w:rsid w:val="00754B23"/>
    <w:rsid w:val="00755085"/>
    <w:rsid w:val="00755CAC"/>
    <w:rsid w:val="00755D01"/>
    <w:rsid w:val="00757BA5"/>
    <w:rsid w:val="00760825"/>
    <w:rsid w:val="00762B13"/>
    <w:rsid w:val="00764EDE"/>
    <w:rsid w:val="007657B5"/>
    <w:rsid w:val="00765D86"/>
    <w:rsid w:val="00766ACD"/>
    <w:rsid w:val="00766CEA"/>
    <w:rsid w:val="007708C9"/>
    <w:rsid w:val="00771A5B"/>
    <w:rsid w:val="00771D85"/>
    <w:rsid w:val="00774979"/>
    <w:rsid w:val="00774F0D"/>
    <w:rsid w:val="00777779"/>
    <w:rsid w:val="00781B6B"/>
    <w:rsid w:val="00782386"/>
    <w:rsid w:val="007827BB"/>
    <w:rsid w:val="00782BA3"/>
    <w:rsid w:val="00782EDA"/>
    <w:rsid w:val="00783306"/>
    <w:rsid w:val="00784D37"/>
    <w:rsid w:val="00784F82"/>
    <w:rsid w:val="00784FFB"/>
    <w:rsid w:val="00787FC1"/>
    <w:rsid w:val="00790561"/>
    <w:rsid w:val="007926EB"/>
    <w:rsid w:val="00793B6B"/>
    <w:rsid w:val="007940E6"/>
    <w:rsid w:val="0079495A"/>
    <w:rsid w:val="00795304"/>
    <w:rsid w:val="00796D21"/>
    <w:rsid w:val="007975F4"/>
    <w:rsid w:val="007A07BF"/>
    <w:rsid w:val="007A089E"/>
    <w:rsid w:val="007A1D4A"/>
    <w:rsid w:val="007A273D"/>
    <w:rsid w:val="007A2A2C"/>
    <w:rsid w:val="007A2F2E"/>
    <w:rsid w:val="007A49FD"/>
    <w:rsid w:val="007A4D7B"/>
    <w:rsid w:val="007A58B3"/>
    <w:rsid w:val="007B0350"/>
    <w:rsid w:val="007B0FBE"/>
    <w:rsid w:val="007B10F3"/>
    <w:rsid w:val="007B2421"/>
    <w:rsid w:val="007B2854"/>
    <w:rsid w:val="007B2A30"/>
    <w:rsid w:val="007B356D"/>
    <w:rsid w:val="007B3920"/>
    <w:rsid w:val="007B5EF2"/>
    <w:rsid w:val="007B60D4"/>
    <w:rsid w:val="007B700E"/>
    <w:rsid w:val="007B7063"/>
    <w:rsid w:val="007B7557"/>
    <w:rsid w:val="007C0E0B"/>
    <w:rsid w:val="007C0EA6"/>
    <w:rsid w:val="007C0F08"/>
    <w:rsid w:val="007C24C9"/>
    <w:rsid w:val="007C2DD9"/>
    <w:rsid w:val="007C2FA3"/>
    <w:rsid w:val="007C421A"/>
    <w:rsid w:val="007C44B1"/>
    <w:rsid w:val="007C4BCD"/>
    <w:rsid w:val="007C5D20"/>
    <w:rsid w:val="007C666A"/>
    <w:rsid w:val="007C71FA"/>
    <w:rsid w:val="007C7B0E"/>
    <w:rsid w:val="007D0446"/>
    <w:rsid w:val="007D0797"/>
    <w:rsid w:val="007D08B6"/>
    <w:rsid w:val="007D0C14"/>
    <w:rsid w:val="007D4AF4"/>
    <w:rsid w:val="007D515B"/>
    <w:rsid w:val="007D5977"/>
    <w:rsid w:val="007D6EBD"/>
    <w:rsid w:val="007D73A3"/>
    <w:rsid w:val="007E0A2F"/>
    <w:rsid w:val="007E0A6B"/>
    <w:rsid w:val="007E200F"/>
    <w:rsid w:val="007E2D06"/>
    <w:rsid w:val="007E392B"/>
    <w:rsid w:val="007E3FF5"/>
    <w:rsid w:val="007E4783"/>
    <w:rsid w:val="007E49C6"/>
    <w:rsid w:val="007E53E5"/>
    <w:rsid w:val="007E7865"/>
    <w:rsid w:val="007F0AAC"/>
    <w:rsid w:val="007F15A8"/>
    <w:rsid w:val="007F2B44"/>
    <w:rsid w:val="007F6644"/>
    <w:rsid w:val="007F68D6"/>
    <w:rsid w:val="00800822"/>
    <w:rsid w:val="00800AA0"/>
    <w:rsid w:val="008018DB"/>
    <w:rsid w:val="00801ED4"/>
    <w:rsid w:val="008030C3"/>
    <w:rsid w:val="00803599"/>
    <w:rsid w:val="008039A9"/>
    <w:rsid w:val="00803BD2"/>
    <w:rsid w:val="00804C0B"/>
    <w:rsid w:val="00804D03"/>
    <w:rsid w:val="008056EA"/>
    <w:rsid w:val="00811B12"/>
    <w:rsid w:val="00812012"/>
    <w:rsid w:val="0081202F"/>
    <w:rsid w:val="008141E9"/>
    <w:rsid w:val="00815320"/>
    <w:rsid w:val="008159CD"/>
    <w:rsid w:val="00815A5C"/>
    <w:rsid w:val="008177D7"/>
    <w:rsid w:val="00820F75"/>
    <w:rsid w:val="008210F9"/>
    <w:rsid w:val="00821704"/>
    <w:rsid w:val="00821DFB"/>
    <w:rsid w:val="00822EF9"/>
    <w:rsid w:val="00823177"/>
    <w:rsid w:val="008232AA"/>
    <w:rsid w:val="00823FE8"/>
    <w:rsid w:val="0082519A"/>
    <w:rsid w:val="0082526B"/>
    <w:rsid w:val="00825278"/>
    <w:rsid w:val="0082585C"/>
    <w:rsid w:val="008273B7"/>
    <w:rsid w:val="0082767B"/>
    <w:rsid w:val="008278C0"/>
    <w:rsid w:val="00827904"/>
    <w:rsid w:val="00830679"/>
    <w:rsid w:val="008309EC"/>
    <w:rsid w:val="00831156"/>
    <w:rsid w:val="008313A7"/>
    <w:rsid w:val="008326A1"/>
    <w:rsid w:val="0083489A"/>
    <w:rsid w:val="008353DB"/>
    <w:rsid w:val="008406E5"/>
    <w:rsid w:val="00841EBA"/>
    <w:rsid w:val="00842C67"/>
    <w:rsid w:val="008443C9"/>
    <w:rsid w:val="00845AED"/>
    <w:rsid w:val="0084602D"/>
    <w:rsid w:val="00846F15"/>
    <w:rsid w:val="008472CF"/>
    <w:rsid w:val="0085046C"/>
    <w:rsid w:val="0085227F"/>
    <w:rsid w:val="0085353F"/>
    <w:rsid w:val="00853A1B"/>
    <w:rsid w:val="00853C1E"/>
    <w:rsid w:val="0085725C"/>
    <w:rsid w:val="008576A6"/>
    <w:rsid w:val="00860FD5"/>
    <w:rsid w:val="00861F77"/>
    <w:rsid w:val="0086266C"/>
    <w:rsid w:val="00862A4D"/>
    <w:rsid w:val="0086328C"/>
    <w:rsid w:val="00863A2D"/>
    <w:rsid w:val="008641AB"/>
    <w:rsid w:val="00864283"/>
    <w:rsid w:val="008648FD"/>
    <w:rsid w:val="00864D42"/>
    <w:rsid w:val="00865810"/>
    <w:rsid w:val="008663EC"/>
    <w:rsid w:val="00866D2C"/>
    <w:rsid w:val="0086763C"/>
    <w:rsid w:val="00872FAC"/>
    <w:rsid w:val="008749D7"/>
    <w:rsid w:val="00874EEE"/>
    <w:rsid w:val="00875D66"/>
    <w:rsid w:val="00876445"/>
    <w:rsid w:val="00876781"/>
    <w:rsid w:val="00880D5C"/>
    <w:rsid w:val="00881810"/>
    <w:rsid w:val="0088202C"/>
    <w:rsid w:val="00883801"/>
    <w:rsid w:val="00884296"/>
    <w:rsid w:val="00885159"/>
    <w:rsid w:val="00885592"/>
    <w:rsid w:val="00885757"/>
    <w:rsid w:val="00885D57"/>
    <w:rsid w:val="0088710C"/>
    <w:rsid w:val="008908D6"/>
    <w:rsid w:val="0089238D"/>
    <w:rsid w:val="008931B3"/>
    <w:rsid w:val="008937F2"/>
    <w:rsid w:val="00894121"/>
    <w:rsid w:val="0089468F"/>
    <w:rsid w:val="008952AA"/>
    <w:rsid w:val="00895CFC"/>
    <w:rsid w:val="00897951"/>
    <w:rsid w:val="008A0BA5"/>
    <w:rsid w:val="008A0D48"/>
    <w:rsid w:val="008A211B"/>
    <w:rsid w:val="008A36D4"/>
    <w:rsid w:val="008A39E5"/>
    <w:rsid w:val="008A536B"/>
    <w:rsid w:val="008A59F3"/>
    <w:rsid w:val="008A5F44"/>
    <w:rsid w:val="008A7E7A"/>
    <w:rsid w:val="008B211F"/>
    <w:rsid w:val="008B22B9"/>
    <w:rsid w:val="008B332D"/>
    <w:rsid w:val="008B5640"/>
    <w:rsid w:val="008B6587"/>
    <w:rsid w:val="008B6627"/>
    <w:rsid w:val="008B6A33"/>
    <w:rsid w:val="008B785E"/>
    <w:rsid w:val="008C077B"/>
    <w:rsid w:val="008C0FFC"/>
    <w:rsid w:val="008C1E26"/>
    <w:rsid w:val="008C258A"/>
    <w:rsid w:val="008C27CA"/>
    <w:rsid w:val="008C3103"/>
    <w:rsid w:val="008C3286"/>
    <w:rsid w:val="008C37F9"/>
    <w:rsid w:val="008C3DDB"/>
    <w:rsid w:val="008C4394"/>
    <w:rsid w:val="008C51A2"/>
    <w:rsid w:val="008C765B"/>
    <w:rsid w:val="008C7CC5"/>
    <w:rsid w:val="008D0047"/>
    <w:rsid w:val="008D0A97"/>
    <w:rsid w:val="008D1166"/>
    <w:rsid w:val="008D1A94"/>
    <w:rsid w:val="008D2655"/>
    <w:rsid w:val="008D293E"/>
    <w:rsid w:val="008D3022"/>
    <w:rsid w:val="008D32A8"/>
    <w:rsid w:val="008D4261"/>
    <w:rsid w:val="008D4B27"/>
    <w:rsid w:val="008E0F57"/>
    <w:rsid w:val="008E1302"/>
    <w:rsid w:val="008E1F80"/>
    <w:rsid w:val="008E2002"/>
    <w:rsid w:val="008E255A"/>
    <w:rsid w:val="008E366D"/>
    <w:rsid w:val="008E6389"/>
    <w:rsid w:val="008E63B2"/>
    <w:rsid w:val="008E78BD"/>
    <w:rsid w:val="008F0869"/>
    <w:rsid w:val="008F0CE4"/>
    <w:rsid w:val="008F220B"/>
    <w:rsid w:val="008F39DD"/>
    <w:rsid w:val="008F4C05"/>
    <w:rsid w:val="008F5D3E"/>
    <w:rsid w:val="008F73CB"/>
    <w:rsid w:val="008F7D2B"/>
    <w:rsid w:val="009019C0"/>
    <w:rsid w:val="00902033"/>
    <w:rsid w:val="0090315C"/>
    <w:rsid w:val="00903955"/>
    <w:rsid w:val="009064FD"/>
    <w:rsid w:val="0091078C"/>
    <w:rsid w:val="0091348C"/>
    <w:rsid w:val="00913AA2"/>
    <w:rsid w:val="00913EEF"/>
    <w:rsid w:val="009156AD"/>
    <w:rsid w:val="00916C61"/>
    <w:rsid w:val="009205BC"/>
    <w:rsid w:val="0092167B"/>
    <w:rsid w:val="00923276"/>
    <w:rsid w:val="00923710"/>
    <w:rsid w:val="0092416B"/>
    <w:rsid w:val="00925028"/>
    <w:rsid w:val="009259BD"/>
    <w:rsid w:val="00926886"/>
    <w:rsid w:val="00927C0A"/>
    <w:rsid w:val="00927F47"/>
    <w:rsid w:val="0093086A"/>
    <w:rsid w:val="00934149"/>
    <w:rsid w:val="00934950"/>
    <w:rsid w:val="00935093"/>
    <w:rsid w:val="009353F7"/>
    <w:rsid w:val="009366E8"/>
    <w:rsid w:val="00937DE8"/>
    <w:rsid w:val="00940576"/>
    <w:rsid w:val="00940989"/>
    <w:rsid w:val="00942994"/>
    <w:rsid w:val="00946EBE"/>
    <w:rsid w:val="00947718"/>
    <w:rsid w:val="00947D78"/>
    <w:rsid w:val="00947FC0"/>
    <w:rsid w:val="00950BFF"/>
    <w:rsid w:val="00951C59"/>
    <w:rsid w:val="009524AB"/>
    <w:rsid w:val="00952F0C"/>
    <w:rsid w:val="009544DF"/>
    <w:rsid w:val="009557E6"/>
    <w:rsid w:val="00956516"/>
    <w:rsid w:val="009573A6"/>
    <w:rsid w:val="00957921"/>
    <w:rsid w:val="0096110C"/>
    <w:rsid w:val="00961B0E"/>
    <w:rsid w:val="00962553"/>
    <w:rsid w:val="00962B2C"/>
    <w:rsid w:val="00962F24"/>
    <w:rsid w:val="009633D6"/>
    <w:rsid w:val="00963688"/>
    <w:rsid w:val="009664B9"/>
    <w:rsid w:val="009679FA"/>
    <w:rsid w:val="00967B65"/>
    <w:rsid w:val="00970AB9"/>
    <w:rsid w:val="009714D3"/>
    <w:rsid w:val="009724DC"/>
    <w:rsid w:val="009738A1"/>
    <w:rsid w:val="00973BF7"/>
    <w:rsid w:val="00973F16"/>
    <w:rsid w:val="009740D9"/>
    <w:rsid w:val="00975869"/>
    <w:rsid w:val="00976464"/>
    <w:rsid w:val="00981511"/>
    <w:rsid w:val="00982831"/>
    <w:rsid w:val="0098324C"/>
    <w:rsid w:val="009832AF"/>
    <w:rsid w:val="00983C54"/>
    <w:rsid w:val="0098428C"/>
    <w:rsid w:val="009848B4"/>
    <w:rsid w:val="009852A3"/>
    <w:rsid w:val="00985B3D"/>
    <w:rsid w:val="00985E6D"/>
    <w:rsid w:val="00990035"/>
    <w:rsid w:val="00992B33"/>
    <w:rsid w:val="00992E0F"/>
    <w:rsid w:val="009943D6"/>
    <w:rsid w:val="009952F8"/>
    <w:rsid w:val="0099579C"/>
    <w:rsid w:val="00997106"/>
    <w:rsid w:val="009A22A9"/>
    <w:rsid w:val="009A2C03"/>
    <w:rsid w:val="009A3948"/>
    <w:rsid w:val="009A3A0C"/>
    <w:rsid w:val="009A5220"/>
    <w:rsid w:val="009A5E3F"/>
    <w:rsid w:val="009A61C3"/>
    <w:rsid w:val="009A627E"/>
    <w:rsid w:val="009A746A"/>
    <w:rsid w:val="009A7612"/>
    <w:rsid w:val="009A78EE"/>
    <w:rsid w:val="009B1BEF"/>
    <w:rsid w:val="009B4C17"/>
    <w:rsid w:val="009B57D3"/>
    <w:rsid w:val="009C0E01"/>
    <w:rsid w:val="009C4B40"/>
    <w:rsid w:val="009C50FF"/>
    <w:rsid w:val="009D0CA9"/>
    <w:rsid w:val="009D15CD"/>
    <w:rsid w:val="009D2C58"/>
    <w:rsid w:val="009D34D7"/>
    <w:rsid w:val="009D3C26"/>
    <w:rsid w:val="009D765B"/>
    <w:rsid w:val="009E25DC"/>
    <w:rsid w:val="009E2968"/>
    <w:rsid w:val="009E3669"/>
    <w:rsid w:val="009E3710"/>
    <w:rsid w:val="009E40D7"/>
    <w:rsid w:val="009E4DCA"/>
    <w:rsid w:val="009E526F"/>
    <w:rsid w:val="009E5C74"/>
    <w:rsid w:val="009E5F10"/>
    <w:rsid w:val="009E74AF"/>
    <w:rsid w:val="009E7661"/>
    <w:rsid w:val="009E7823"/>
    <w:rsid w:val="009F117B"/>
    <w:rsid w:val="009F2216"/>
    <w:rsid w:val="009F23D9"/>
    <w:rsid w:val="009F3007"/>
    <w:rsid w:val="009F3AAB"/>
    <w:rsid w:val="009F481F"/>
    <w:rsid w:val="009F69BD"/>
    <w:rsid w:val="00A00ACC"/>
    <w:rsid w:val="00A00B19"/>
    <w:rsid w:val="00A01DD6"/>
    <w:rsid w:val="00A039BA"/>
    <w:rsid w:val="00A04D45"/>
    <w:rsid w:val="00A05892"/>
    <w:rsid w:val="00A05E8B"/>
    <w:rsid w:val="00A066A5"/>
    <w:rsid w:val="00A06EC0"/>
    <w:rsid w:val="00A07368"/>
    <w:rsid w:val="00A113D7"/>
    <w:rsid w:val="00A116A0"/>
    <w:rsid w:val="00A12D66"/>
    <w:rsid w:val="00A133C0"/>
    <w:rsid w:val="00A13671"/>
    <w:rsid w:val="00A1410B"/>
    <w:rsid w:val="00A16FB0"/>
    <w:rsid w:val="00A2507D"/>
    <w:rsid w:val="00A2766D"/>
    <w:rsid w:val="00A2799A"/>
    <w:rsid w:val="00A30A05"/>
    <w:rsid w:val="00A31E6B"/>
    <w:rsid w:val="00A32273"/>
    <w:rsid w:val="00A32E2D"/>
    <w:rsid w:val="00A35C98"/>
    <w:rsid w:val="00A37233"/>
    <w:rsid w:val="00A4095D"/>
    <w:rsid w:val="00A41D98"/>
    <w:rsid w:val="00A42554"/>
    <w:rsid w:val="00A43A91"/>
    <w:rsid w:val="00A449DB"/>
    <w:rsid w:val="00A44DB2"/>
    <w:rsid w:val="00A458A7"/>
    <w:rsid w:val="00A45E51"/>
    <w:rsid w:val="00A46065"/>
    <w:rsid w:val="00A47CF6"/>
    <w:rsid w:val="00A50905"/>
    <w:rsid w:val="00A50F85"/>
    <w:rsid w:val="00A54B53"/>
    <w:rsid w:val="00A579FC"/>
    <w:rsid w:val="00A57EB3"/>
    <w:rsid w:val="00A60F3A"/>
    <w:rsid w:val="00A61229"/>
    <w:rsid w:val="00A61663"/>
    <w:rsid w:val="00A64433"/>
    <w:rsid w:val="00A64667"/>
    <w:rsid w:val="00A648E3"/>
    <w:rsid w:val="00A6556E"/>
    <w:rsid w:val="00A667F5"/>
    <w:rsid w:val="00A66E72"/>
    <w:rsid w:val="00A67C48"/>
    <w:rsid w:val="00A67D01"/>
    <w:rsid w:val="00A703D0"/>
    <w:rsid w:val="00A71224"/>
    <w:rsid w:val="00A714A5"/>
    <w:rsid w:val="00A7166A"/>
    <w:rsid w:val="00A717BE"/>
    <w:rsid w:val="00A72866"/>
    <w:rsid w:val="00A73BEA"/>
    <w:rsid w:val="00A74079"/>
    <w:rsid w:val="00A74FC7"/>
    <w:rsid w:val="00A771C8"/>
    <w:rsid w:val="00A7758A"/>
    <w:rsid w:val="00A77A69"/>
    <w:rsid w:val="00A77B10"/>
    <w:rsid w:val="00A80D94"/>
    <w:rsid w:val="00A81FCA"/>
    <w:rsid w:val="00A82497"/>
    <w:rsid w:val="00A82EAC"/>
    <w:rsid w:val="00A83C82"/>
    <w:rsid w:val="00A843A3"/>
    <w:rsid w:val="00A84C9C"/>
    <w:rsid w:val="00A866F8"/>
    <w:rsid w:val="00A86FDD"/>
    <w:rsid w:val="00A91168"/>
    <w:rsid w:val="00A912DB"/>
    <w:rsid w:val="00A9139D"/>
    <w:rsid w:val="00A92516"/>
    <w:rsid w:val="00A93AD2"/>
    <w:rsid w:val="00A9447A"/>
    <w:rsid w:val="00A949D9"/>
    <w:rsid w:val="00A95DF1"/>
    <w:rsid w:val="00A95F1B"/>
    <w:rsid w:val="00A9635A"/>
    <w:rsid w:val="00A97447"/>
    <w:rsid w:val="00AA0E8D"/>
    <w:rsid w:val="00AA1F74"/>
    <w:rsid w:val="00AA25A5"/>
    <w:rsid w:val="00AA3697"/>
    <w:rsid w:val="00AA4792"/>
    <w:rsid w:val="00AA532B"/>
    <w:rsid w:val="00AA5577"/>
    <w:rsid w:val="00AA5B26"/>
    <w:rsid w:val="00AA6BEA"/>
    <w:rsid w:val="00AA7218"/>
    <w:rsid w:val="00AA7FB9"/>
    <w:rsid w:val="00AB12B7"/>
    <w:rsid w:val="00AB1C4C"/>
    <w:rsid w:val="00AB1C54"/>
    <w:rsid w:val="00AB2353"/>
    <w:rsid w:val="00AB5346"/>
    <w:rsid w:val="00AB62A8"/>
    <w:rsid w:val="00AB6E72"/>
    <w:rsid w:val="00AB73A3"/>
    <w:rsid w:val="00AC1799"/>
    <w:rsid w:val="00AC1A7B"/>
    <w:rsid w:val="00AC4B1E"/>
    <w:rsid w:val="00AC5236"/>
    <w:rsid w:val="00AC5C6D"/>
    <w:rsid w:val="00AC715F"/>
    <w:rsid w:val="00AC74F4"/>
    <w:rsid w:val="00AC79A2"/>
    <w:rsid w:val="00AD07F2"/>
    <w:rsid w:val="00AD08DF"/>
    <w:rsid w:val="00AD16FE"/>
    <w:rsid w:val="00AD332F"/>
    <w:rsid w:val="00AD3A15"/>
    <w:rsid w:val="00AD45CB"/>
    <w:rsid w:val="00AD50ED"/>
    <w:rsid w:val="00AD5487"/>
    <w:rsid w:val="00AD6019"/>
    <w:rsid w:val="00AD6047"/>
    <w:rsid w:val="00AD6269"/>
    <w:rsid w:val="00AD76E7"/>
    <w:rsid w:val="00AE0706"/>
    <w:rsid w:val="00AE0C8C"/>
    <w:rsid w:val="00AE0D37"/>
    <w:rsid w:val="00AE1C02"/>
    <w:rsid w:val="00AE1EE2"/>
    <w:rsid w:val="00AE221C"/>
    <w:rsid w:val="00AE3DA9"/>
    <w:rsid w:val="00AE534B"/>
    <w:rsid w:val="00AE53B4"/>
    <w:rsid w:val="00AE54F8"/>
    <w:rsid w:val="00AE569F"/>
    <w:rsid w:val="00AE63FE"/>
    <w:rsid w:val="00AE7E54"/>
    <w:rsid w:val="00AF0961"/>
    <w:rsid w:val="00AF1543"/>
    <w:rsid w:val="00AF1C32"/>
    <w:rsid w:val="00AF3441"/>
    <w:rsid w:val="00AF4593"/>
    <w:rsid w:val="00AF4A4F"/>
    <w:rsid w:val="00AF59EF"/>
    <w:rsid w:val="00B00EFB"/>
    <w:rsid w:val="00B01335"/>
    <w:rsid w:val="00B01B92"/>
    <w:rsid w:val="00B0277C"/>
    <w:rsid w:val="00B030EE"/>
    <w:rsid w:val="00B03403"/>
    <w:rsid w:val="00B03541"/>
    <w:rsid w:val="00B03AB7"/>
    <w:rsid w:val="00B03F34"/>
    <w:rsid w:val="00B04390"/>
    <w:rsid w:val="00B046EB"/>
    <w:rsid w:val="00B06870"/>
    <w:rsid w:val="00B068BB"/>
    <w:rsid w:val="00B072CE"/>
    <w:rsid w:val="00B076E8"/>
    <w:rsid w:val="00B07762"/>
    <w:rsid w:val="00B10642"/>
    <w:rsid w:val="00B10B04"/>
    <w:rsid w:val="00B10B8A"/>
    <w:rsid w:val="00B1193C"/>
    <w:rsid w:val="00B12480"/>
    <w:rsid w:val="00B14279"/>
    <w:rsid w:val="00B14439"/>
    <w:rsid w:val="00B145AC"/>
    <w:rsid w:val="00B14CED"/>
    <w:rsid w:val="00B155A1"/>
    <w:rsid w:val="00B155B6"/>
    <w:rsid w:val="00B17128"/>
    <w:rsid w:val="00B1713D"/>
    <w:rsid w:val="00B17503"/>
    <w:rsid w:val="00B17D1D"/>
    <w:rsid w:val="00B2028C"/>
    <w:rsid w:val="00B20B43"/>
    <w:rsid w:val="00B216B6"/>
    <w:rsid w:val="00B23F25"/>
    <w:rsid w:val="00B247FB"/>
    <w:rsid w:val="00B24D0F"/>
    <w:rsid w:val="00B25BA7"/>
    <w:rsid w:val="00B32CD0"/>
    <w:rsid w:val="00B32ED3"/>
    <w:rsid w:val="00B33407"/>
    <w:rsid w:val="00B34DDB"/>
    <w:rsid w:val="00B3531A"/>
    <w:rsid w:val="00B359EB"/>
    <w:rsid w:val="00B3710A"/>
    <w:rsid w:val="00B4192F"/>
    <w:rsid w:val="00B41B36"/>
    <w:rsid w:val="00B42C99"/>
    <w:rsid w:val="00B43145"/>
    <w:rsid w:val="00B4463C"/>
    <w:rsid w:val="00B45DF5"/>
    <w:rsid w:val="00B478E3"/>
    <w:rsid w:val="00B50386"/>
    <w:rsid w:val="00B50EFD"/>
    <w:rsid w:val="00B51B21"/>
    <w:rsid w:val="00B53E45"/>
    <w:rsid w:val="00B547DE"/>
    <w:rsid w:val="00B55857"/>
    <w:rsid w:val="00B558CD"/>
    <w:rsid w:val="00B57117"/>
    <w:rsid w:val="00B579F5"/>
    <w:rsid w:val="00B601A5"/>
    <w:rsid w:val="00B61189"/>
    <w:rsid w:val="00B619EF"/>
    <w:rsid w:val="00B62BC4"/>
    <w:rsid w:val="00B6307A"/>
    <w:rsid w:val="00B63204"/>
    <w:rsid w:val="00B6521E"/>
    <w:rsid w:val="00B66639"/>
    <w:rsid w:val="00B66A21"/>
    <w:rsid w:val="00B67147"/>
    <w:rsid w:val="00B70438"/>
    <w:rsid w:val="00B70473"/>
    <w:rsid w:val="00B728AB"/>
    <w:rsid w:val="00B7396C"/>
    <w:rsid w:val="00B745E5"/>
    <w:rsid w:val="00B75527"/>
    <w:rsid w:val="00B761BE"/>
    <w:rsid w:val="00B768DB"/>
    <w:rsid w:val="00B77512"/>
    <w:rsid w:val="00B77840"/>
    <w:rsid w:val="00B8126B"/>
    <w:rsid w:val="00B8219C"/>
    <w:rsid w:val="00B82F41"/>
    <w:rsid w:val="00B839DA"/>
    <w:rsid w:val="00B85000"/>
    <w:rsid w:val="00B8508E"/>
    <w:rsid w:val="00B8759F"/>
    <w:rsid w:val="00B91F5A"/>
    <w:rsid w:val="00B9370B"/>
    <w:rsid w:val="00B94713"/>
    <w:rsid w:val="00B94CE1"/>
    <w:rsid w:val="00B9538F"/>
    <w:rsid w:val="00B955FD"/>
    <w:rsid w:val="00B95AC5"/>
    <w:rsid w:val="00B9641F"/>
    <w:rsid w:val="00B96784"/>
    <w:rsid w:val="00B96DC2"/>
    <w:rsid w:val="00B970CB"/>
    <w:rsid w:val="00B9733A"/>
    <w:rsid w:val="00BA0D80"/>
    <w:rsid w:val="00BA17A9"/>
    <w:rsid w:val="00BA2534"/>
    <w:rsid w:val="00BA32C4"/>
    <w:rsid w:val="00BA3B4E"/>
    <w:rsid w:val="00BA40B0"/>
    <w:rsid w:val="00BA40B8"/>
    <w:rsid w:val="00BA4C32"/>
    <w:rsid w:val="00BA4F39"/>
    <w:rsid w:val="00BA5430"/>
    <w:rsid w:val="00BA5709"/>
    <w:rsid w:val="00BA6748"/>
    <w:rsid w:val="00BA728E"/>
    <w:rsid w:val="00BB016D"/>
    <w:rsid w:val="00BB052F"/>
    <w:rsid w:val="00BB0DDB"/>
    <w:rsid w:val="00BB1374"/>
    <w:rsid w:val="00BB207C"/>
    <w:rsid w:val="00BB336E"/>
    <w:rsid w:val="00BB3473"/>
    <w:rsid w:val="00BB3FA2"/>
    <w:rsid w:val="00BB41D8"/>
    <w:rsid w:val="00BB7650"/>
    <w:rsid w:val="00BB7923"/>
    <w:rsid w:val="00BB7FC2"/>
    <w:rsid w:val="00BC09A6"/>
    <w:rsid w:val="00BC20BA"/>
    <w:rsid w:val="00BC22EB"/>
    <w:rsid w:val="00BC2925"/>
    <w:rsid w:val="00BC313F"/>
    <w:rsid w:val="00BC3E6B"/>
    <w:rsid w:val="00BC4888"/>
    <w:rsid w:val="00BC4CA1"/>
    <w:rsid w:val="00BC51F8"/>
    <w:rsid w:val="00BC6CFB"/>
    <w:rsid w:val="00BC7892"/>
    <w:rsid w:val="00BD0997"/>
    <w:rsid w:val="00BD0A2A"/>
    <w:rsid w:val="00BD12C5"/>
    <w:rsid w:val="00BD195D"/>
    <w:rsid w:val="00BD2B5B"/>
    <w:rsid w:val="00BD312C"/>
    <w:rsid w:val="00BD3876"/>
    <w:rsid w:val="00BD3B80"/>
    <w:rsid w:val="00BD51FD"/>
    <w:rsid w:val="00BD5742"/>
    <w:rsid w:val="00BD5E48"/>
    <w:rsid w:val="00BD6AC4"/>
    <w:rsid w:val="00BD6EA8"/>
    <w:rsid w:val="00BD7190"/>
    <w:rsid w:val="00BD73A9"/>
    <w:rsid w:val="00BD769A"/>
    <w:rsid w:val="00BE09FE"/>
    <w:rsid w:val="00BE0EEE"/>
    <w:rsid w:val="00BE15B7"/>
    <w:rsid w:val="00BE18AF"/>
    <w:rsid w:val="00BE37D4"/>
    <w:rsid w:val="00BE520F"/>
    <w:rsid w:val="00BE5806"/>
    <w:rsid w:val="00BE5DC5"/>
    <w:rsid w:val="00BE6AA0"/>
    <w:rsid w:val="00BF064A"/>
    <w:rsid w:val="00BF07A3"/>
    <w:rsid w:val="00BF0FDE"/>
    <w:rsid w:val="00BF153D"/>
    <w:rsid w:val="00BF2E8A"/>
    <w:rsid w:val="00BF50D2"/>
    <w:rsid w:val="00BF5F53"/>
    <w:rsid w:val="00BF68B3"/>
    <w:rsid w:val="00BF77DA"/>
    <w:rsid w:val="00C02356"/>
    <w:rsid w:val="00C0282B"/>
    <w:rsid w:val="00C02C72"/>
    <w:rsid w:val="00C0430A"/>
    <w:rsid w:val="00C05612"/>
    <w:rsid w:val="00C06CE5"/>
    <w:rsid w:val="00C06E55"/>
    <w:rsid w:val="00C078F6"/>
    <w:rsid w:val="00C10774"/>
    <w:rsid w:val="00C10D78"/>
    <w:rsid w:val="00C1108C"/>
    <w:rsid w:val="00C13CA9"/>
    <w:rsid w:val="00C16A75"/>
    <w:rsid w:val="00C16B81"/>
    <w:rsid w:val="00C223CB"/>
    <w:rsid w:val="00C22AAD"/>
    <w:rsid w:val="00C22B3E"/>
    <w:rsid w:val="00C236A6"/>
    <w:rsid w:val="00C26B3E"/>
    <w:rsid w:val="00C303CC"/>
    <w:rsid w:val="00C3209F"/>
    <w:rsid w:val="00C33C5C"/>
    <w:rsid w:val="00C34A96"/>
    <w:rsid w:val="00C362EE"/>
    <w:rsid w:val="00C36310"/>
    <w:rsid w:val="00C36AB4"/>
    <w:rsid w:val="00C375FE"/>
    <w:rsid w:val="00C4039A"/>
    <w:rsid w:val="00C407C1"/>
    <w:rsid w:val="00C40DC7"/>
    <w:rsid w:val="00C42429"/>
    <w:rsid w:val="00C42919"/>
    <w:rsid w:val="00C4299E"/>
    <w:rsid w:val="00C42CD0"/>
    <w:rsid w:val="00C432EF"/>
    <w:rsid w:val="00C43542"/>
    <w:rsid w:val="00C4429C"/>
    <w:rsid w:val="00C45848"/>
    <w:rsid w:val="00C45C4D"/>
    <w:rsid w:val="00C467A9"/>
    <w:rsid w:val="00C47687"/>
    <w:rsid w:val="00C47DD3"/>
    <w:rsid w:val="00C50999"/>
    <w:rsid w:val="00C50EC7"/>
    <w:rsid w:val="00C5146D"/>
    <w:rsid w:val="00C52C04"/>
    <w:rsid w:val="00C5437F"/>
    <w:rsid w:val="00C5561C"/>
    <w:rsid w:val="00C5611B"/>
    <w:rsid w:val="00C5626B"/>
    <w:rsid w:val="00C5629B"/>
    <w:rsid w:val="00C56FE8"/>
    <w:rsid w:val="00C5760A"/>
    <w:rsid w:val="00C60DFE"/>
    <w:rsid w:val="00C62822"/>
    <w:rsid w:val="00C63976"/>
    <w:rsid w:val="00C64C40"/>
    <w:rsid w:val="00C64FD4"/>
    <w:rsid w:val="00C65030"/>
    <w:rsid w:val="00C660FF"/>
    <w:rsid w:val="00C66928"/>
    <w:rsid w:val="00C705A1"/>
    <w:rsid w:val="00C71E31"/>
    <w:rsid w:val="00C725B1"/>
    <w:rsid w:val="00C726DE"/>
    <w:rsid w:val="00C7377B"/>
    <w:rsid w:val="00C737C9"/>
    <w:rsid w:val="00C739FC"/>
    <w:rsid w:val="00C73BDC"/>
    <w:rsid w:val="00C74140"/>
    <w:rsid w:val="00C748CD"/>
    <w:rsid w:val="00C759CC"/>
    <w:rsid w:val="00C75B08"/>
    <w:rsid w:val="00C77269"/>
    <w:rsid w:val="00C775FC"/>
    <w:rsid w:val="00C77A16"/>
    <w:rsid w:val="00C81306"/>
    <w:rsid w:val="00C82BDA"/>
    <w:rsid w:val="00C84431"/>
    <w:rsid w:val="00C871FF"/>
    <w:rsid w:val="00C91447"/>
    <w:rsid w:val="00C91C5C"/>
    <w:rsid w:val="00C93107"/>
    <w:rsid w:val="00C93212"/>
    <w:rsid w:val="00C93D30"/>
    <w:rsid w:val="00C94BB7"/>
    <w:rsid w:val="00C9705C"/>
    <w:rsid w:val="00C976D2"/>
    <w:rsid w:val="00C97ED8"/>
    <w:rsid w:val="00CA0351"/>
    <w:rsid w:val="00CA0711"/>
    <w:rsid w:val="00CA1094"/>
    <w:rsid w:val="00CA2479"/>
    <w:rsid w:val="00CA39DF"/>
    <w:rsid w:val="00CA4724"/>
    <w:rsid w:val="00CA53DA"/>
    <w:rsid w:val="00CB0777"/>
    <w:rsid w:val="00CB0A2F"/>
    <w:rsid w:val="00CB0A69"/>
    <w:rsid w:val="00CB0DAC"/>
    <w:rsid w:val="00CB1950"/>
    <w:rsid w:val="00CB1BA5"/>
    <w:rsid w:val="00CB210E"/>
    <w:rsid w:val="00CB3B8E"/>
    <w:rsid w:val="00CB3C08"/>
    <w:rsid w:val="00CB479E"/>
    <w:rsid w:val="00CB4B79"/>
    <w:rsid w:val="00CB6E4E"/>
    <w:rsid w:val="00CC0133"/>
    <w:rsid w:val="00CC109F"/>
    <w:rsid w:val="00CC2066"/>
    <w:rsid w:val="00CC234A"/>
    <w:rsid w:val="00CC23BB"/>
    <w:rsid w:val="00CC506F"/>
    <w:rsid w:val="00CC5CA7"/>
    <w:rsid w:val="00CC66EC"/>
    <w:rsid w:val="00CC7812"/>
    <w:rsid w:val="00CC7F4E"/>
    <w:rsid w:val="00CD00EE"/>
    <w:rsid w:val="00CD4663"/>
    <w:rsid w:val="00CD4E15"/>
    <w:rsid w:val="00CD63C0"/>
    <w:rsid w:val="00CD6570"/>
    <w:rsid w:val="00CD73A8"/>
    <w:rsid w:val="00CE0181"/>
    <w:rsid w:val="00CE0223"/>
    <w:rsid w:val="00CE08FB"/>
    <w:rsid w:val="00CE2667"/>
    <w:rsid w:val="00CE2C4A"/>
    <w:rsid w:val="00CE2F24"/>
    <w:rsid w:val="00CE54AB"/>
    <w:rsid w:val="00CE5A4A"/>
    <w:rsid w:val="00CE78DA"/>
    <w:rsid w:val="00CF01EC"/>
    <w:rsid w:val="00CF0425"/>
    <w:rsid w:val="00CF04EA"/>
    <w:rsid w:val="00CF2D46"/>
    <w:rsid w:val="00CF34B6"/>
    <w:rsid w:val="00CF4062"/>
    <w:rsid w:val="00CF458B"/>
    <w:rsid w:val="00CF5760"/>
    <w:rsid w:val="00CF5878"/>
    <w:rsid w:val="00CF59C9"/>
    <w:rsid w:val="00CF6B1F"/>
    <w:rsid w:val="00CF73B0"/>
    <w:rsid w:val="00D008C9"/>
    <w:rsid w:val="00D00C86"/>
    <w:rsid w:val="00D01146"/>
    <w:rsid w:val="00D02830"/>
    <w:rsid w:val="00D02957"/>
    <w:rsid w:val="00D04E51"/>
    <w:rsid w:val="00D05808"/>
    <w:rsid w:val="00D075F7"/>
    <w:rsid w:val="00D10F91"/>
    <w:rsid w:val="00D1287A"/>
    <w:rsid w:val="00D13E46"/>
    <w:rsid w:val="00D14CAD"/>
    <w:rsid w:val="00D15EC7"/>
    <w:rsid w:val="00D162B9"/>
    <w:rsid w:val="00D16756"/>
    <w:rsid w:val="00D223A8"/>
    <w:rsid w:val="00D25030"/>
    <w:rsid w:val="00D2508F"/>
    <w:rsid w:val="00D253B6"/>
    <w:rsid w:val="00D30DA1"/>
    <w:rsid w:val="00D33489"/>
    <w:rsid w:val="00D33BD1"/>
    <w:rsid w:val="00D3518C"/>
    <w:rsid w:val="00D4113E"/>
    <w:rsid w:val="00D41456"/>
    <w:rsid w:val="00D42422"/>
    <w:rsid w:val="00D4395C"/>
    <w:rsid w:val="00D43971"/>
    <w:rsid w:val="00D446C9"/>
    <w:rsid w:val="00D4496E"/>
    <w:rsid w:val="00D453A8"/>
    <w:rsid w:val="00D45B71"/>
    <w:rsid w:val="00D478E4"/>
    <w:rsid w:val="00D5269C"/>
    <w:rsid w:val="00D52882"/>
    <w:rsid w:val="00D549A3"/>
    <w:rsid w:val="00D55F04"/>
    <w:rsid w:val="00D56ADF"/>
    <w:rsid w:val="00D56AE2"/>
    <w:rsid w:val="00D578C7"/>
    <w:rsid w:val="00D57C4A"/>
    <w:rsid w:val="00D61077"/>
    <w:rsid w:val="00D61469"/>
    <w:rsid w:val="00D6152A"/>
    <w:rsid w:val="00D628A6"/>
    <w:rsid w:val="00D62FCD"/>
    <w:rsid w:val="00D63817"/>
    <w:rsid w:val="00D66AF4"/>
    <w:rsid w:val="00D66E38"/>
    <w:rsid w:val="00D672C1"/>
    <w:rsid w:val="00D72765"/>
    <w:rsid w:val="00D728D9"/>
    <w:rsid w:val="00D75F9E"/>
    <w:rsid w:val="00D7632F"/>
    <w:rsid w:val="00D77283"/>
    <w:rsid w:val="00D77E5E"/>
    <w:rsid w:val="00D8085A"/>
    <w:rsid w:val="00D8129B"/>
    <w:rsid w:val="00D8180B"/>
    <w:rsid w:val="00D83CDF"/>
    <w:rsid w:val="00D83DBB"/>
    <w:rsid w:val="00D8479A"/>
    <w:rsid w:val="00D84A0F"/>
    <w:rsid w:val="00D84C3F"/>
    <w:rsid w:val="00D85D6D"/>
    <w:rsid w:val="00D85FBE"/>
    <w:rsid w:val="00D86E79"/>
    <w:rsid w:val="00D870C7"/>
    <w:rsid w:val="00D90852"/>
    <w:rsid w:val="00D90D55"/>
    <w:rsid w:val="00D92EC4"/>
    <w:rsid w:val="00D92F2C"/>
    <w:rsid w:val="00D975AB"/>
    <w:rsid w:val="00DA0091"/>
    <w:rsid w:val="00DA3BD6"/>
    <w:rsid w:val="00DA42AE"/>
    <w:rsid w:val="00DA6143"/>
    <w:rsid w:val="00DA6562"/>
    <w:rsid w:val="00DA6A31"/>
    <w:rsid w:val="00DA7CE2"/>
    <w:rsid w:val="00DB01FD"/>
    <w:rsid w:val="00DB0388"/>
    <w:rsid w:val="00DB12A4"/>
    <w:rsid w:val="00DB198B"/>
    <w:rsid w:val="00DB2174"/>
    <w:rsid w:val="00DB2449"/>
    <w:rsid w:val="00DB32F3"/>
    <w:rsid w:val="00DB3687"/>
    <w:rsid w:val="00DB4017"/>
    <w:rsid w:val="00DC10D3"/>
    <w:rsid w:val="00DC1866"/>
    <w:rsid w:val="00DC1B68"/>
    <w:rsid w:val="00DC25CD"/>
    <w:rsid w:val="00DC3088"/>
    <w:rsid w:val="00DC3649"/>
    <w:rsid w:val="00DC39FF"/>
    <w:rsid w:val="00DC3B70"/>
    <w:rsid w:val="00DC4100"/>
    <w:rsid w:val="00DC47FD"/>
    <w:rsid w:val="00DC4CAF"/>
    <w:rsid w:val="00DC596A"/>
    <w:rsid w:val="00DC59A0"/>
    <w:rsid w:val="00DC6A89"/>
    <w:rsid w:val="00DC6DB1"/>
    <w:rsid w:val="00DC7971"/>
    <w:rsid w:val="00DD07B1"/>
    <w:rsid w:val="00DD0B0E"/>
    <w:rsid w:val="00DD3B36"/>
    <w:rsid w:val="00DD4502"/>
    <w:rsid w:val="00DD7396"/>
    <w:rsid w:val="00DD74A1"/>
    <w:rsid w:val="00DE1196"/>
    <w:rsid w:val="00DE2964"/>
    <w:rsid w:val="00DE57B2"/>
    <w:rsid w:val="00DE749D"/>
    <w:rsid w:val="00DE77E3"/>
    <w:rsid w:val="00DE7DBE"/>
    <w:rsid w:val="00DF0228"/>
    <w:rsid w:val="00DF0404"/>
    <w:rsid w:val="00DF0767"/>
    <w:rsid w:val="00DF2085"/>
    <w:rsid w:val="00DF2694"/>
    <w:rsid w:val="00DF38EF"/>
    <w:rsid w:val="00DF3CD8"/>
    <w:rsid w:val="00DF458F"/>
    <w:rsid w:val="00DF5C0E"/>
    <w:rsid w:val="00DF7D2F"/>
    <w:rsid w:val="00E002EA"/>
    <w:rsid w:val="00E014ED"/>
    <w:rsid w:val="00E019C1"/>
    <w:rsid w:val="00E01F5B"/>
    <w:rsid w:val="00E03488"/>
    <w:rsid w:val="00E03E6B"/>
    <w:rsid w:val="00E05F33"/>
    <w:rsid w:val="00E0682D"/>
    <w:rsid w:val="00E1072F"/>
    <w:rsid w:val="00E13458"/>
    <w:rsid w:val="00E1412A"/>
    <w:rsid w:val="00E14238"/>
    <w:rsid w:val="00E1464C"/>
    <w:rsid w:val="00E14C55"/>
    <w:rsid w:val="00E16100"/>
    <w:rsid w:val="00E16683"/>
    <w:rsid w:val="00E16CC0"/>
    <w:rsid w:val="00E17FAC"/>
    <w:rsid w:val="00E22AD9"/>
    <w:rsid w:val="00E2315A"/>
    <w:rsid w:val="00E23351"/>
    <w:rsid w:val="00E2435F"/>
    <w:rsid w:val="00E2453E"/>
    <w:rsid w:val="00E2465A"/>
    <w:rsid w:val="00E24992"/>
    <w:rsid w:val="00E26BB7"/>
    <w:rsid w:val="00E26DE5"/>
    <w:rsid w:val="00E27C54"/>
    <w:rsid w:val="00E30986"/>
    <w:rsid w:val="00E31A7B"/>
    <w:rsid w:val="00E3399E"/>
    <w:rsid w:val="00E3669B"/>
    <w:rsid w:val="00E37A45"/>
    <w:rsid w:val="00E42C35"/>
    <w:rsid w:val="00E43A89"/>
    <w:rsid w:val="00E43D32"/>
    <w:rsid w:val="00E44CDF"/>
    <w:rsid w:val="00E4503B"/>
    <w:rsid w:val="00E45A07"/>
    <w:rsid w:val="00E46A5F"/>
    <w:rsid w:val="00E5020B"/>
    <w:rsid w:val="00E5193B"/>
    <w:rsid w:val="00E55495"/>
    <w:rsid w:val="00E57489"/>
    <w:rsid w:val="00E5768D"/>
    <w:rsid w:val="00E60864"/>
    <w:rsid w:val="00E611DA"/>
    <w:rsid w:val="00E62558"/>
    <w:rsid w:val="00E63770"/>
    <w:rsid w:val="00E65214"/>
    <w:rsid w:val="00E653D6"/>
    <w:rsid w:val="00E6748D"/>
    <w:rsid w:val="00E67CD8"/>
    <w:rsid w:val="00E67FCB"/>
    <w:rsid w:val="00E71BF5"/>
    <w:rsid w:val="00E7233B"/>
    <w:rsid w:val="00E7273A"/>
    <w:rsid w:val="00E727BC"/>
    <w:rsid w:val="00E73EAF"/>
    <w:rsid w:val="00E741B8"/>
    <w:rsid w:val="00E7478D"/>
    <w:rsid w:val="00E74AFB"/>
    <w:rsid w:val="00E74E57"/>
    <w:rsid w:val="00E764EC"/>
    <w:rsid w:val="00E768BC"/>
    <w:rsid w:val="00E77711"/>
    <w:rsid w:val="00E77D19"/>
    <w:rsid w:val="00E8116D"/>
    <w:rsid w:val="00E81696"/>
    <w:rsid w:val="00E8202D"/>
    <w:rsid w:val="00E83016"/>
    <w:rsid w:val="00E83EA1"/>
    <w:rsid w:val="00E848DA"/>
    <w:rsid w:val="00E85C42"/>
    <w:rsid w:val="00E86585"/>
    <w:rsid w:val="00E86BD8"/>
    <w:rsid w:val="00E905FC"/>
    <w:rsid w:val="00E90834"/>
    <w:rsid w:val="00E91154"/>
    <w:rsid w:val="00E924D5"/>
    <w:rsid w:val="00E92C3E"/>
    <w:rsid w:val="00E93734"/>
    <w:rsid w:val="00E93B31"/>
    <w:rsid w:val="00E93BC8"/>
    <w:rsid w:val="00E95185"/>
    <w:rsid w:val="00EA024D"/>
    <w:rsid w:val="00EA0555"/>
    <w:rsid w:val="00EA11FA"/>
    <w:rsid w:val="00EA462E"/>
    <w:rsid w:val="00EA57A3"/>
    <w:rsid w:val="00EA6112"/>
    <w:rsid w:val="00EA61D7"/>
    <w:rsid w:val="00EA7B7B"/>
    <w:rsid w:val="00EA7C89"/>
    <w:rsid w:val="00EB058A"/>
    <w:rsid w:val="00EB0D86"/>
    <w:rsid w:val="00EB2746"/>
    <w:rsid w:val="00EB286E"/>
    <w:rsid w:val="00EB2B47"/>
    <w:rsid w:val="00EB330A"/>
    <w:rsid w:val="00EB43F1"/>
    <w:rsid w:val="00EB523F"/>
    <w:rsid w:val="00EB602D"/>
    <w:rsid w:val="00EB6716"/>
    <w:rsid w:val="00EC0049"/>
    <w:rsid w:val="00EC0858"/>
    <w:rsid w:val="00EC0A3F"/>
    <w:rsid w:val="00EC2107"/>
    <w:rsid w:val="00EC279D"/>
    <w:rsid w:val="00EC3E1F"/>
    <w:rsid w:val="00EC472F"/>
    <w:rsid w:val="00EC6093"/>
    <w:rsid w:val="00EC7485"/>
    <w:rsid w:val="00ED0129"/>
    <w:rsid w:val="00ED0848"/>
    <w:rsid w:val="00ED1757"/>
    <w:rsid w:val="00ED1A97"/>
    <w:rsid w:val="00ED2D8E"/>
    <w:rsid w:val="00ED3586"/>
    <w:rsid w:val="00ED4CC7"/>
    <w:rsid w:val="00ED564C"/>
    <w:rsid w:val="00ED68D7"/>
    <w:rsid w:val="00EE0F14"/>
    <w:rsid w:val="00EE0FDC"/>
    <w:rsid w:val="00EE1888"/>
    <w:rsid w:val="00EE18C2"/>
    <w:rsid w:val="00EE24BC"/>
    <w:rsid w:val="00EE25E5"/>
    <w:rsid w:val="00EE2CA4"/>
    <w:rsid w:val="00EE37E9"/>
    <w:rsid w:val="00EE3C61"/>
    <w:rsid w:val="00EE4C61"/>
    <w:rsid w:val="00EE515B"/>
    <w:rsid w:val="00EE6847"/>
    <w:rsid w:val="00EE7161"/>
    <w:rsid w:val="00EE7C70"/>
    <w:rsid w:val="00EF0458"/>
    <w:rsid w:val="00EF1AD1"/>
    <w:rsid w:val="00EF21A8"/>
    <w:rsid w:val="00EF2B69"/>
    <w:rsid w:val="00EF319A"/>
    <w:rsid w:val="00EF32A4"/>
    <w:rsid w:val="00EF625E"/>
    <w:rsid w:val="00F01E74"/>
    <w:rsid w:val="00F0270F"/>
    <w:rsid w:val="00F02D19"/>
    <w:rsid w:val="00F034E7"/>
    <w:rsid w:val="00F044E6"/>
    <w:rsid w:val="00F05C44"/>
    <w:rsid w:val="00F07578"/>
    <w:rsid w:val="00F1024E"/>
    <w:rsid w:val="00F10906"/>
    <w:rsid w:val="00F10986"/>
    <w:rsid w:val="00F11DF4"/>
    <w:rsid w:val="00F1629D"/>
    <w:rsid w:val="00F163D4"/>
    <w:rsid w:val="00F16474"/>
    <w:rsid w:val="00F169B5"/>
    <w:rsid w:val="00F173C2"/>
    <w:rsid w:val="00F200C9"/>
    <w:rsid w:val="00F20B7E"/>
    <w:rsid w:val="00F21A49"/>
    <w:rsid w:val="00F24245"/>
    <w:rsid w:val="00F247A8"/>
    <w:rsid w:val="00F24D2D"/>
    <w:rsid w:val="00F25328"/>
    <w:rsid w:val="00F25442"/>
    <w:rsid w:val="00F26557"/>
    <w:rsid w:val="00F27E1F"/>
    <w:rsid w:val="00F27E81"/>
    <w:rsid w:val="00F31F63"/>
    <w:rsid w:val="00F31F80"/>
    <w:rsid w:val="00F3231D"/>
    <w:rsid w:val="00F33311"/>
    <w:rsid w:val="00F34B85"/>
    <w:rsid w:val="00F356C5"/>
    <w:rsid w:val="00F35D2B"/>
    <w:rsid w:val="00F36C9D"/>
    <w:rsid w:val="00F36D15"/>
    <w:rsid w:val="00F40B98"/>
    <w:rsid w:val="00F40EED"/>
    <w:rsid w:val="00F41811"/>
    <w:rsid w:val="00F41986"/>
    <w:rsid w:val="00F41AF1"/>
    <w:rsid w:val="00F42278"/>
    <w:rsid w:val="00F424B6"/>
    <w:rsid w:val="00F42562"/>
    <w:rsid w:val="00F43BB6"/>
    <w:rsid w:val="00F457BF"/>
    <w:rsid w:val="00F463D6"/>
    <w:rsid w:val="00F50DE4"/>
    <w:rsid w:val="00F536CC"/>
    <w:rsid w:val="00F54993"/>
    <w:rsid w:val="00F5499A"/>
    <w:rsid w:val="00F62543"/>
    <w:rsid w:val="00F63A35"/>
    <w:rsid w:val="00F65773"/>
    <w:rsid w:val="00F65830"/>
    <w:rsid w:val="00F673EE"/>
    <w:rsid w:val="00F70A51"/>
    <w:rsid w:val="00F70CBF"/>
    <w:rsid w:val="00F713D4"/>
    <w:rsid w:val="00F71CE4"/>
    <w:rsid w:val="00F731F5"/>
    <w:rsid w:val="00F73C16"/>
    <w:rsid w:val="00F74C0A"/>
    <w:rsid w:val="00F77B29"/>
    <w:rsid w:val="00F8026B"/>
    <w:rsid w:val="00F802F2"/>
    <w:rsid w:val="00F8165F"/>
    <w:rsid w:val="00F81C30"/>
    <w:rsid w:val="00F82091"/>
    <w:rsid w:val="00F824AC"/>
    <w:rsid w:val="00F83701"/>
    <w:rsid w:val="00F83EC4"/>
    <w:rsid w:val="00F85552"/>
    <w:rsid w:val="00F859D5"/>
    <w:rsid w:val="00F867AC"/>
    <w:rsid w:val="00F871A7"/>
    <w:rsid w:val="00F906DC"/>
    <w:rsid w:val="00F9072C"/>
    <w:rsid w:val="00F938DA"/>
    <w:rsid w:val="00F940BB"/>
    <w:rsid w:val="00F943EF"/>
    <w:rsid w:val="00F94651"/>
    <w:rsid w:val="00FA0396"/>
    <w:rsid w:val="00FA0555"/>
    <w:rsid w:val="00FA14FE"/>
    <w:rsid w:val="00FA1883"/>
    <w:rsid w:val="00FA2292"/>
    <w:rsid w:val="00FA24D4"/>
    <w:rsid w:val="00FA287B"/>
    <w:rsid w:val="00FA6D6F"/>
    <w:rsid w:val="00FA7000"/>
    <w:rsid w:val="00FA7D2A"/>
    <w:rsid w:val="00FB0DCD"/>
    <w:rsid w:val="00FB2007"/>
    <w:rsid w:val="00FB3A50"/>
    <w:rsid w:val="00FB4C97"/>
    <w:rsid w:val="00FB6BE6"/>
    <w:rsid w:val="00FB6C46"/>
    <w:rsid w:val="00FC1C44"/>
    <w:rsid w:val="00FC35C9"/>
    <w:rsid w:val="00FC4ED0"/>
    <w:rsid w:val="00FC558D"/>
    <w:rsid w:val="00FD0238"/>
    <w:rsid w:val="00FD1003"/>
    <w:rsid w:val="00FD55E2"/>
    <w:rsid w:val="00FD69E0"/>
    <w:rsid w:val="00FE00DC"/>
    <w:rsid w:val="00FE0581"/>
    <w:rsid w:val="00FE127C"/>
    <w:rsid w:val="00FE1F77"/>
    <w:rsid w:val="00FE20BB"/>
    <w:rsid w:val="00FE28D0"/>
    <w:rsid w:val="00FE2AA6"/>
    <w:rsid w:val="00FE503C"/>
    <w:rsid w:val="00FF0CAA"/>
    <w:rsid w:val="00FF1CDD"/>
    <w:rsid w:val="00FF3066"/>
    <w:rsid w:val="00FF34B9"/>
    <w:rsid w:val="00FF49C5"/>
    <w:rsid w:val="00FF49FB"/>
    <w:rsid w:val="00FF506C"/>
    <w:rsid w:val="00FF590F"/>
    <w:rsid w:val="00FF5AD8"/>
    <w:rsid w:val="00FF6839"/>
    <w:rsid w:val="00FF6969"/>
    <w:rsid w:val="00FF71B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61041A"/>
    <w:pPr>
      <w:shd w:val="clear" w:color="auto" w:fill="FFFFFF"/>
      <w:spacing w:before="160" w:after="120" w:line="360" w:lineRule="auto"/>
      <w:ind w:firstLine="0"/>
      <w:textAlignment w:val="baseline"/>
      <w:outlineLvl w:val="0"/>
    </w:pPr>
    <w:rPr>
      <w:rFonts w:asciiTheme="minorHAnsi" w:eastAsia="Times New Roman" w:hAnsiTheme="minorHAnsi" w:cstheme="minorHAnsi"/>
      <w:b/>
      <w:bCs/>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6C78F5"/>
    <w:pPr>
      <w:keepNext/>
      <w:keepLines/>
      <w:shd w:val="clear" w:color="auto" w:fill="FFFFFF"/>
      <w:spacing w:before="0" w:after="180" w:line="240" w:lineRule="auto"/>
      <w:textAlignment w:val="baseline"/>
      <w:outlineLvl w:val="1"/>
    </w:pPr>
    <w:rPr>
      <w:rFonts w:eastAsiaTheme="majorEastAsia" w:cstheme="minorHAnsi"/>
      <w:b/>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C65030"/>
    <w:pPr>
      <w:spacing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041A"/>
    <w:rPr>
      <w:rFonts w:eastAsia="Times New Roman" w:cstheme="minorHAnsi"/>
      <w:b/>
      <w:bCs/>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6C78F5"/>
    <w:rPr>
      <w:rFonts w:eastAsiaTheme="majorEastAsia" w:cstheme="minorHAnsi"/>
      <w:b/>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C65030"/>
    <w:rPr>
      <w:rFonts w:eastAsiaTheme="majorEastAsia" w:cstheme="minorHAnsi"/>
      <w:b/>
      <w:iCs/>
      <w:kern w:val="0"/>
      <w:sz w:val="32"/>
      <w:szCs w:val="24"/>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C74F4"/>
    <w:pPr>
      <w:tabs>
        <w:tab w:val="left" w:pos="1134"/>
      </w:tabs>
      <w:ind w:left="992" w:hanging="992"/>
      <w:jc w:val="both"/>
    </w:pPr>
    <w:rPr>
      <w:rFonts w:ascii="Calibri" w:hAnsi="Calibri" w:cs="Times New Roman (Cuerpo en alfa"/>
      <w:b/>
      <w:bCs/>
      <w:color w:val="000000" w:themeColor="text1"/>
      <w:kern w:val="0"/>
      <w:szCs w:val="24"/>
      <w:bdr w:val="none" w:sz="0" w:space="0" w:color="auto" w:frame="1"/>
      <w:lang w:eastAsia="es-CO"/>
      <w14:ligatures w14:val="none"/>
    </w:rPr>
  </w:style>
  <w:style w:type="character" w:customStyle="1" w:styleId="FiguraCar">
    <w:name w:val="Figura Car"/>
    <w:basedOn w:val="Fuentedeprrafopredeter"/>
    <w:link w:val="Figura"/>
    <w:rsid w:val="00AC74F4"/>
    <w:rPr>
      <w:rFonts w:ascii="Calibri" w:hAnsi="Calibri" w:cs="Times New Roman (Cuerpo en alfa"/>
      <w:b/>
      <w:bCs/>
      <w:color w:val="000000" w:themeColor="text1"/>
      <w:kern w:val="0"/>
      <w:sz w:val="28"/>
      <w:szCs w:val="24"/>
      <w:bdr w:val="none" w:sz="0" w:space="0" w:color="auto" w:frame="1"/>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semiHidden/>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paragraph" w:customStyle="1" w:styleId="p-4">
    <w:name w:val="p-4"/>
    <w:basedOn w:val="Normal"/>
    <w:rsid w:val="00D56A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648572">
      <w:bodyDiv w:val="1"/>
      <w:marLeft w:val="0"/>
      <w:marRight w:val="0"/>
      <w:marTop w:val="0"/>
      <w:marBottom w:val="0"/>
      <w:divBdr>
        <w:top w:val="none" w:sz="0" w:space="0" w:color="auto"/>
        <w:left w:val="none" w:sz="0" w:space="0" w:color="auto"/>
        <w:bottom w:val="none" w:sz="0" w:space="0" w:color="auto"/>
        <w:right w:val="none" w:sz="0" w:space="0" w:color="auto"/>
      </w:divBdr>
      <w:divsChild>
        <w:div w:id="554699740">
          <w:marLeft w:val="0"/>
          <w:marRight w:val="0"/>
          <w:marTop w:val="0"/>
          <w:marBottom w:val="0"/>
          <w:divBdr>
            <w:top w:val="none" w:sz="0" w:space="0" w:color="auto"/>
            <w:left w:val="none" w:sz="0" w:space="0" w:color="auto"/>
            <w:bottom w:val="none" w:sz="0" w:space="0" w:color="auto"/>
            <w:right w:val="none" w:sz="0" w:space="0" w:color="auto"/>
          </w:divBdr>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7390016">
      <w:bodyDiv w:val="1"/>
      <w:marLeft w:val="0"/>
      <w:marRight w:val="0"/>
      <w:marTop w:val="0"/>
      <w:marBottom w:val="0"/>
      <w:divBdr>
        <w:top w:val="none" w:sz="0" w:space="0" w:color="auto"/>
        <w:left w:val="none" w:sz="0" w:space="0" w:color="auto"/>
        <w:bottom w:val="none" w:sz="0" w:space="0" w:color="auto"/>
        <w:right w:val="none" w:sz="0" w:space="0" w:color="auto"/>
      </w:divBdr>
      <w:divsChild>
        <w:div w:id="221791538">
          <w:marLeft w:val="0"/>
          <w:marRight w:val="0"/>
          <w:marTop w:val="0"/>
          <w:marBottom w:val="0"/>
          <w:divBdr>
            <w:top w:val="none" w:sz="0" w:space="0" w:color="auto"/>
            <w:left w:val="none" w:sz="0" w:space="0" w:color="auto"/>
            <w:bottom w:val="none" w:sz="0" w:space="0" w:color="auto"/>
            <w:right w:val="none" w:sz="0" w:space="0" w:color="auto"/>
          </w:divBdr>
        </w:div>
        <w:div w:id="1088891643">
          <w:marLeft w:val="0"/>
          <w:marRight w:val="0"/>
          <w:marTop w:val="0"/>
          <w:marBottom w:val="0"/>
          <w:divBdr>
            <w:top w:val="none" w:sz="0" w:space="0" w:color="auto"/>
            <w:left w:val="none" w:sz="0" w:space="0" w:color="auto"/>
            <w:bottom w:val="none" w:sz="0" w:space="0" w:color="auto"/>
            <w:right w:val="none" w:sz="0" w:space="0" w:color="auto"/>
          </w:divBdr>
          <w:divsChild>
            <w:div w:id="1344211934">
              <w:marLeft w:val="0"/>
              <w:marRight w:val="0"/>
              <w:marTop w:val="0"/>
              <w:marBottom w:val="0"/>
              <w:divBdr>
                <w:top w:val="none" w:sz="0" w:space="0" w:color="auto"/>
                <w:left w:val="none" w:sz="0" w:space="0" w:color="auto"/>
                <w:bottom w:val="none" w:sz="0" w:space="0" w:color="auto"/>
                <w:right w:val="none" w:sz="0" w:space="0" w:color="auto"/>
              </w:divBdr>
              <w:divsChild>
                <w:div w:id="1044208525">
                  <w:marLeft w:val="-180"/>
                  <w:marRight w:val="-180"/>
                  <w:marTop w:val="0"/>
                  <w:marBottom w:val="0"/>
                  <w:divBdr>
                    <w:top w:val="none" w:sz="0" w:space="0" w:color="auto"/>
                    <w:left w:val="none" w:sz="0" w:space="0" w:color="auto"/>
                    <w:bottom w:val="none" w:sz="0" w:space="0" w:color="auto"/>
                    <w:right w:val="none" w:sz="0" w:space="0" w:color="auto"/>
                  </w:divBdr>
                  <w:divsChild>
                    <w:div w:id="980304583">
                      <w:marLeft w:val="0"/>
                      <w:marRight w:val="0"/>
                      <w:marTop w:val="0"/>
                      <w:marBottom w:val="0"/>
                      <w:divBdr>
                        <w:top w:val="none" w:sz="0" w:space="0" w:color="auto"/>
                        <w:left w:val="none" w:sz="0" w:space="0" w:color="auto"/>
                        <w:bottom w:val="none" w:sz="0" w:space="0" w:color="auto"/>
                        <w:right w:val="none" w:sz="0" w:space="0" w:color="auto"/>
                      </w:divBdr>
                    </w:div>
                    <w:div w:id="163540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26907">
      <w:bodyDiv w:val="1"/>
      <w:marLeft w:val="0"/>
      <w:marRight w:val="0"/>
      <w:marTop w:val="0"/>
      <w:marBottom w:val="0"/>
      <w:divBdr>
        <w:top w:val="none" w:sz="0" w:space="0" w:color="auto"/>
        <w:left w:val="none" w:sz="0" w:space="0" w:color="auto"/>
        <w:bottom w:val="none" w:sz="0" w:space="0" w:color="auto"/>
        <w:right w:val="none" w:sz="0" w:space="0" w:color="auto"/>
      </w:divBdr>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1730817">
      <w:bodyDiv w:val="1"/>
      <w:marLeft w:val="0"/>
      <w:marRight w:val="0"/>
      <w:marTop w:val="0"/>
      <w:marBottom w:val="0"/>
      <w:divBdr>
        <w:top w:val="none" w:sz="0" w:space="0" w:color="auto"/>
        <w:left w:val="none" w:sz="0" w:space="0" w:color="auto"/>
        <w:bottom w:val="none" w:sz="0" w:space="0" w:color="auto"/>
        <w:right w:val="none" w:sz="0" w:space="0" w:color="auto"/>
      </w:divBdr>
      <w:divsChild>
        <w:div w:id="1851985767">
          <w:marLeft w:val="-180"/>
          <w:marRight w:val="-180"/>
          <w:marTop w:val="0"/>
          <w:marBottom w:val="0"/>
          <w:divBdr>
            <w:top w:val="none" w:sz="0" w:space="0" w:color="auto"/>
            <w:left w:val="none" w:sz="0" w:space="0" w:color="auto"/>
            <w:bottom w:val="none" w:sz="0" w:space="0" w:color="auto"/>
            <w:right w:val="none" w:sz="0" w:space="0" w:color="auto"/>
          </w:divBdr>
          <w:divsChild>
            <w:div w:id="1408455221">
              <w:marLeft w:val="0"/>
              <w:marRight w:val="0"/>
              <w:marTop w:val="0"/>
              <w:marBottom w:val="0"/>
              <w:divBdr>
                <w:top w:val="none" w:sz="0" w:space="0" w:color="auto"/>
                <w:left w:val="none" w:sz="0" w:space="0" w:color="auto"/>
                <w:bottom w:val="none" w:sz="0" w:space="0" w:color="auto"/>
                <w:right w:val="none" w:sz="0" w:space="0" w:color="auto"/>
              </w:divBdr>
              <w:divsChild>
                <w:div w:id="123523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10637">
          <w:marLeft w:val="-180"/>
          <w:marRight w:val="-180"/>
          <w:marTop w:val="0"/>
          <w:marBottom w:val="0"/>
          <w:divBdr>
            <w:top w:val="none" w:sz="0" w:space="0" w:color="auto"/>
            <w:left w:val="none" w:sz="0" w:space="0" w:color="auto"/>
            <w:bottom w:val="none" w:sz="0" w:space="0" w:color="auto"/>
            <w:right w:val="none" w:sz="0" w:space="0" w:color="auto"/>
          </w:divBdr>
          <w:divsChild>
            <w:div w:id="316760767">
              <w:marLeft w:val="0"/>
              <w:marRight w:val="0"/>
              <w:marTop w:val="0"/>
              <w:marBottom w:val="0"/>
              <w:divBdr>
                <w:top w:val="none" w:sz="0" w:space="0" w:color="auto"/>
                <w:left w:val="none" w:sz="0" w:space="0" w:color="auto"/>
                <w:bottom w:val="none" w:sz="0" w:space="0" w:color="auto"/>
                <w:right w:val="none" w:sz="0" w:space="0" w:color="auto"/>
              </w:divBdr>
              <w:divsChild>
                <w:div w:id="15642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8230924">
      <w:bodyDiv w:val="1"/>
      <w:marLeft w:val="0"/>
      <w:marRight w:val="0"/>
      <w:marTop w:val="0"/>
      <w:marBottom w:val="0"/>
      <w:divBdr>
        <w:top w:val="none" w:sz="0" w:space="0" w:color="auto"/>
        <w:left w:val="none" w:sz="0" w:space="0" w:color="auto"/>
        <w:bottom w:val="none" w:sz="0" w:space="0" w:color="auto"/>
        <w:right w:val="none" w:sz="0" w:space="0" w:color="auto"/>
      </w:divBdr>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1431">
      <w:bodyDiv w:val="1"/>
      <w:marLeft w:val="0"/>
      <w:marRight w:val="0"/>
      <w:marTop w:val="0"/>
      <w:marBottom w:val="0"/>
      <w:divBdr>
        <w:top w:val="none" w:sz="0" w:space="0" w:color="auto"/>
        <w:left w:val="none" w:sz="0" w:space="0" w:color="auto"/>
        <w:bottom w:val="none" w:sz="0" w:space="0" w:color="auto"/>
        <w:right w:val="none" w:sz="0" w:space="0" w:color="auto"/>
      </w:divBdr>
      <w:divsChild>
        <w:div w:id="1240745909">
          <w:marLeft w:val="-180"/>
          <w:marRight w:val="-180"/>
          <w:marTop w:val="0"/>
          <w:marBottom w:val="0"/>
          <w:divBdr>
            <w:top w:val="none" w:sz="0" w:space="0" w:color="auto"/>
            <w:left w:val="none" w:sz="0" w:space="0" w:color="auto"/>
            <w:bottom w:val="none" w:sz="0" w:space="0" w:color="auto"/>
            <w:right w:val="none" w:sz="0" w:space="0" w:color="auto"/>
          </w:divBdr>
          <w:divsChild>
            <w:div w:id="2086612737">
              <w:marLeft w:val="0"/>
              <w:marRight w:val="0"/>
              <w:marTop w:val="0"/>
              <w:marBottom w:val="0"/>
              <w:divBdr>
                <w:top w:val="none" w:sz="0" w:space="0" w:color="auto"/>
                <w:left w:val="none" w:sz="0" w:space="0" w:color="auto"/>
                <w:bottom w:val="none" w:sz="0" w:space="0" w:color="auto"/>
                <w:right w:val="none" w:sz="0" w:space="0" w:color="auto"/>
              </w:divBdr>
              <w:divsChild>
                <w:div w:id="16084689">
                  <w:marLeft w:val="0"/>
                  <w:marRight w:val="0"/>
                  <w:marTop w:val="0"/>
                  <w:marBottom w:val="0"/>
                  <w:divBdr>
                    <w:top w:val="none" w:sz="0" w:space="0" w:color="auto"/>
                    <w:left w:val="none" w:sz="0" w:space="0" w:color="auto"/>
                    <w:bottom w:val="none" w:sz="0" w:space="0" w:color="auto"/>
                    <w:right w:val="none" w:sz="0" w:space="0" w:color="auto"/>
                  </w:divBdr>
                  <w:divsChild>
                    <w:div w:id="785466653">
                      <w:marLeft w:val="0"/>
                      <w:marRight w:val="0"/>
                      <w:marTop w:val="0"/>
                      <w:marBottom w:val="0"/>
                      <w:divBdr>
                        <w:top w:val="none" w:sz="0" w:space="0" w:color="auto"/>
                        <w:left w:val="none" w:sz="0" w:space="0" w:color="auto"/>
                        <w:bottom w:val="none" w:sz="0" w:space="0" w:color="auto"/>
                        <w:right w:val="none" w:sz="0" w:space="0" w:color="auto"/>
                      </w:divBdr>
                    </w:div>
                    <w:div w:id="1131169600">
                      <w:marLeft w:val="-765"/>
                      <w:marRight w:val="0"/>
                      <w:marTop w:val="0"/>
                      <w:marBottom w:val="0"/>
                      <w:divBdr>
                        <w:top w:val="none" w:sz="0" w:space="0" w:color="auto"/>
                        <w:left w:val="none" w:sz="0" w:space="0" w:color="auto"/>
                        <w:bottom w:val="none" w:sz="0" w:space="0" w:color="auto"/>
                        <w:right w:val="none" w:sz="0" w:space="0" w:color="auto"/>
                      </w:divBdr>
                      <w:divsChild>
                        <w:div w:id="1346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161851">
              <w:marLeft w:val="0"/>
              <w:marRight w:val="0"/>
              <w:marTop w:val="0"/>
              <w:marBottom w:val="0"/>
              <w:divBdr>
                <w:top w:val="none" w:sz="0" w:space="0" w:color="auto"/>
                <w:left w:val="none" w:sz="0" w:space="0" w:color="auto"/>
                <w:bottom w:val="none" w:sz="0" w:space="0" w:color="auto"/>
                <w:right w:val="none" w:sz="0" w:space="0" w:color="auto"/>
              </w:divBdr>
              <w:divsChild>
                <w:div w:id="377439673">
                  <w:marLeft w:val="0"/>
                  <w:marRight w:val="0"/>
                  <w:marTop w:val="0"/>
                  <w:marBottom w:val="0"/>
                  <w:divBdr>
                    <w:top w:val="none" w:sz="0" w:space="0" w:color="auto"/>
                    <w:left w:val="none" w:sz="0" w:space="0" w:color="auto"/>
                    <w:bottom w:val="none" w:sz="0" w:space="0" w:color="auto"/>
                    <w:right w:val="none" w:sz="0" w:space="0" w:color="auto"/>
                  </w:divBdr>
                  <w:divsChild>
                    <w:div w:id="1540514036">
                      <w:marLeft w:val="0"/>
                      <w:marRight w:val="0"/>
                      <w:marTop w:val="0"/>
                      <w:marBottom w:val="0"/>
                      <w:divBdr>
                        <w:top w:val="none" w:sz="0" w:space="0" w:color="auto"/>
                        <w:left w:val="none" w:sz="0" w:space="0" w:color="auto"/>
                        <w:bottom w:val="none" w:sz="0" w:space="0" w:color="auto"/>
                        <w:right w:val="none" w:sz="0" w:space="0" w:color="auto"/>
                      </w:divBdr>
                    </w:div>
                    <w:div w:id="1993219795">
                      <w:marLeft w:val="-765"/>
                      <w:marRight w:val="0"/>
                      <w:marTop w:val="0"/>
                      <w:marBottom w:val="0"/>
                      <w:divBdr>
                        <w:top w:val="none" w:sz="0" w:space="0" w:color="auto"/>
                        <w:left w:val="none" w:sz="0" w:space="0" w:color="auto"/>
                        <w:bottom w:val="none" w:sz="0" w:space="0" w:color="auto"/>
                        <w:right w:val="none" w:sz="0" w:space="0" w:color="auto"/>
                      </w:divBdr>
                      <w:divsChild>
                        <w:div w:id="3948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42110">
      <w:bodyDiv w:val="1"/>
      <w:marLeft w:val="0"/>
      <w:marRight w:val="0"/>
      <w:marTop w:val="0"/>
      <w:marBottom w:val="0"/>
      <w:divBdr>
        <w:top w:val="none" w:sz="0" w:space="0" w:color="auto"/>
        <w:left w:val="none" w:sz="0" w:space="0" w:color="auto"/>
        <w:bottom w:val="none" w:sz="0" w:space="0" w:color="auto"/>
        <w:right w:val="none" w:sz="0" w:space="0" w:color="auto"/>
      </w:divBdr>
      <w:divsChild>
        <w:div w:id="1090392529">
          <w:marLeft w:val="0"/>
          <w:marRight w:val="0"/>
          <w:marTop w:val="0"/>
          <w:marBottom w:val="0"/>
          <w:divBdr>
            <w:top w:val="none" w:sz="0" w:space="0" w:color="auto"/>
            <w:left w:val="none" w:sz="0" w:space="0" w:color="auto"/>
            <w:bottom w:val="none" w:sz="0" w:space="0" w:color="auto"/>
            <w:right w:val="none" w:sz="0" w:space="0" w:color="auto"/>
          </w:divBdr>
        </w:div>
        <w:div w:id="2082212912">
          <w:marLeft w:val="0"/>
          <w:marRight w:val="0"/>
          <w:marTop w:val="0"/>
          <w:marBottom w:val="0"/>
          <w:divBdr>
            <w:top w:val="none" w:sz="0" w:space="0" w:color="auto"/>
            <w:left w:val="none" w:sz="0" w:space="0" w:color="auto"/>
            <w:bottom w:val="none" w:sz="0" w:space="0" w:color="auto"/>
            <w:right w:val="none" w:sz="0" w:space="0" w:color="auto"/>
          </w:divBdr>
          <w:divsChild>
            <w:div w:id="74404866">
              <w:marLeft w:val="0"/>
              <w:marRight w:val="0"/>
              <w:marTop w:val="0"/>
              <w:marBottom w:val="0"/>
              <w:divBdr>
                <w:top w:val="none" w:sz="0" w:space="0" w:color="auto"/>
                <w:left w:val="none" w:sz="0" w:space="0" w:color="auto"/>
                <w:bottom w:val="none" w:sz="0" w:space="0" w:color="auto"/>
                <w:right w:val="none" w:sz="0" w:space="0" w:color="auto"/>
              </w:divBdr>
              <w:divsChild>
                <w:div w:id="1568028362">
                  <w:marLeft w:val="-180"/>
                  <w:marRight w:val="-180"/>
                  <w:marTop w:val="0"/>
                  <w:marBottom w:val="0"/>
                  <w:divBdr>
                    <w:top w:val="none" w:sz="0" w:space="0" w:color="auto"/>
                    <w:left w:val="none" w:sz="0" w:space="0" w:color="auto"/>
                    <w:bottom w:val="none" w:sz="0" w:space="0" w:color="auto"/>
                    <w:right w:val="none" w:sz="0" w:space="0" w:color="auto"/>
                  </w:divBdr>
                  <w:divsChild>
                    <w:div w:id="14158151">
                      <w:marLeft w:val="0"/>
                      <w:marRight w:val="0"/>
                      <w:marTop w:val="0"/>
                      <w:marBottom w:val="0"/>
                      <w:divBdr>
                        <w:top w:val="none" w:sz="0" w:space="0" w:color="auto"/>
                        <w:left w:val="none" w:sz="0" w:space="0" w:color="auto"/>
                        <w:bottom w:val="none" w:sz="0" w:space="0" w:color="auto"/>
                        <w:right w:val="none" w:sz="0" w:space="0" w:color="auto"/>
                      </w:divBdr>
                    </w:div>
                    <w:div w:id="202382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112350">
      <w:bodyDiv w:val="1"/>
      <w:marLeft w:val="0"/>
      <w:marRight w:val="0"/>
      <w:marTop w:val="0"/>
      <w:marBottom w:val="0"/>
      <w:divBdr>
        <w:top w:val="none" w:sz="0" w:space="0" w:color="auto"/>
        <w:left w:val="none" w:sz="0" w:space="0" w:color="auto"/>
        <w:bottom w:val="none" w:sz="0" w:space="0" w:color="auto"/>
        <w:right w:val="none" w:sz="0" w:space="0" w:color="auto"/>
      </w:divBdr>
      <w:divsChild>
        <w:div w:id="1386416274">
          <w:marLeft w:val="0"/>
          <w:marRight w:val="0"/>
          <w:marTop w:val="0"/>
          <w:marBottom w:val="0"/>
          <w:divBdr>
            <w:top w:val="none" w:sz="0" w:space="0" w:color="auto"/>
            <w:left w:val="none" w:sz="0" w:space="0" w:color="auto"/>
            <w:bottom w:val="none" w:sz="0" w:space="0" w:color="auto"/>
            <w:right w:val="none" w:sz="0" w:space="0" w:color="auto"/>
          </w:divBdr>
        </w:div>
        <w:div w:id="1028604705">
          <w:marLeft w:val="-180"/>
          <w:marRight w:val="-180"/>
          <w:marTop w:val="0"/>
          <w:marBottom w:val="0"/>
          <w:divBdr>
            <w:top w:val="none" w:sz="0" w:space="0" w:color="auto"/>
            <w:left w:val="none" w:sz="0" w:space="0" w:color="auto"/>
            <w:bottom w:val="none" w:sz="0" w:space="0" w:color="auto"/>
            <w:right w:val="none" w:sz="0" w:space="0" w:color="auto"/>
          </w:divBdr>
          <w:divsChild>
            <w:div w:id="671565725">
              <w:marLeft w:val="0"/>
              <w:marRight w:val="0"/>
              <w:marTop w:val="0"/>
              <w:marBottom w:val="0"/>
              <w:divBdr>
                <w:top w:val="none" w:sz="0" w:space="0" w:color="auto"/>
                <w:left w:val="none" w:sz="0" w:space="0" w:color="auto"/>
                <w:bottom w:val="none" w:sz="0" w:space="0" w:color="auto"/>
                <w:right w:val="none" w:sz="0" w:space="0" w:color="auto"/>
              </w:divBdr>
              <w:divsChild>
                <w:div w:id="332925473">
                  <w:marLeft w:val="-180"/>
                  <w:marRight w:val="-180"/>
                  <w:marTop w:val="0"/>
                  <w:marBottom w:val="0"/>
                  <w:divBdr>
                    <w:top w:val="none" w:sz="0" w:space="0" w:color="auto"/>
                    <w:left w:val="none" w:sz="0" w:space="0" w:color="auto"/>
                    <w:bottom w:val="none" w:sz="0" w:space="0" w:color="auto"/>
                    <w:right w:val="none" w:sz="0" w:space="0" w:color="auto"/>
                  </w:divBdr>
                  <w:divsChild>
                    <w:div w:id="1194418037">
                      <w:marLeft w:val="0"/>
                      <w:marRight w:val="0"/>
                      <w:marTop w:val="0"/>
                      <w:marBottom w:val="0"/>
                      <w:divBdr>
                        <w:top w:val="none" w:sz="0" w:space="0" w:color="auto"/>
                        <w:left w:val="none" w:sz="0" w:space="0" w:color="auto"/>
                        <w:bottom w:val="none" w:sz="0" w:space="0" w:color="auto"/>
                        <w:right w:val="none" w:sz="0" w:space="0" w:color="auto"/>
                      </w:divBdr>
                    </w:div>
                    <w:div w:id="89732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68928">
              <w:marLeft w:val="0"/>
              <w:marRight w:val="0"/>
              <w:marTop w:val="0"/>
              <w:marBottom w:val="0"/>
              <w:divBdr>
                <w:top w:val="none" w:sz="0" w:space="0" w:color="auto"/>
                <w:left w:val="none" w:sz="0" w:space="0" w:color="auto"/>
                <w:bottom w:val="none" w:sz="0" w:space="0" w:color="auto"/>
                <w:right w:val="none" w:sz="0" w:space="0" w:color="auto"/>
              </w:divBdr>
              <w:divsChild>
                <w:div w:id="821969755">
                  <w:marLeft w:val="-180"/>
                  <w:marRight w:val="-180"/>
                  <w:marTop w:val="0"/>
                  <w:marBottom w:val="0"/>
                  <w:divBdr>
                    <w:top w:val="none" w:sz="0" w:space="0" w:color="auto"/>
                    <w:left w:val="none" w:sz="0" w:space="0" w:color="auto"/>
                    <w:bottom w:val="none" w:sz="0" w:space="0" w:color="auto"/>
                    <w:right w:val="none" w:sz="0" w:space="0" w:color="auto"/>
                  </w:divBdr>
                  <w:divsChild>
                    <w:div w:id="2035230393">
                      <w:marLeft w:val="0"/>
                      <w:marRight w:val="0"/>
                      <w:marTop w:val="0"/>
                      <w:marBottom w:val="0"/>
                      <w:divBdr>
                        <w:top w:val="none" w:sz="0" w:space="0" w:color="auto"/>
                        <w:left w:val="none" w:sz="0" w:space="0" w:color="auto"/>
                        <w:bottom w:val="none" w:sz="0" w:space="0" w:color="auto"/>
                        <w:right w:val="none" w:sz="0" w:space="0" w:color="auto"/>
                      </w:divBdr>
                    </w:div>
                    <w:div w:id="23389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20084">
              <w:marLeft w:val="0"/>
              <w:marRight w:val="0"/>
              <w:marTop w:val="0"/>
              <w:marBottom w:val="0"/>
              <w:divBdr>
                <w:top w:val="none" w:sz="0" w:space="0" w:color="auto"/>
                <w:left w:val="none" w:sz="0" w:space="0" w:color="auto"/>
                <w:bottom w:val="none" w:sz="0" w:space="0" w:color="auto"/>
                <w:right w:val="none" w:sz="0" w:space="0" w:color="auto"/>
              </w:divBdr>
              <w:divsChild>
                <w:div w:id="1747653309">
                  <w:marLeft w:val="-180"/>
                  <w:marRight w:val="-180"/>
                  <w:marTop w:val="0"/>
                  <w:marBottom w:val="0"/>
                  <w:divBdr>
                    <w:top w:val="none" w:sz="0" w:space="0" w:color="auto"/>
                    <w:left w:val="none" w:sz="0" w:space="0" w:color="auto"/>
                    <w:bottom w:val="none" w:sz="0" w:space="0" w:color="auto"/>
                    <w:right w:val="none" w:sz="0" w:space="0" w:color="auto"/>
                  </w:divBdr>
                  <w:divsChild>
                    <w:div w:id="1128814575">
                      <w:marLeft w:val="0"/>
                      <w:marRight w:val="0"/>
                      <w:marTop w:val="0"/>
                      <w:marBottom w:val="0"/>
                      <w:divBdr>
                        <w:top w:val="none" w:sz="0" w:space="0" w:color="auto"/>
                        <w:left w:val="none" w:sz="0" w:space="0" w:color="auto"/>
                        <w:bottom w:val="none" w:sz="0" w:space="0" w:color="auto"/>
                        <w:right w:val="none" w:sz="0" w:space="0" w:color="auto"/>
                      </w:divBdr>
                    </w:div>
                    <w:div w:id="214715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841035">
          <w:marLeft w:val="0"/>
          <w:marRight w:val="0"/>
          <w:marTop w:val="0"/>
          <w:marBottom w:val="0"/>
          <w:divBdr>
            <w:top w:val="none" w:sz="0" w:space="0" w:color="auto"/>
            <w:left w:val="none" w:sz="0" w:space="0" w:color="auto"/>
            <w:bottom w:val="none" w:sz="0" w:space="0" w:color="auto"/>
            <w:right w:val="none" w:sz="0" w:space="0" w:color="auto"/>
          </w:divBdr>
          <w:divsChild>
            <w:div w:id="193674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125330">
      <w:bodyDiv w:val="1"/>
      <w:marLeft w:val="0"/>
      <w:marRight w:val="0"/>
      <w:marTop w:val="0"/>
      <w:marBottom w:val="0"/>
      <w:divBdr>
        <w:top w:val="none" w:sz="0" w:space="0" w:color="auto"/>
        <w:left w:val="none" w:sz="0" w:space="0" w:color="auto"/>
        <w:bottom w:val="none" w:sz="0" w:space="0" w:color="auto"/>
        <w:right w:val="none" w:sz="0" w:space="0" w:color="auto"/>
      </w:divBdr>
      <w:divsChild>
        <w:div w:id="32928715">
          <w:marLeft w:val="-180"/>
          <w:marRight w:val="-180"/>
          <w:marTop w:val="0"/>
          <w:marBottom w:val="0"/>
          <w:divBdr>
            <w:top w:val="none" w:sz="0" w:space="0" w:color="auto"/>
            <w:left w:val="none" w:sz="0" w:space="0" w:color="auto"/>
            <w:bottom w:val="none" w:sz="0" w:space="0" w:color="auto"/>
            <w:right w:val="none" w:sz="0" w:space="0" w:color="auto"/>
          </w:divBdr>
          <w:divsChild>
            <w:div w:id="310714280">
              <w:marLeft w:val="0"/>
              <w:marRight w:val="0"/>
              <w:marTop w:val="0"/>
              <w:marBottom w:val="0"/>
              <w:divBdr>
                <w:top w:val="none" w:sz="0" w:space="0" w:color="auto"/>
                <w:left w:val="none" w:sz="0" w:space="0" w:color="auto"/>
                <w:bottom w:val="none" w:sz="0" w:space="0" w:color="auto"/>
                <w:right w:val="none" w:sz="0" w:space="0" w:color="auto"/>
              </w:divBdr>
            </w:div>
          </w:divsChild>
        </w:div>
        <w:div w:id="2047831952">
          <w:marLeft w:val="-180"/>
          <w:marRight w:val="-180"/>
          <w:marTop w:val="0"/>
          <w:marBottom w:val="0"/>
          <w:divBdr>
            <w:top w:val="none" w:sz="0" w:space="0" w:color="auto"/>
            <w:left w:val="none" w:sz="0" w:space="0" w:color="auto"/>
            <w:bottom w:val="none" w:sz="0" w:space="0" w:color="auto"/>
            <w:right w:val="none" w:sz="0" w:space="0" w:color="auto"/>
          </w:divBdr>
          <w:divsChild>
            <w:div w:id="1833061404">
              <w:marLeft w:val="0"/>
              <w:marRight w:val="0"/>
              <w:marTop w:val="0"/>
              <w:marBottom w:val="0"/>
              <w:divBdr>
                <w:top w:val="none" w:sz="0" w:space="0" w:color="auto"/>
                <w:left w:val="none" w:sz="0" w:space="0" w:color="auto"/>
                <w:bottom w:val="none" w:sz="0" w:space="0" w:color="auto"/>
                <w:right w:val="none" w:sz="0" w:space="0" w:color="auto"/>
              </w:divBdr>
            </w:div>
            <w:div w:id="625627341">
              <w:marLeft w:val="0"/>
              <w:marRight w:val="0"/>
              <w:marTop w:val="0"/>
              <w:marBottom w:val="0"/>
              <w:divBdr>
                <w:top w:val="none" w:sz="0" w:space="0" w:color="auto"/>
                <w:left w:val="none" w:sz="0" w:space="0" w:color="auto"/>
                <w:bottom w:val="none" w:sz="0" w:space="0" w:color="auto"/>
                <w:right w:val="none" w:sz="0" w:space="0" w:color="auto"/>
              </w:divBdr>
            </w:div>
            <w:div w:id="1734573971">
              <w:marLeft w:val="0"/>
              <w:marRight w:val="0"/>
              <w:marTop w:val="0"/>
              <w:marBottom w:val="0"/>
              <w:divBdr>
                <w:top w:val="none" w:sz="0" w:space="0" w:color="auto"/>
                <w:left w:val="none" w:sz="0" w:space="0" w:color="auto"/>
                <w:bottom w:val="none" w:sz="0" w:space="0" w:color="auto"/>
                <w:right w:val="none" w:sz="0" w:space="0" w:color="auto"/>
              </w:divBdr>
            </w:div>
            <w:div w:id="1328440626">
              <w:marLeft w:val="0"/>
              <w:marRight w:val="0"/>
              <w:marTop w:val="0"/>
              <w:marBottom w:val="0"/>
              <w:divBdr>
                <w:top w:val="none" w:sz="0" w:space="0" w:color="auto"/>
                <w:left w:val="none" w:sz="0" w:space="0" w:color="auto"/>
                <w:bottom w:val="none" w:sz="0" w:space="0" w:color="auto"/>
                <w:right w:val="none" w:sz="0" w:space="0" w:color="auto"/>
              </w:divBdr>
            </w:div>
            <w:div w:id="164130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333582">
      <w:bodyDiv w:val="1"/>
      <w:marLeft w:val="0"/>
      <w:marRight w:val="0"/>
      <w:marTop w:val="0"/>
      <w:marBottom w:val="0"/>
      <w:divBdr>
        <w:top w:val="none" w:sz="0" w:space="0" w:color="auto"/>
        <w:left w:val="none" w:sz="0" w:space="0" w:color="auto"/>
        <w:bottom w:val="none" w:sz="0" w:space="0" w:color="auto"/>
        <w:right w:val="none" w:sz="0" w:space="0" w:color="auto"/>
      </w:divBdr>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91208657">
      <w:bodyDiv w:val="1"/>
      <w:marLeft w:val="0"/>
      <w:marRight w:val="0"/>
      <w:marTop w:val="0"/>
      <w:marBottom w:val="0"/>
      <w:divBdr>
        <w:top w:val="none" w:sz="0" w:space="0" w:color="auto"/>
        <w:left w:val="none" w:sz="0" w:space="0" w:color="auto"/>
        <w:bottom w:val="none" w:sz="0" w:space="0" w:color="auto"/>
        <w:right w:val="none" w:sz="0" w:space="0" w:color="auto"/>
      </w:divBdr>
      <w:divsChild>
        <w:div w:id="1455294721">
          <w:marLeft w:val="0"/>
          <w:marRight w:val="0"/>
          <w:marTop w:val="0"/>
          <w:marBottom w:val="180"/>
          <w:divBdr>
            <w:top w:val="none" w:sz="0" w:space="0" w:color="auto"/>
            <w:left w:val="none" w:sz="0" w:space="0" w:color="auto"/>
            <w:bottom w:val="none" w:sz="0" w:space="0" w:color="auto"/>
            <w:right w:val="none" w:sz="0" w:space="0" w:color="auto"/>
          </w:divBdr>
        </w:div>
        <w:div w:id="894901150">
          <w:marLeft w:val="-180"/>
          <w:marRight w:val="-180"/>
          <w:marTop w:val="0"/>
          <w:marBottom w:val="0"/>
          <w:divBdr>
            <w:top w:val="none" w:sz="0" w:space="0" w:color="auto"/>
            <w:left w:val="none" w:sz="0" w:space="0" w:color="auto"/>
            <w:bottom w:val="none" w:sz="0" w:space="0" w:color="auto"/>
            <w:right w:val="none" w:sz="0" w:space="0" w:color="auto"/>
          </w:divBdr>
          <w:divsChild>
            <w:div w:id="13614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3946744">
      <w:bodyDiv w:val="1"/>
      <w:marLeft w:val="0"/>
      <w:marRight w:val="0"/>
      <w:marTop w:val="0"/>
      <w:marBottom w:val="0"/>
      <w:divBdr>
        <w:top w:val="none" w:sz="0" w:space="0" w:color="auto"/>
        <w:left w:val="none" w:sz="0" w:space="0" w:color="auto"/>
        <w:bottom w:val="none" w:sz="0" w:space="0" w:color="auto"/>
        <w:right w:val="none" w:sz="0" w:space="0" w:color="auto"/>
      </w:divBdr>
      <w:divsChild>
        <w:div w:id="1698658835">
          <w:marLeft w:val="0"/>
          <w:marRight w:val="0"/>
          <w:marTop w:val="0"/>
          <w:marBottom w:val="375"/>
          <w:divBdr>
            <w:top w:val="none" w:sz="0" w:space="0" w:color="auto"/>
            <w:left w:val="none" w:sz="0" w:space="0" w:color="auto"/>
            <w:bottom w:val="none" w:sz="0" w:space="0" w:color="auto"/>
            <w:right w:val="none" w:sz="0" w:space="0" w:color="auto"/>
          </w:divBdr>
          <w:divsChild>
            <w:div w:id="1282028323">
              <w:marLeft w:val="0"/>
              <w:marRight w:val="0"/>
              <w:marTop w:val="0"/>
              <w:marBottom w:val="0"/>
              <w:divBdr>
                <w:top w:val="none" w:sz="0" w:space="0" w:color="auto"/>
                <w:left w:val="none" w:sz="0" w:space="0" w:color="auto"/>
                <w:bottom w:val="none" w:sz="0" w:space="0" w:color="auto"/>
                <w:right w:val="none" w:sz="0" w:space="0" w:color="auto"/>
              </w:divBdr>
              <w:divsChild>
                <w:div w:id="15629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7689">
          <w:marLeft w:val="0"/>
          <w:marRight w:val="0"/>
          <w:marTop w:val="0"/>
          <w:marBottom w:val="0"/>
          <w:divBdr>
            <w:top w:val="none" w:sz="0" w:space="0" w:color="auto"/>
            <w:left w:val="none" w:sz="0" w:space="0" w:color="auto"/>
            <w:bottom w:val="none" w:sz="0" w:space="0" w:color="auto"/>
            <w:right w:val="none" w:sz="0" w:space="0" w:color="auto"/>
          </w:divBdr>
          <w:divsChild>
            <w:div w:id="1307320868">
              <w:marLeft w:val="0"/>
              <w:marRight w:val="0"/>
              <w:marTop w:val="0"/>
              <w:marBottom w:val="0"/>
              <w:divBdr>
                <w:top w:val="none" w:sz="0" w:space="0" w:color="auto"/>
                <w:left w:val="none" w:sz="0" w:space="0" w:color="auto"/>
                <w:bottom w:val="none" w:sz="0" w:space="0" w:color="auto"/>
                <w:right w:val="none" w:sz="0" w:space="0" w:color="auto"/>
              </w:divBdr>
              <w:divsChild>
                <w:div w:id="68040233">
                  <w:marLeft w:val="-180"/>
                  <w:marRight w:val="-180"/>
                  <w:marTop w:val="0"/>
                  <w:marBottom w:val="0"/>
                  <w:divBdr>
                    <w:top w:val="none" w:sz="0" w:space="0" w:color="auto"/>
                    <w:left w:val="none" w:sz="0" w:space="0" w:color="auto"/>
                    <w:bottom w:val="none" w:sz="0" w:space="0" w:color="auto"/>
                    <w:right w:val="none" w:sz="0" w:space="0" w:color="auto"/>
                  </w:divBdr>
                  <w:divsChild>
                    <w:div w:id="166948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189248">
      <w:bodyDiv w:val="1"/>
      <w:marLeft w:val="0"/>
      <w:marRight w:val="0"/>
      <w:marTop w:val="0"/>
      <w:marBottom w:val="0"/>
      <w:divBdr>
        <w:top w:val="none" w:sz="0" w:space="0" w:color="auto"/>
        <w:left w:val="none" w:sz="0" w:space="0" w:color="auto"/>
        <w:bottom w:val="none" w:sz="0" w:space="0" w:color="auto"/>
        <w:right w:val="none" w:sz="0" w:space="0" w:color="auto"/>
      </w:divBdr>
      <w:divsChild>
        <w:div w:id="1242564018">
          <w:marLeft w:val="0"/>
          <w:marRight w:val="0"/>
          <w:marTop w:val="0"/>
          <w:marBottom w:val="720"/>
          <w:divBdr>
            <w:top w:val="none" w:sz="0" w:space="0" w:color="auto"/>
            <w:left w:val="none" w:sz="0" w:space="0" w:color="auto"/>
            <w:bottom w:val="none" w:sz="0" w:space="0" w:color="auto"/>
            <w:right w:val="none" w:sz="0" w:space="0" w:color="auto"/>
          </w:divBdr>
        </w:div>
        <w:div w:id="1952544066">
          <w:marLeft w:val="-180"/>
          <w:marRight w:val="-180"/>
          <w:marTop w:val="0"/>
          <w:marBottom w:val="0"/>
          <w:divBdr>
            <w:top w:val="none" w:sz="0" w:space="0" w:color="auto"/>
            <w:left w:val="none" w:sz="0" w:space="0" w:color="auto"/>
            <w:bottom w:val="none" w:sz="0" w:space="0" w:color="auto"/>
            <w:right w:val="none" w:sz="0" w:space="0" w:color="auto"/>
          </w:divBdr>
        </w:div>
      </w:divsChild>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5101148">
      <w:bodyDiv w:val="1"/>
      <w:marLeft w:val="0"/>
      <w:marRight w:val="0"/>
      <w:marTop w:val="0"/>
      <w:marBottom w:val="0"/>
      <w:divBdr>
        <w:top w:val="none" w:sz="0" w:space="0" w:color="auto"/>
        <w:left w:val="none" w:sz="0" w:space="0" w:color="auto"/>
        <w:bottom w:val="none" w:sz="0" w:space="0" w:color="auto"/>
        <w:right w:val="none" w:sz="0" w:space="0" w:color="auto"/>
      </w:divBdr>
      <w:divsChild>
        <w:div w:id="1310860086">
          <w:marLeft w:val="0"/>
          <w:marRight w:val="0"/>
          <w:marTop w:val="0"/>
          <w:marBottom w:val="720"/>
          <w:divBdr>
            <w:top w:val="none" w:sz="0" w:space="0" w:color="auto"/>
            <w:left w:val="none" w:sz="0" w:space="0" w:color="auto"/>
            <w:bottom w:val="none" w:sz="0" w:space="0" w:color="auto"/>
            <w:right w:val="none" w:sz="0" w:space="0" w:color="auto"/>
          </w:divBdr>
        </w:div>
        <w:div w:id="254822035">
          <w:marLeft w:val="0"/>
          <w:marRight w:val="0"/>
          <w:marTop w:val="0"/>
          <w:marBottom w:val="0"/>
          <w:divBdr>
            <w:top w:val="none" w:sz="0" w:space="0" w:color="auto"/>
            <w:left w:val="none" w:sz="0" w:space="0" w:color="auto"/>
            <w:bottom w:val="none" w:sz="0" w:space="0" w:color="auto"/>
            <w:right w:val="none" w:sz="0" w:space="0" w:color="auto"/>
          </w:divBdr>
          <w:divsChild>
            <w:div w:id="191746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960369">
      <w:bodyDiv w:val="1"/>
      <w:marLeft w:val="0"/>
      <w:marRight w:val="0"/>
      <w:marTop w:val="0"/>
      <w:marBottom w:val="0"/>
      <w:divBdr>
        <w:top w:val="none" w:sz="0" w:space="0" w:color="auto"/>
        <w:left w:val="none" w:sz="0" w:space="0" w:color="auto"/>
        <w:bottom w:val="none" w:sz="0" w:space="0" w:color="auto"/>
        <w:right w:val="none" w:sz="0" w:space="0" w:color="auto"/>
      </w:divBdr>
      <w:divsChild>
        <w:div w:id="2068524570">
          <w:marLeft w:val="0"/>
          <w:marRight w:val="0"/>
          <w:marTop w:val="0"/>
          <w:marBottom w:val="0"/>
          <w:divBdr>
            <w:top w:val="none" w:sz="0" w:space="0" w:color="auto"/>
            <w:left w:val="none" w:sz="0" w:space="0" w:color="auto"/>
            <w:bottom w:val="none" w:sz="0" w:space="0" w:color="auto"/>
            <w:right w:val="none" w:sz="0" w:space="0" w:color="auto"/>
          </w:divBdr>
          <w:divsChild>
            <w:div w:id="1366829405">
              <w:marLeft w:val="-180"/>
              <w:marRight w:val="-180"/>
              <w:marTop w:val="0"/>
              <w:marBottom w:val="0"/>
              <w:divBdr>
                <w:top w:val="none" w:sz="0" w:space="0" w:color="auto"/>
                <w:left w:val="none" w:sz="0" w:space="0" w:color="auto"/>
                <w:bottom w:val="none" w:sz="0" w:space="0" w:color="auto"/>
                <w:right w:val="none" w:sz="0" w:space="0" w:color="auto"/>
              </w:divBdr>
              <w:divsChild>
                <w:div w:id="53968384">
                  <w:marLeft w:val="0"/>
                  <w:marRight w:val="0"/>
                  <w:marTop w:val="0"/>
                  <w:marBottom w:val="0"/>
                  <w:divBdr>
                    <w:top w:val="none" w:sz="0" w:space="0" w:color="auto"/>
                    <w:left w:val="none" w:sz="0" w:space="0" w:color="auto"/>
                    <w:bottom w:val="none" w:sz="0" w:space="0" w:color="auto"/>
                    <w:right w:val="none" w:sz="0" w:space="0" w:color="auto"/>
                  </w:divBdr>
                </w:div>
                <w:div w:id="451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66837">
          <w:marLeft w:val="0"/>
          <w:marRight w:val="0"/>
          <w:marTop w:val="0"/>
          <w:marBottom w:val="0"/>
          <w:divBdr>
            <w:top w:val="none" w:sz="0" w:space="0" w:color="auto"/>
            <w:left w:val="none" w:sz="0" w:space="0" w:color="auto"/>
            <w:bottom w:val="none" w:sz="0" w:space="0" w:color="auto"/>
            <w:right w:val="none" w:sz="0" w:space="0" w:color="auto"/>
          </w:divBdr>
          <w:divsChild>
            <w:div w:id="342828684">
              <w:marLeft w:val="-180"/>
              <w:marRight w:val="-180"/>
              <w:marTop w:val="0"/>
              <w:marBottom w:val="0"/>
              <w:divBdr>
                <w:top w:val="none" w:sz="0" w:space="0" w:color="auto"/>
                <w:left w:val="none" w:sz="0" w:space="0" w:color="auto"/>
                <w:bottom w:val="none" w:sz="0" w:space="0" w:color="auto"/>
                <w:right w:val="none" w:sz="0" w:space="0" w:color="auto"/>
              </w:divBdr>
              <w:divsChild>
                <w:div w:id="957376947">
                  <w:marLeft w:val="0"/>
                  <w:marRight w:val="0"/>
                  <w:marTop w:val="0"/>
                  <w:marBottom w:val="0"/>
                  <w:divBdr>
                    <w:top w:val="none" w:sz="0" w:space="0" w:color="auto"/>
                    <w:left w:val="none" w:sz="0" w:space="0" w:color="auto"/>
                    <w:bottom w:val="none" w:sz="0" w:space="0" w:color="auto"/>
                    <w:right w:val="none" w:sz="0" w:space="0" w:color="auto"/>
                  </w:divBdr>
                  <w:divsChild>
                    <w:div w:id="7680426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634758">
      <w:bodyDiv w:val="1"/>
      <w:marLeft w:val="0"/>
      <w:marRight w:val="0"/>
      <w:marTop w:val="0"/>
      <w:marBottom w:val="0"/>
      <w:divBdr>
        <w:top w:val="none" w:sz="0" w:space="0" w:color="auto"/>
        <w:left w:val="none" w:sz="0" w:space="0" w:color="auto"/>
        <w:bottom w:val="none" w:sz="0" w:space="0" w:color="auto"/>
        <w:right w:val="none" w:sz="0" w:space="0" w:color="auto"/>
      </w:divBdr>
      <w:divsChild>
        <w:div w:id="977877311">
          <w:marLeft w:val="0"/>
          <w:marRight w:val="0"/>
          <w:marTop w:val="0"/>
          <w:marBottom w:val="0"/>
          <w:divBdr>
            <w:top w:val="none" w:sz="0" w:space="0" w:color="auto"/>
            <w:left w:val="none" w:sz="0" w:space="0" w:color="auto"/>
            <w:bottom w:val="none" w:sz="0" w:space="0" w:color="auto"/>
            <w:right w:val="none" w:sz="0" w:space="0" w:color="auto"/>
          </w:divBdr>
        </w:div>
        <w:div w:id="1595672113">
          <w:marLeft w:val="0"/>
          <w:marRight w:val="0"/>
          <w:marTop w:val="0"/>
          <w:marBottom w:val="0"/>
          <w:divBdr>
            <w:top w:val="none" w:sz="0" w:space="0" w:color="auto"/>
            <w:left w:val="none" w:sz="0" w:space="0" w:color="auto"/>
            <w:bottom w:val="none" w:sz="0" w:space="0" w:color="auto"/>
            <w:right w:val="none" w:sz="0" w:space="0" w:color="auto"/>
          </w:divBdr>
          <w:divsChild>
            <w:div w:id="653025199">
              <w:marLeft w:val="0"/>
              <w:marRight w:val="0"/>
              <w:marTop w:val="0"/>
              <w:marBottom w:val="0"/>
              <w:divBdr>
                <w:top w:val="none" w:sz="0" w:space="0" w:color="auto"/>
                <w:left w:val="none" w:sz="0" w:space="0" w:color="auto"/>
                <w:bottom w:val="none" w:sz="0" w:space="0" w:color="auto"/>
                <w:right w:val="none" w:sz="0" w:space="0" w:color="auto"/>
              </w:divBdr>
              <w:divsChild>
                <w:div w:id="495921666">
                  <w:marLeft w:val="-180"/>
                  <w:marRight w:val="-180"/>
                  <w:marTop w:val="0"/>
                  <w:marBottom w:val="0"/>
                  <w:divBdr>
                    <w:top w:val="none" w:sz="0" w:space="0" w:color="auto"/>
                    <w:left w:val="none" w:sz="0" w:space="0" w:color="auto"/>
                    <w:bottom w:val="none" w:sz="0" w:space="0" w:color="auto"/>
                    <w:right w:val="none" w:sz="0" w:space="0" w:color="auto"/>
                  </w:divBdr>
                  <w:divsChild>
                    <w:div w:id="890504526">
                      <w:marLeft w:val="0"/>
                      <w:marRight w:val="0"/>
                      <w:marTop w:val="0"/>
                      <w:marBottom w:val="0"/>
                      <w:divBdr>
                        <w:top w:val="none" w:sz="0" w:space="0" w:color="auto"/>
                        <w:left w:val="none" w:sz="0" w:space="0" w:color="auto"/>
                        <w:bottom w:val="none" w:sz="0" w:space="0" w:color="auto"/>
                        <w:right w:val="none" w:sz="0" w:space="0" w:color="auto"/>
                      </w:divBdr>
                    </w:div>
                    <w:div w:id="21594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2760166">
      <w:bodyDiv w:val="1"/>
      <w:marLeft w:val="0"/>
      <w:marRight w:val="0"/>
      <w:marTop w:val="0"/>
      <w:marBottom w:val="0"/>
      <w:divBdr>
        <w:top w:val="none" w:sz="0" w:space="0" w:color="auto"/>
        <w:left w:val="none" w:sz="0" w:space="0" w:color="auto"/>
        <w:bottom w:val="none" w:sz="0" w:space="0" w:color="auto"/>
        <w:right w:val="none" w:sz="0" w:space="0" w:color="auto"/>
      </w:divBdr>
      <w:divsChild>
        <w:div w:id="921255473">
          <w:marLeft w:val="-180"/>
          <w:marRight w:val="-180"/>
          <w:marTop w:val="0"/>
          <w:marBottom w:val="0"/>
          <w:divBdr>
            <w:top w:val="none" w:sz="0" w:space="0" w:color="auto"/>
            <w:left w:val="none" w:sz="0" w:space="0" w:color="auto"/>
            <w:bottom w:val="none" w:sz="0" w:space="0" w:color="auto"/>
            <w:right w:val="none" w:sz="0" w:space="0" w:color="auto"/>
          </w:divBdr>
          <w:divsChild>
            <w:div w:id="1958946787">
              <w:marLeft w:val="0"/>
              <w:marRight w:val="0"/>
              <w:marTop w:val="0"/>
              <w:marBottom w:val="0"/>
              <w:divBdr>
                <w:top w:val="none" w:sz="0" w:space="0" w:color="auto"/>
                <w:left w:val="none" w:sz="0" w:space="0" w:color="auto"/>
                <w:bottom w:val="none" w:sz="0" w:space="0" w:color="auto"/>
                <w:right w:val="none" w:sz="0" w:space="0" w:color="auto"/>
              </w:divBdr>
            </w:div>
          </w:divsChild>
        </w:div>
        <w:div w:id="3170038">
          <w:marLeft w:val="0"/>
          <w:marRight w:val="0"/>
          <w:marTop w:val="0"/>
          <w:marBottom w:val="180"/>
          <w:divBdr>
            <w:top w:val="none" w:sz="0" w:space="0" w:color="auto"/>
            <w:left w:val="none" w:sz="0" w:space="0" w:color="auto"/>
            <w:bottom w:val="none" w:sz="0" w:space="0" w:color="auto"/>
            <w:right w:val="none" w:sz="0" w:space="0" w:color="auto"/>
          </w:divBdr>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26276539">
      <w:bodyDiv w:val="1"/>
      <w:marLeft w:val="0"/>
      <w:marRight w:val="0"/>
      <w:marTop w:val="0"/>
      <w:marBottom w:val="0"/>
      <w:divBdr>
        <w:top w:val="none" w:sz="0" w:space="0" w:color="auto"/>
        <w:left w:val="none" w:sz="0" w:space="0" w:color="auto"/>
        <w:bottom w:val="none" w:sz="0" w:space="0" w:color="auto"/>
        <w:right w:val="none" w:sz="0" w:space="0" w:color="auto"/>
      </w:divBdr>
      <w:divsChild>
        <w:div w:id="356659785">
          <w:marLeft w:val="0"/>
          <w:marRight w:val="0"/>
          <w:marTop w:val="0"/>
          <w:marBottom w:val="0"/>
          <w:divBdr>
            <w:top w:val="none" w:sz="0" w:space="0" w:color="auto"/>
            <w:left w:val="none" w:sz="0" w:space="0" w:color="auto"/>
            <w:bottom w:val="none" w:sz="0" w:space="0" w:color="auto"/>
            <w:right w:val="none" w:sz="0" w:space="0" w:color="auto"/>
          </w:divBdr>
        </w:div>
        <w:div w:id="194581600">
          <w:marLeft w:val="0"/>
          <w:marRight w:val="0"/>
          <w:marTop w:val="0"/>
          <w:marBottom w:val="0"/>
          <w:divBdr>
            <w:top w:val="none" w:sz="0" w:space="0" w:color="auto"/>
            <w:left w:val="none" w:sz="0" w:space="0" w:color="auto"/>
            <w:bottom w:val="none" w:sz="0" w:space="0" w:color="auto"/>
            <w:right w:val="none" w:sz="0" w:space="0" w:color="auto"/>
          </w:divBdr>
          <w:divsChild>
            <w:div w:id="2015185001">
              <w:marLeft w:val="0"/>
              <w:marRight w:val="0"/>
              <w:marTop w:val="0"/>
              <w:marBottom w:val="0"/>
              <w:divBdr>
                <w:top w:val="none" w:sz="0" w:space="0" w:color="auto"/>
                <w:left w:val="none" w:sz="0" w:space="0" w:color="auto"/>
                <w:bottom w:val="none" w:sz="0" w:space="0" w:color="auto"/>
                <w:right w:val="none" w:sz="0" w:space="0" w:color="auto"/>
              </w:divBdr>
              <w:divsChild>
                <w:div w:id="437717306">
                  <w:marLeft w:val="-180"/>
                  <w:marRight w:val="-180"/>
                  <w:marTop w:val="0"/>
                  <w:marBottom w:val="0"/>
                  <w:divBdr>
                    <w:top w:val="none" w:sz="0" w:space="0" w:color="auto"/>
                    <w:left w:val="none" w:sz="0" w:space="0" w:color="auto"/>
                    <w:bottom w:val="none" w:sz="0" w:space="0" w:color="auto"/>
                    <w:right w:val="none" w:sz="0" w:space="0" w:color="auto"/>
                  </w:divBdr>
                  <w:divsChild>
                    <w:div w:id="1076316581">
                      <w:marLeft w:val="0"/>
                      <w:marRight w:val="0"/>
                      <w:marTop w:val="0"/>
                      <w:marBottom w:val="0"/>
                      <w:divBdr>
                        <w:top w:val="none" w:sz="0" w:space="0" w:color="auto"/>
                        <w:left w:val="none" w:sz="0" w:space="0" w:color="auto"/>
                        <w:bottom w:val="none" w:sz="0" w:space="0" w:color="auto"/>
                        <w:right w:val="none" w:sz="0" w:space="0" w:color="auto"/>
                      </w:divBdr>
                    </w:div>
                    <w:div w:id="16754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48203">
      <w:bodyDiv w:val="1"/>
      <w:marLeft w:val="0"/>
      <w:marRight w:val="0"/>
      <w:marTop w:val="0"/>
      <w:marBottom w:val="0"/>
      <w:divBdr>
        <w:top w:val="none" w:sz="0" w:space="0" w:color="auto"/>
        <w:left w:val="none" w:sz="0" w:space="0" w:color="auto"/>
        <w:bottom w:val="none" w:sz="0" w:space="0" w:color="auto"/>
        <w:right w:val="none" w:sz="0" w:space="0" w:color="auto"/>
      </w:divBdr>
    </w:div>
    <w:div w:id="647826002">
      <w:bodyDiv w:val="1"/>
      <w:marLeft w:val="0"/>
      <w:marRight w:val="0"/>
      <w:marTop w:val="0"/>
      <w:marBottom w:val="0"/>
      <w:divBdr>
        <w:top w:val="none" w:sz="0" w:space="0" w:color="auto"/>
        <w:left w:val="none" w:sz="0" w:space="0" w:color="auto"/>
        <w:bottom w:val="none" w:sz="0" w:space="0" w:color="auto"/>
        <w:right w:val="none" w:sz="0" w:space="0" w:color="auto"/>
      </w:divBdr>
      <w:divsChild>
        <w:div w:id="134491087">
          <w:marLeft w:val="0"/>
          <w:marRight w:val="0"/>
          <w:marTop w:val="0"/>
          <w:marBottom w:val="0"/>
          <w:divBdr>
            <w:top w:val="none" w:sz="0" w:space="0" w:color="auto"/>
            <w:left w:val="none" w:sz="0" w:space="0" w:color="auto"/>
            <w:bottom w:val="none" w:sz="0" w:space="0" w:color="auto"/>
            <w:right w:val="none" w:sz="0" w:space="0" w:color="auto"/>
          </w:divBdr>
        </w:div>
        <w:div w:id="610747348">
          <w:marLeft w:val="0"/>
          <w:marRight w:val="0"/>
          <w:marTop w:val="0"/>
          <w:marBottom w:val="0"/>
          <w:divBdr>
            <w:top w:val="none" w:sz="0" w:space="0" w:color="auto"/>
            <w:left w:val="none" w:sz="0" w:space="0" w:color="auto"/>
            <w:bottom w:val="none" w:sz="0" w:space="0" w:color="auto"/>
            <w:right w:val="none" w:sz="0" w:space="0" w:color="auto"/>
          </w:divBdr>
          <w:divsChild>
            <w:div w:id="1336417179">
              <w:marLeft w:val="0"/>
              <w:marRight w:val="0"/>
              <w:marTop w:val="0"/>
              <w:marBottom w:val="0"/>
              <w:divBdr>
                <w:top w:val="none" w:sz="0" w:space="0" w:color="auto"/>
                <w:left w:val="none" w:sz="0" w:space="0" w:color="auto"/>
                <w:bottom w:val="none" w:sz="0" w:space="0" w:color="auto"/>
                <w:right w:val="none" w:sz="0" w:space="0" w:color="auto"/>
              </w:divBdr>
              <w:divsChild>
                <w:div w:id="298151689">
                  <w:marLeft w:val="-180"/>
                  <w:marRight w:val="-180"/>
                  <w:marTop w:val="0"/>
                  <w:marBottom w:val="0"/>
                  <w:divBdr>
                    <w:top w:val="none" w:sz="0" w:space="0" w:color="auto"/>
                    <w:left w:val="none" w:sz="0" w:space="0" w:color="auto"/>
                    <w:bottom w:val="none" w:sz="0" w:space="0" w:color="auto"/>
                    <w:right w:val="none" w:sz="0" w:space="0" w:color="auto"/>
                  </w:divBdr>
                  <w:divsChild>
                    <w:div w:id="1016031614">
                      <w:marLeft w:val="0"/>
                      <w:marRight w:val="0"/>
                      <w:marTop w:val="0"/>
                      <w:marBottom w:val="0"/>
                      <w:divBdr>
                        <w:top w:val="none" w:sz="0" w:space="0" w:color="auto"/>
                        <w:left w:val="none" w:sz="0" w:space="0" w:color="auto"/>
                        <w:bottom w:val="none" w:sz="0" w:space="0" w:color="auto"/>
                        <w:right w:val="none" w:sz="0" w:space="0" w:color="auto"/>
                      </w:divBdr>
                    </w:div>
                    <w:div w:id="10672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4138372">
      <w:bodyDiv w:val="1"/>
      <w:marLeft w:val="0"/>
      <w:marRight w:val="0"/>
      <w:marTop w:val="0"/>
      <w:marBottom w:val="0"/>
      <w:divBdr>
        <w:top w:val="none" w:sz="0" w:space="0" w:color="auto"/>
        <w:left w:val="none" w:sz="0" w:space="0" w:color="auto"/>
        <w:bottom w:val="none" w:sz="0" w:space="0" w:color="auto"/>
        <w:right w:val="none" w:sz="0" w:space="0" w:color="auto"/>
      </w:divBdr>
      <w:divsChild>
        <w:div w:id="101537974">
          <w:marLeft w:val="0"/>
          <w:marRight w:val="0"/>
          <w:marTop w:val="0"/>
          <w:marBottom w:val="375"/>
          <w:divBdr>
            <w:top w:val="none" w:sz="0" w:space="0" w:color="auto"/>
            <w:left w:val="none" w:sz="0" w:space="0" w:color="auto"/>
            <w:bottom w:val="none" w:sz="0" w:space="0" w:color="auto"/>
            <w:right w:val="none" w:sz="0" w:space="0" w:color="auto"/>
          </w:divBdr>
          <w:divsChild>
            <w:div w:id="2077703566">
              <w:marLeft w:val="0"/>
              <w:marRight w:val="0"/>
              <w:marTop w:val="0"/>
              <w:marBottom w:val="0"/>
              <w:divBdr>
                <w:top w:val="none" w:sz="0" w:space="0" w:color="auto"/>
                <w:left w:val="none" w:sz="0" w:space="0" w:color="auto"/>
                <w:bottom w:val="none" w:sz="0" w:space="0" w:color="auto"/>
                <w:right w:val="none" w:sz="0" w:space="0" w:color="auto"/>
              </w:divBdr>
              <w:divsChild>
                <w:div w:id="191150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776">
          <w:marLeft w:val="0"/>
          <w:marRight w:val="0"/>
          <w:marTop w:val="0"/>
          <w:marBottom w:val="0"/>
          <w:divBdr>
            <w:top w:val="none" w:sz="0" w:space="0" w:color="auto"/>
            <w:left w:val="none" w:sz="0" w:space="0" w:color="auto"/>
            <w:bottom w:val="none" w:sz="0" w:space="0" w:color="auto"/>
            <w:right w:val="none" w:sz="0" w:space="0" w:color="auto"/>
          </w:divBdr>
          <w:divsChild>
            <w:div w:id="1863587272">
              <w:marLeft w:val="0"/>
              <w:marRight w:val="0"/>
              <w:marTop w:val="0"/>
              <w:marBottom w:val="0"/>
              <w:divBdr>
                <w:top w:val="none" w:sz="0" w:space="0" w:color="auto"/>
                <w:left w:val="none" w:sz="0" w:space="0" w:color="auto"/>
                <w:bottom w:val="none" w:sz="0" w:space="0" w:color="auto"/>
                <w:right w:val="none" w:sz="0" w:space="0" w:color="auto"/>
              </w:divBdr>
              <w:divsChild>
                <w:div w:id="353776082">
                  <w:marLeft w:val="-180"/>
                  <w:marRight w:val="-180"/>
                  <w:marTop w:val="0"/>
                  <w:marBottom w:val="0"/>
                  <w:divBdr>
                    <w:top w:val="none" w:sz="0" w:space="0" w:color="auto"/>
                    <w:left w:val="none" w:sz="0" w:space="0" w:color="auto"/>
                    <w:bottom w:val="none" w:sz="0" w:space="0" w:color="auto"/>
                    <w:right w:val="none" w:sz="0" w:space="0" w:color="auto"/>
                  </w:divBdr>
                  <w:divsChild>
                    <w:div w:id="14857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599650">
      <w:bodyDiv w:val="1"/>
      <w:marLeft w:val="0"/>
      <w:marRight w:val="0"/>
      <w:marTop w:val="0"/>
      <w:marBottom w:val="0"/>
      <w:divBdr>
        <w:top w:val="none" w:sz="0" w:space="0" w:color="auto"/>
        <w:left w:val="none" w:sz="0" w:space="0" w:color="auto"/>
        <w:bottom w:val="none" w:sz="0" w:space="0" w:color="auto"/>
        <w:right w:val="none" w:sz="0" w:space="0" w:color="auto"/>
      </w:divBdr>
      <w:divsChild>
        <w:div w:id="426120261">
          <w:marLeft w:val="0"/>
          <w:marRight w:val="0"/>
          <w:marTop w:val="0"/>
          <w:marBottom w:val="0"/>
          <w:divBdr>
            <w:top w:val="none" w:sz="0" w:space="0" w:color="auto"/>
            <w:left w:val="none" w:sz="0" w:space="0" w:color="auto"/>
            <w:bottom w:val="none" w:sz="0" w:space="0" w:color="auto"/>
            <w:right w:val="none" w:sz="0" w:space="0" w:color="auto"/>
          </w:divBdr>
        </w:div>
        <w:div w:id="693264255">
          <w:marLeft w:val="0"/>
          <w:marRight w:val="0"/>
          <w:marTop w:val="0"/>
          <w:marBottom w:val="0"/>
          <w:divBdr>
            <w:top w:val="none" w:sz="0" w:space="0" w:color="auto"/>
            <w:left w:val="none" w:sz="0" w:space="0" w:color="auto"/>
            <w:bottom w:val="none" w:sz="0" w:space="0" w:color="auto"/>
            <w:right w:val="none" w:sz="0" w:space="0" w:color="auto"/>
          </w:divBdr>
          <w:divsChild>
            <w:div w:id="1592011640">
              <w:marLeft w:val="0"/>
              <w:marRight w:val="0"/>
              <w:marTop w:val="0"/>
              <w:marBottom w:val="0"/>
              <w:divBdr>
                <w:top w:val="none" w:sz="0" w:space="0" w:color="auto"/>
                <w:left w:val="none" w:sz="0" w:space="0" w:color="auto"/>
                <w:bottom w:val="none" w:sz="0" w:space="0" w:color="auto"/>
                <w:right w:val="none" w:sz="0" w:space="0" w:color="auto"/>
              </w:divBdr>
              <w:divsChild>
                <w:div w:id="926885924">
                  <w:marLeft w:val="0"/>
                  <w:marRight w:val="0"/>
                  <w:marTop w:val="0"/>
                  <w:marBottom w:val="0"/>
                  <w:divBdr>
                    <w:top w:val="none" w:sz="0" w:space="0" w:color="auto"/>
                    <w:left w:val="none" w:sz="0" w:space="0" w:color="auto"/>
                    <w:bottom w:val="none" w:sz="0" w:space="0" w:color="auto"/>
                    <w:right w:val="none" w:sz="0" w:space="0" w:color="auto"/>
                  </w:divBdr>
                </w:div>
                <w:div w:id="901252169">
                  <w:marLeft w:val="0"/>
                  <w:marRight w:val="0"/>
                  <w:marTop w:val="0"/>
                  <w:marBottom w:val="0"/>
                  <w:divBdr>
                    <w:top w:val="none" w:sz="0" w:space="0" w:color="auto"/>
                    <w:left w:val="none" w:sz="0" w:space="0" w:color="auto"/>
                    <w:bottom w:val="none" w:sz="0" w:space="0" w:color="auto"/>
                    <w:right w:val="none" w:sz="0" w:space="0" w:color="auto"/>
                  </w:divBdr>
                  <w:divsChild>
                    <w:div w:id="2038651201">
                      <w:marLeft w:val="0"/>
                      <w:marRight w:val="0"/>
                      <w:marTop w:val="0"/>
                      <w:marBottom w:val="0"/>
                      <w:divBdr>
                        <w:top w:val="none" w:sz="0" w:space="0" w:color="auto"/>
                        <w:left w:val="none" w:sz="0" w:space="0" w:color="auto"/>
                        <w:bottom w:val="none" w:sz="0" w:space="0" w:color="auto"/>
                        <w:right w:val="none" w:sz="0" w:space="0" w:color="auto"/>
                      </w:divBdr>
                      <w:divsChild>
                        <w:div w:id="586157066">
                          <w:marLeft w:val="-180"/>
                          <w:marRight w:val="-180"/>
                          <w:marTop w:val="0"/>
                          <w:marBottom w:val="0"/>
                          <w:divBdr>
                            <w:top w:val="none" w:sz="0" w:space="0" w:color="auto"/>
                            <w:left w:val="none" w:sz="0" w:space="0" w:color="auto"/>
                            <w:bottom w:val="none" w:sz="0" w:space="0" w:color="auto"/>
                            <w:right w:val="none" w:sz="0" w:space="0" w:color="auto"/>
                          </w:divBdr>
                          <w:divsChild>
                            <w:div w:id="333534853">
                              <w:marLeft w:val="0"/>
                              <w:marRight w:val="0"/>
                              <w:marTop w:val="0"/>
                              <w:marBottom w:val="0"/>
                              <w:divBdr>
                                <w:top w:val="none" w:sz="0" w:space="0" w:color="auto"/>
                                <w:left w:val="none" w:sz="0" w:space="0" w:color="auto"/>
                                <w:bottom w:val="none" w:sz="0" w:space="0" w:color="auto"/>
                                <w:right w:val="none" w:sz="0" w:space="0" w:color="auto"/>
                              </w:divBdr>
                            </w:div>
                            <w:div w:id="137515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639178">
      <w:bodyDiv w:val="1"/>
      <w:marLeft w:val="0"/>
      <w:marRight w:val="0"/>
      <w:marTop w:val="0"/>
      <w:marBottom w:val="0"/>
      <w:divBdr>
        <w:top w:val="none" w:sz="0" w:space="0" w:color="auto"/>
        <w:left w:val="none" w:sz="0" w:space="0" w:color="auto"/>
        <w:bottom w:val="none" w:sz="0" w:space="0" w:color="auto"/>
        <w:right w:val="none" w:sz="0" w:space="0" w:color="auto"/>
      </w:divBdr>
      <w:divsChild>
        <w:div w:id="1643971262">
          <w:marLeft w:val="0"/>
          <w:marRight w:val="0"/>
          <w:marTop w:val="0"/>
          <w:marBottom w:val="0"/>
          <w:divBdr>
            <w:top w:val="none" w:sz="0" w:space="0" w:color="auto"/>
            <w:left w:val="none" w:sz="0" w:space="0" w:color="auto"/>
            <w:bottom w:val="none" w:sz="0" w:space="0" w:color="auto"/>
            <w:right w:val="none" w:sz="0" w:space="0" w:color="auto"/>
          </w:divBdr>
        </w:div>
        <w:div w:id="533344978">
          <w:marLeft w:val="0"/>
          <w:marRight w:val="0"/>
          <w:marTop w:val="0"/>
          <w:marBottom w:val="0"/>
          <w:divBdr>
            <w:top w:val="none" w:sz="0" w:space="0" w:color="auto"/>
            <w:left w:val="none" w:sz="0" w:space="0" w:color="auto"/>
            <w:bottom w:val="none" w:sz="0" w:space="0" w:color="auto"/>
            <w:right w:val="none" w:sz="0" w:space="0" w:color="auto"/>
          </w:divBdr>
          <w:divsChild>
            <w:div w:id="226191308">
              <w:marLeft w:val="0"/>
              <w:marRight w:val="0"/>
              <w:marTop w:val="0"/>
              <w:marBottom w:val="0"/>
              <w:divBdr>
                <w:top w:val="none" w:sz="0" w:space="0" w:color="auto"/>
                <w:left w:val="none" w:sz="0" w:space="0" w:color="auto"/>
                <w:bottom w:val="none" w:sz="0" w:space="0" w:color="auto"/>
                <w:right w:val="none" w:sz="0" w:space="0" w:color="auto"/>
              </w:divBdr>
              <w:divsChild>
                <w:div w:id="694817222">
                  <w:marLeft w:val="0"/>
                  <w:marRight w:val="0"/>
                  <w:marTop w:val="0"/>
                  <w:marBottom w:val="0"/>
                  <w:divBdr>
                    <w:top w:val="none" w:sz="0" w:space="0" w:color="auto"/>
                    <w:left w:val="none" w:sz="0" w:space="0" w:color="auto"/>
                    <w:bottom w:val="none" w:sz="0" w:space="0" w:color="auto"/>
                    <w:right w:val="none" w:sz="0" w:space="0" w:color="auto"/>
                  </w:divBdr>
                </w:div>
                <w:div w:id="60373777">
                  <w:marLeft w:val="0"/>
                  <w:marRight w:val="0"/>
                  <w:marTop w:val="0"/>
                  <w:marBottom w:val="0"/>
                  <w:divBdr>
                    <w:top w:val="none" w:sz="0" w:space="0" w:color="auto"/>
                    <w:left w:val="none" w:sz="0" w:space="0" w:color="auto"/>
                    <w:bottom w:val="none" w:sz="0" w:space="0" w:color="auto"/>
                    <w:right w:val="none" w:sz="0" w:space="0" w:color="auto"/>
                  </w:divBdr>
                  <w:divsChild>
                    <w:div w:id="2098281940">
                      <w:marLeft w:val="0"/>
                      <w:marRight w:val="0"/>
                      <w:marTop w:val="0"/>
                      <w:marBottom w:val="0"/>
                      <w:divBdr>
                        <w:top w:val="none" w:sz="0" w:space="0" w:color="auto"/>
                        <w:left w:val="none" w:sz="0" w:space="0" w:color="auto"/>
                        <w:bottom w:val="none" w:sz="0" w:space="0" w:color="auto"/>
                        <w:right w:val="none" w:sz="0" w:space="0" w:color="auto"/>
                      </w:divBdr>
                      <w:divsChild>
                        <w:div w:id="1194346801">
                          <w:marLeft w:val="-180"/>
                          <w:marRight w:val="-180"/>
                          <w:marTop w:val="0"/>
                          <w:marBottom w:val="0"/>
                          <w:divBdr>
                            <w:top w:val="none" w:sz="0" w:space="0" w:color="auto"/>
                            <w:left w:val="none" w:sz="0" w:space="0" w:color="auto"/>
                            <w:bottom w:val="none" w:sz="0" w:space="0" w:color="auto"/>
                            <w:right w:val="none" w:sz="0" w:space="0" w:color="auto"/>
                          </w:divBdr>
                          <w:divsChild>
                            <w:div w:id="1916623642">
                              <w:marLeft w:val="0"/>
                              <w:marRight w:val="0"/>
                              <w:marTop w:val="0"/>
                              <w:marBottom w:val="0"/>
                              <w:divBdr>
                                <w:top w:val="none" w:sz="0" w:space="0" w:color="auto"/>
                                <w:left w:val="none" w:sz="0" w:space="0" w:color="auto"/>
                                <w:bottom w:val="none" w:sz="0" w:space="0" w:color="auto"/>
                                <w:right w:val="none" w:sz="0" w:space="0" w:color="auto"/>
                              </w:divBdr>
                            </w:div>
                            <w:div w:id="60562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918646">
      <w:bodyDiv w:val="1"/>
      <w:marLeft w:val="0"/>
      <w:marRight w:val="0"/>
      <w:marTop w:val="0"/>
      <w:marBottom w:val="0"/>
      <w:divBdr>
        <w:top w:val="none" w:sz="0" w:space="0" w:color="auto"/>
        <w:left w:val="none" w:sz="0" w:space="0" w:color="auto"/>
        <w:bottom w:val="none" w:sz="0" w:space="0" w:color="auto"/>
        <w:right w:val="none" w:sz="0" w:space="0" w:color="auto"/>
      </w:divBdr>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21260">
      <w:bodyDiv w:val="1"/>
      <w:marLeft w:val="0"/>
      <w:marRight w:val="0"/>
      <w:marTop w:val="0"/>
      <w:marBottom w:val="0"/>
      <w:divBdr>
        <w:top w:val="none" w:sz="0" w:space="0" w:color="auto"/>
        <w:left w:val="none" w:sz="0" w:space="0" w:color="auto"/>
        <w:bottom w:val="none" w:sz="0" w:space="0" w:color="auto"/>
        <w:right w:val="none" w:sz="0" w:space="0" w:color="auto"/>
      </w:divBdr>
      <w:divsChild>
        <w:div w:id="623922886">
          <w:marLeft w:val="0"/>
          <w:marRight w:val="0"/>
          <w:marTop w:val="0"/>
          <w:marBottom w:val="0"/>
          <w:divBdr>
            <w:top w:val="none" w:sz="0" w:space="0" w:color="auto"/>
            <w:left w:val="none" w:sz="0" w:space="0" w:color="auto"/>
            <w:bottom w:val="none" w:sz="0" w:space="0" w:color="auto"/>
            <w:right w:val="none" w:sz="0" w:space="0" w:color="auto"/>
          </w:divBdr>
        </w:div>
        <w:div w:id="1677224952">
          <w:marLeft w:val="0"/>
          <w:marRight w:val="0"/>
          <w:marTop w:val="0"/>
          <w:marBottom w:val="0"/>
          <w:divBdr>
            <w:top w:val="none" w:sz="0" w:space="0" w:color="auto"/>
            <w:left w:val="none" w:sz="0" w:space="0" w:color="auto"/>
            <w:bottom w:val="none" w:sz="0" w:space="0" w:color="auto"/>
            <w:right w:val="none" w:sz="0" w:space="0" w:color="auto"/>
          </w:divBdr>
          <w:divsChild>
            <w:div w:id="283777378">
              <w:marLeft w:val="0"/>
              <w:marRight w:val="0"/>
              <w:marTop w:val="0"/>
              <w:marBottom w:val="0"/>
              <w:divBdr>
                <w:top w:val="none" w:sz="0" w:space="0" w:color="auto"/>
                <w:left w:val="none" w:sz="0" w:space="0" w:color="auto"/>
                <w:bottom w:val="none" w:sz="0" w:space="0" w:color="auto"/>
                <w:right w:val="none" w:sz="0" w:space="0" w:color="auto"/>
              </w:divBdr>
              <w:divsChild>
                <w:div w:id="1141463350">
                  <w:marLeft w:val="-180"/>
                  <w:marRight w:val="-180"/>
                  <w:marTop w:val="0"/>
                  <w:marBottom w:val="0"/>
                  <w:divBdr>
                    <w:top w:val="none" w:sz="0" w:space="0" w:color="auto"/>
                    <w:left w:val="none" w:sz="0" w:space="0" w:color="auto"/>
                    <w:bottom w:val="none" w:sz="0" w:space="0" w:color="auto"/>
                    <w:right w:val="none" w:sz="0" w:space="0" w:color="auto"/>
                  </w:divBdr>
                  <w:divsChild>
                    <w:div w:id="330061571">
                      <w:marLeft w:val="0"/>
                      <w:marRight w:val="0"/>
                      <w:marTop w:val="0"/>
                      <w:marBottom w:val="0"/>
                      <w:divBdr>
                        <w:top w:val="none" w:sz="0" w:space="0" w:color="auto"/>
                        <w:left w:val="none" w:sz="0" w:space="0" w:color="auto"/>
                        <w:bottom w:val="none" w:sz="0" w:space="0" w:color="auto"/>
                        <w:right w:val="none" w:sz="0" w:space="0" w:color="auto"/>
                      </w:divBdr>
                    </w:div>
                    <w:div w:id="6956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6556300">
      <w:bodyDiv w:val="1"/>
      <w:marLeft w:val="0"/>
      <w:marRight w:val="0"/>
      <w:marTop w:val="0"/>
      <w:marBottom w:val="0"/>
      <w:divBdr>
        <w:top w:val="none" w:sz="0" w:space="0" w:color="auto"/>
        <w:left w:val="none" w:sz="0" w:space="0" w:color="auto"/>
        <w:bottom w:val="none" w:sz="0" w:space="0" w:color="auto"/>
        <w:right w:val="none" w:sz="0" w:space="0" w:color="auto"/>
      </w:divBdr>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48758">
      <w:bodyDiv w:val="1"/>
      <w:marLeft w:val="0"/>
      <w:marRight w:val="0"/>
      <w:marTop w:val="0"/>
      <w:marBottom w:val="0"/>
      <w:divBdr>
        <w:top w:val="none" w:sz="0" w:space="0" w:color="auto"/>
        <w:left w:val="none" w:sz="0" w:space="0" w:color="auto"/>
        <w:bottom w:val="none" w:sz="0" w:space="0" w:color="auto"/>
        <w:right w:val="none" w:sz="0" w:space="0" w:color="auto"/>
      </w:divBdr>
      <w:divsChild>
        <w:div w:id="1958558558">
          <w:marLeft w:val="0"/>
          <w:marRight w:val="0"/>
          <w:marTop w:val="0"/>
          <w:marBottom w:val="180"/>
          <w:divBdr>
            <w:top w:val="none" w:sz="0" w:space="0" w:color="auto"/>
            <w:left w:val="none" w:sz="0" w:space="0" w:color="auto"/>
            <w:bottom w:val="none" w:sz="0" w:space="0" w:color="auto"/>
            <w:right w:val="none" w:sz="0" w:space="0" w:color="auto"/>
          </w:divBdr>
        </w:div>
        <w:div w:id="1274825958">
          <w:marLeft w:val="-180"/>
          <w:marRight w:val="-180"/>
          <w:marTop w:val="0"/>
          <w:marBottom w:val="0"/>
          <w:divBdr>
            <w:top w:val="none" w:sz="0" w:space="0" w:color="auto"/>
            <w:left w:val="none" w:sz="0" w:space="0" w:color="auto"/>
            <w:bottom w:val="none" w:sz="0" w:space="0" w:color="auto"/>
            <w:right w:val="none" w:sz="0" w:space="0" w:color="auto"/>
          </w:divBdr>
          <w:divsChild>
            <w:div w:id="6787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8667549">
      <w:bodyDiv w:val="1"/>
      <w:marLeft w:val="0"/>
      <w:marRight w:val="0"/>
      <w:marTop w:val="0"/>
      <w:marBottom w:val="0"/>
      <w:divBdr>
        <w:top w:val="none" w:sz="0" w:space="0" w:color="auto"/>
        <w:left w:val="none" w:sz="0" w:space="0" w:color="auto"/>
        <w:bottom w:val="none" w:sz="0" w:space="0" w:color="auto"/>
        <w:right w:val="none" w:sz="0" w:space="0" w:color="auto"/>
      </w:divBdr>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18098">
      <w:bodyDiv w:val="1"/>
      <w:marLeft w:val="0"/>
      <w:marRight w:val="0"/>
      <w:marTop w:val="0"/>
      <w:marBottom w:val="0"/>
      <w:divBdr>
        <w:top w:val="none" w:sz="0" w:space="0" w:color="auto"/>
        <w:left w:val="none" w:sz="0" w:space="0" w:color="auto"/>
        <w:bottom w:val="none" w:sz="0" w:space="0" w:color="auto"/>
        <w:right w:val="none" w:sz="0" w:space="0" w:color="auto"/>
      </w:divBdr>
      <w:divsChild>
        <w:div w:id="2136287877">
          <w:marLeft w:val="0"/>
          <w:marRight w:val="0"/>
          <w:marTop w:val="0"/>
          <w:marBottom w:val="0"/>
          <w:divBdr>
            <w:top w:val="none" w:sz="0" w:space="0" w:color="auto"/>
            <w:left w:val="none" w:sz="0" w:space="0" w:color="auto"/>
            <w:bottom w:val="none" w:sz="0" w:space="0" w:color="auto"/>
            <w:right w:val="none" w:sz="0" w:space="0" w:color="auto"/>
          </w:divBdr>
        </w:div>
        <w:div w:id="633021087">
          <w:marLeft w:val="0"/>
          <w:marRight w:val="0"/>
          <w:marTop w:val="0"/>
          <w:marBottom w:val="0"/>
          <w:divBdr>
            <w:top w:val="none" w:sz="0" w:space="0" w:color="auto"/>
            <w:left w:val="none" w:sz="0" w:space="0" w:color="auto"/>
            <w:bottom w:val="none" w:sz="0" w:space="0" w:color="auto"/>
            <w:right w:val="none" w:sz="0" w:space="0" w:color="auto"/>
          </w:divBdr>
          <w:divsChild>
            <w:div w:id="468599613">
              <w:marLeft w:val="0"/>
              <w:marRight w:val="0"/>
              <w:marTop w:val="0"/>
              <w:marBottom w:val="0"/>
              <w:divBdr>
                <w:top w:val="none" w:sz="0" w:space="0" w:color="auto"/>
                <w:left w:val="none" w:sz="0" w:space="0" w:color="auto"/>
                <w:bottom w:val="none" w:sz="0" w:space="0" w:color="auto"/>
                <w:right w:val="none" w:sz="0" w:space="0" w:color="auto"/>
              </w:divBdr>
              <w:divsChild>
                <w:div w:id="408040466">
                  <w:marLeft w:val="-180"/>
                  <w:marRight w:val="-180"/>
                  <w:marTop w:val="0"/>
                  <w:marBottom w:val="0"/>
                  <w:divBdr>
                    <w:top w:val="none" w:sz="0" w:space="0" w:color="auto"/>
                    <w:left w:val="none" w:sz="0" w:space="0" w:color="auto"/>
                    <w:bottom w:val="none" w:sz="0" w:space="0" w:color="auto"/>
                    <w:right w:val="none" w:sz="0" w:space="0" w:color="auto"/>
                  </w:divBdr>
                  <w:divsChild>
                    <w:div w:id="905072873">
                      <w:marLeft w:val="0"/>
                      <w:marRight w:val="0"/>
                      <w:marTop w:val="0"/>
                      <w:marBottom w:val="0"/>
                      <w:divBdr>
                        <w:top w:val="none" w:sz="0" w:space="0" w:color="auto"/>
                        <w:left w:val="none" w:sz="0" w:space="0" w:color="auto"/>
                        <w:bottom w:val="none" w:sz="0" w:space="0" w:color="auto"/>
                        <w:right w:val="none" w:sz="0" w:space="0" w:color="auto"/>
                      </w:divBdr>
                    </w:div>
                    <w:div w:id="21536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652321">
      <w:bodyDiv w:val="1"/>
      <w:marLeft w:val="0"/>
      <w:marRight w:val="0"/>
      <w:marTop w:val="0"/>
      <w:marBottom w:val="0"/>
      <w:divBdr>
        <w:top w:val="none" w:sz="0" w:space="0" w:color="auto"/>
        <w:left w:val="none" w:sz="0" w:space="0" w:color="auto"/>
        <w:bottom w:val="none" w:sz="0" w:space="0" w:color="auto"/>
        <w:right w:val="none" w:sz="0" w:space="0" w:color="auto"/>
      </w:divBdr>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599422">
      <w:bodyDiv w:val="1"/>
      <w:marLeft w:val="0"/>
      <w:marRight w:val="0"/>
      <w:marTop w:val="0"/>
      <w:marBottom w:val="0"/>
      <w:divBdr>
        <w:top w:val="none" w:sz="0" w:space="0" w:color="auto"/>
        <w:left w:val="none" w:sz="0" w:space="0" w:color="auto"/>
        <w:bottom w:val="none" w:sz="0" w:space="0" w:color="auto"/>
        <w:right w:val="none" w:sz="0" w:space="0" w:color="auto"/>
      </w:divBdr>
      <w:divsChild>
        <w:div w:id="1299916504">
          <w:marLeft w:val="0"/>
          <w:marRight w:val="0"/>
          <w:marTop w:val="0"/>
          <w:marBottom w:val="0"/>
          <w:divBdr>
            <w:top w:val="none" w:sz="0" w:space="0" w:color="auto"/>
            <w:left w:val="none" w:sz="0" w:space="0" w:color="auto"/>
            <w:bottom w:val="none" w:sz="0" w:space="0" w:color="auto"/>
            <w:right w:val="none" w:sz="0" w:space="0" w:color="auto"/>
          </w:divBdr>
        </w:div>
        <w:div w:id="837841496">
          <w:marLeft w:val="0"/>
          <w:marRight w:val="0"/>
          <w:marTop w:val="0"/>
          <w:marBottom w:val="0"/>
          <w:divBdr>
            <w:top w:val="none" w:sz="0" w:space="0" w:color="auto"/>
            <w:left w:val="none" w:sz="0" w:space="0" w:color="auto"/>
            <w:bottom w:val="none" w:sz="0" w:space="0" w:color="auto"/>
            <w:right w:val="none" w:sz="0" w:space="0" w:color="auto"/>
          </w:divBdr>
          <w:divsChild>
            <w:div w:id="918372461">
              <w:marLeft w:val="0"/>
              <w:marRight w:val="0"/>
              <w:marTop w:val="0"/>
              <w:marBottom w:val="0"/>
              <w:divBdr>
                <w:top w:val="none" w:sz="0" w:space="0" w:color="auto"/>
                <w:left w:val="none" w:sz="0" w:space="0" w:color="auto"/>
                <w:bottom w:val="none" w:sz="0" w:space="0" w:color="auto"/>
                <w:right w:val="none" w:sz="0" w:space="0" w:color="auto"/>
              </w:divBdr>
              <w:divsChild>
                <w:div w:id="634071067">
                  <w:marLeft w:val="-180"/>
                  <w:marRight w:val="-180"/>
                  <w:marTop w:val="0"/>
                  <w:marBottom w:val="0"/>
                  <w:divBdr>
                    <w:top w:val="none" w:sz="0" w:space="0" w:color="auto"/>
                    <w:left w:val="none" w:sz="0" w:space="0" w:color="auto"/>
                    <w:bottom w:val="none" w:sz="0" w:space="0" w:color="auto"/>
                    <w:right w:val="none" w:sz="0" w:space="0" w:color="auto"/>
                  </w:divBdr>
                  <w:divsChild>
                    <w:div w:id="317003939">
                      <w:marLeft w:val="0"/>
                      <w:marRight w:val="0"/>
                      <w:marTop w:val="0"/>
                      <w:marBottom w:val="0"/>
                      <w:divBdr>
                        <w:top w:val="none" w:sz="0" w:space="0" w:color="auto"/>
                        <w:left w:val="none" w:sz="0" w:space="0" w:color="auto"/>
                        <w:bottom w:val="none" w:sz="0" w:space="0" w:color="auto"/>
                        <w:right w:val="none" w:sz="0" w:space="0" w:color="auto"/>
                      </w:divBdr>
                    </w:div>
                    <w:div w:id="80173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0042631">
      <w:bodyDiv w:val="1"/>
      <w:marLeft w:val="0"/>
      <w:marRight w:val="0"/>
      <w:marTop w:val="0"/>
      <w:marBottom w:val="0"/>
      <w:divBdr>
        <w:top w:val="none" w:sz="0" w:space="0" w:color="auto"/>
        <w:left w:val="none" w:sz="0" w:space="0" w:color="auto"/>
        <w:bottom w:val="none" w:sz="0" w:space="0" w:color="auto"/>
        <w:right w:val="none" w:sz="0" w:space="0" w:color="auto"/>
      </w:divBdr>
      <w:divsChild>
        <w:div w:id="857231470">
          <w:marLeft w:val="-180"/>
          <w:marRight w:val="-180"/>
          <w:marTop w:val="0"/>
          <w:marBottom w:val="0"/>
          <w:divBdr>
            <w:top w:val="none" w:sz="0" w:space="0" w:color="auto"/>
            <w:left w:val="none" w:sz="0" w:space="0" w:color="auto"/>
            <w:bottom w:val="none" w:sz="0" w:space="0" w:color="auto"/>
            <w:right w:val="none" w:sz="0" w:space="0" w:color="auto"/>
          </w:divBdr>
          <w:divsChild>
            <w:div w:id="1386611530">
              <w:marLeft w:val="0"/>
              <w:marRight w:val="0"/>
              <w:marTop w:val="0"/>
              <w:marBottom w:val="0"/>
              <w:divBdr>
                <w:top w:val="none" w:sz="0" w:space="0" w:color="auto"/>
                <w:left w:val="none" w:sz="0" w:space="0" w:color="auto"/>
                <w:bottom w:val="none" w:sz="0" w:space="0" w:color="auto"/>
                <w:right w:val="none" w:sz="0" w:space="0" w:color="auto"/>
              </w:divBdr>
              <w:divsChild>
                <w:div w:id="203110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869414">
      <w:bodyDiv w:val="1"/>
      <w:marLeft w:val="0"/>
      <w:marRight w:val="0"/>
      <w:marTop w:val="0"/>
      <w:marBottom w:val="0"/>
      <w:divBdr>
        <w:top w:val="none" w:sz="0" w:space="0" w:color="auto"/>
        <w:left w:val="none" w:sz="0" w:space="0" w:color="auto"/>
        <w:bottom w:val="none" w:sz="0" w:space="0" w:color="auto"/>
        <w:right w:val="none" w:sz="0" w:space="0" w:color="auto"/>
      </w:divBdr>
      <w:divsChild>
        <w:div w:id="918830368">
          <w:marLeft w:val="0"/>
          <w:marRight w:val="0"/>
          <w:marTop w:val="0"/>
          <w:marBottom w:val="0"/>
          <w:divBdr>
            <w:top w:val="none" w:sz="0" w:space="0" w:color="auto"/>
            <w:left w:val="none" w:sz="0" w:space="0" w:color="auto"/>
            <w:bottom w:val="none" w:sz="0" w:space="0" w:color="auto"/>
            <w:right w:val="none" w:sz="0" w:space="0" w:color="auto"/>
          </w:divBdr>
        </w:div>
        <w:div w:id="68386454">
          <w:marLeft w:val="0"/>
          <w:marRight w:val="0"/>
          <w:marTop w:val="0"/>
          <w:marBottom w:val="0"/>
          <w:divBdr>
            <w:top w:val="none" w:sz="0" w:space="0" w:color="auto"/>
            <w:left w:val="none" w:sz="0" w:space="0" w:color="auto"/>
            <w:bottom w:val="none" w:sz="0" w:space="0" w:color="auto"/>
            <w:right w:val="none" w:sz="0" w:space="0" w:color="auto"/>
          </w:divBdr>
        </w:div>
        <w:div w:id="1568415444">
          <w:marLeft w:val="0"/>
          <w:marRight w:val="0"/>
          <w:marTop w:val="0"/>
          <w:marBottom w:val="0"/>
          <w:divBdr>
            <w:top w:val="none" w:sz="0" w:space="0" w:color="auto"/>
            <w:left w:val="none" w:sz="0" w:space="0" w:color="auto"/>
            <w:bottom w:val="none" w:sz="0" w:space="0" w:color="auto"/>
            <w:right w:val="none" w:sz="0" w:space="0" w:color="auto"/>
          </w:divBdr>
        </w:div>
        <w:div w:id="1237210333">
          <w:marLeft w:val="0"/>
          <w:marRight w:val="0"/>
          <w:marTop w:val="0"/>
          <w:marBottom w:val="0"/>
          <w:divBdr>
            <w:top w:val="none" w:sz="0" w:space="0" w:color="auto"/>
            <w:left w:val="none" w:sz="0" w:space="0" w:color="auto"/>
            <w:bottom w:val="none" w:sz="0" w:space="0" w:color="auto"/>
            <w:right w:val="none" w:sz="0" w:space="0" w:color="auto"/>
          </w:divBdr>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8632533">
      <w:bodyDiv w:val="1"/>
      <w:marLeft w:val="0"/>
      <w:marRight w:val="0"/>
      <w:marTop w:val="0"/>
      <w:marBottom w:val="0"/>
      <w:divBdr>
        <w:top w:val="none" w:sz="0" w:space="0" w:color="auto"/>
        <w:left w:val="none" w:sz="0" w:space="0" w:color="auto"/>
        <w:bottom w:val="none" w:sz="0" w:space="0" w:color="auto"/>
        <w:right w:val="none" w:sz="0" w:space="0" w:color="auto"/>
      </w:divBdr>
      <w:divsChild>
        <w:div w:id="1940529909">
          <w:marLeft w:val="0"/>
          <w:marRight w:val="0"/>
          <w:marTop w:val="0"/>
          <w:marBottom w:val="375"/>
          <w:divBdr>
            <w:top w:val="none" w:sz="0" w:space="0" w:color="auto"/>
            <w:left w:val="none" w:sz="0" w:space="0" w:color="auto"/>
            <w:bottom w:val="none" w:sz="0" w:space="0" w:color="auto"/>
            <w:right w:val="none" w:sz="0" w:space="0" w:color="auto"/>
          </w:divBdr>
          <w:divsChild>
            <w:div w:id="1085303915">
              <w:marLeft w:val="0"/>
              <w:marRight w:val="0"/>
              <w:marTop w:val="0"/>
              <w:marBottom w:val="0"/>
              <w:divBdr>
                <w:top w:val="none" w:sz="0" w:space="0" w:color="auto"/>
                <w:left w:val="none" w:sz="0" w:space="0" w:color="auto"/>
                <w:bottom w:val="none" w:sz="0" w:space="0" w:color="auto"/>
                <w:right w:val="none" w:sz="0" w:space="0" w:color="auto"/>
              </w:divBdr>
              <w:divsChild>
                <w:div w:id="47206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9244">
          <w:marLeft w:val="0"/>
          <w:marRight w:val="0"/>
          <w:marTop w:val="0"/>
          <w:marBottom w:val="0"/>
          <w:divBdr>
            <w:top w:val="none" w:sz="0" w:space="0" w:color="auto"/>
            <w:left w:val="none" w:sz="0" w:space="0" w:color="auto"/>
            <w:bottom w:val="none" w:sz="0" w:space="0" w:color="auto"/>
            <w:right w:val="none" w:sz="0" w:space="0" w:color="auto"/>
          </w:divBdr>
          <w:divsChild>
            <w:div w:id="30960414">
              <w:marLeft w:val="0"/>
              <w:marRight w:val="0"/>
              <w:marTop w:val="0"/>
              <w:marBottom w:val="0"/>
              <w:divBdr>
                <w:top w:val="none" w:sz="0" w:space="0" w:color="auto"/>
                <w:left w:val="none" w:sz="0" w:space="0" w:color="auto"/>
                <w:bottom w:val="none" w:sz="0" w:space="0" w:color="auto"/>
                <w:right w:val="none" w:sz="0" w:space="0" w:color="auto"/>
              </w:divBdr>
              <w:divsChild>
                <w:div w:id="1973513664">
                  <w:marLeft w:val="-180"/>
                  <w:marRight w:val="-180"/>
                  <w:marTop w:val="0"/>
                  <w:marBottom w:val="0"/>
                  <w:divBdr>
                    <w:top w:val="none" w:sz="0" w:space="0" w:color="auto"/>
                    <w:left w:val="none" w:sz="0" w:space="0" w:color="auto"/>
                    <w:bottom w:val="none" w:sz="0" w:space="0" w:color="auto"/>
                    <w:right w:val="none" w:sz="0" w:space="0" w:color="auto"/>
                  </w:divBdr>
                  <w:divsChild>
                    <w:div w:id="8882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80424906">
      <w:bodyDiv w:val="1"/>
      <w:marLeft w:val="0"/>
      <w:marRight w:val="0"/>
      <w:marTop w:val="0"/>
      <w:marBottom w:val="0"/>
      <w:divBdr>
        <w:top w:val="none" w:sz="0" w:space="0" w:color="auto"/>
        <w:left w:val="none" w:sz="0" w:space="0" w:color="auto"/>
        <w:bottom w:val="none" w:sz="0" w:space="0" w:color="auto"/>
        <w:right w:val="none" w:sz="0" w:space="0" w:color="auto"/>
      </w:divBdr>
      <w:divsChild>
        <w:div w:id="310717412">
          <w:marLeft w:val="0"/>
          <w:marRight w:val="0"/>
          <w:marTop w:val="0"/>
          <w:marBottom w:val="0"/>
          <w:divBdr>
            <w:top w:val="none" w:sz="0" w:space="0" w:color="auto"/>
            <w:left w:val="none" w:sz="0" w:space="0" w:color="auto"/>
            <w:bottom w:val="none" w:sz="0" w:space="0" w:color="auto"/>
            <w:right w:val="none" w:sz="0" w:space="0" w:color="auto"/>
          </w:divBdr>
        </w:div>
        <w:div w:id="271478379">
          <w:marLeft w:val="-180"/>
          <w:marRight w:val="-180"/>
          <w:marTop w:val="0"/>
          <w:marBottom w:val="0"/>
          <w:divBdr>
            <w:top w:val="none" w:sz="0" w:space="0" w:color="auto"/>
            <w:left w:val="none" w:sz="0" w:space="0" w:color="auto"/>
            <w:bottom w:val="none" w:sz="0" w:space="0" w:color="auto"/>
            <w:right w:val="none" w:sz="0" w:space="0" w:color="auto"/>
          </w:divBdr>
          <w:divsChild>
            <w:div w:id="1394506250">
              <w:marLeft w:val="0"/>
              <w:marRight w:val="0"/>
              <w:marTop w:val="0"/>
              <w:marBottom w:val="0"/>
              <w:divBdr>
                <w:top w:val="none" w:sz="0" w:space="0" w:color="auto"/>
                <w:left w:val="none" w:sz="0" w:space="0" w:color="auto"/>
                <w:bottom w:val="none" w:sz="0" w:space="0" w:color="auto"/>
                <w:right w:val="none" w:sz="0" w:space="0" w:color="auto"/>
              </w:divBdr>
            </w:div>
            <w:div w:id="191666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0980550">
      <w:bodyDiv w:val="1"/>
      <w:marLeft w:val="0"/>
      <w:marRight w:val="0"/>
      <w:marTop w:val="0"/>
      <w:marBottom w:val="0"/>
      <w:divBdr>
        <w:top w:val="none" w:sz="0" w:space="0" w:color="auto"/>
        <w:left w:val="none" w:sz="0" w:space="0" w:color="auto"/>
        <w:bottom w:val="none" w:sz="0" w:space="0" w:color="auto"/>
        <w:right w:val="none" w:sz="0" w:space="0" w:color="auto"/>
      </w:divBdr>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10479">
      <w:bodyDiv w:val="1"/>
      <w:marLeft w:val="0"/>
      <w:marRight w:val="0"/>
      <w:marTop w:val="0"/>
      <w:marBottom w:val="0"/>
      <w:divBdr>
        <w:top w:val="none" w:sz="0" w:space="0" w:color="auto"/>
        <w:left w:val="none" w:sz="0" w:space="0" w:color="auto"/>
        <w:bottom w:val="none" w:sz="0" w:space="0" w:color="auto"/>
        <w:right w:val="none" w:sz="0" w:space="0" w:color="auto"/>
      </w:divBdr>
    </w:div>
    <w:div w:id="1149833037">
      <w:bodyDiv w:val="1"/>
      <w:marLeft w:val="0"/>
      <w:marRight w:val="0"/>
      <w:marTop w:val="0"/>
      <w:marBottom w:val="0"/>
      <w:divBdr>
        <w:top w:val="none" w:sz="0" w:space="0" w:color="auto"/>
        <w:left w:val="none" w:sz="0" w:space="0" w:color="auto"/>
        <w:bottom w:val="none" w:sz="0" w:space="0" w:color="auto"/>
        <w:right w:val="none" w:sz="0" w:space="0" w:color="auto"/>
      </w:divBdr>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328453">
      <w:bodyDiv w:val="1"/>
      <w:marLeft w:val="0"/>
      <w:marRight w:val="0"/>
      <w:marTop w:val="0"/>
      <w:marBottom w:val="0"/>
      <w:divBdr>
        <w:top w:val="none" w:sz="0" w:space="0" w:color="auto"/>
        <w:left w:val="none" w:sz="0" w:space="0" w:color="auto"/>
        <w:bottom w:val="none" w:sz="0" w:space="0" w:color="auto"/>
        <w:right w:val="none" w:sz="0" w:space="0" w:color="auto"/>
      </w:divBdr>
      <w:divsChild>
        <w:div w:id="965280460">
          <w:marLeft w:val="0"/>
          <w:marRight w:val="0"/>
          <w:marTop w:val="0"/>
          <w:marBottom w:val="0"/>
          <w:divBdr>
            <w:top w:val="none" w:sz="0" w:space="0" w:color="auto"/>
            <w:left w:val="none" w:sz="0" w:space="0" w:color="auto"/>
            <w:bottom w:val="none" w:sz="0" w:space="0" w:color="auto"/>
            <w:right w:val="none" w:sz="0" w:space="0" w:color="auto"/>
          </w:divBdr>
        </w:div>
        <w:div w:id="254553176">
          <w:marLeft w:val="0"/>
          <w:marRight w:val="0"/>
          <w:marTop w:val="0"/>
          <w:marBottom w:val="0"/>
          <w:divBdr>
            <w:top w:val="none" w:sz="0" w:space="0" w:color="auto"/>
            <w:left w:val="none" w:sz="0" w:space="0" w:color="auto"/>
            <w:bottom w:val="none" w:sz="0" w:space="0" w:color="auto"/>
            <w:right w:val="none" w:sz="0" w:space="0" w:color="auto"/>
          </w:divBdr>
          <w:divsChild>
            <w:div w:id="1885870843">
              <w:marLeft w:val="0"/>
              <w:marRight w:val="0"/>
              <w:marTop w:val="0"/>
              <w:marBottom w:val="0"/>
              <w:divBdr>
                <w:top w:val="none" w:sz="0" w:space="0" w:color="auto"/>
                <w:left w:val="none" w:sz="0" w:space="0" w:color="auto"/>
                <w:bottom w:val="none" w:sz="0" w:space="0" w:color="auto"/>
                <w:right w:val="none" w:sz="0" w:space="0" w:color="auto"/>
              </w:divBdr>
              <w:divsChild>
                <w:div w:id="482046650">
                  <w:marLeft w:val="-180"/>
                  <w:marRight w:val="-180"/>
                  <w:marTop w:val="0"/>
                  <w:marBottom w:val="0"/>
                  <w:divBdr>
                    <w:top w:val="none" w:sz="0" w:space="0" w:color="auto"/>
                    <w:left w:val="none" w:sz="0" w:space="0" w:color="auto"/>
                    <w:bottom w:val="none" w:sz="0" w:space="0" w:color="auto"/>
                    <w:right w:val="none" w:sz="0" w:space="0" w:color="auto"/>
                  </w:divBdr>
                  <w:divsChild>
                    <w:div w:id="1438410378">
                      <w:marLeft w:val="0"/>
                      <w:marRight w:val="0"/>
                      <w:marTop w:val="0"/>
                      <w:marBottom w:val="0"/>
                      <w:divBdr>
                        <w:top w:val="none" w:sz="0" w:space="0" w:color="auto"/>
                        <w:left w:val="none" w:sz="0" w:space="0" w:color="auto"/>
                        <w:bottom w:val="none" w:sz="0" w:space="0" w:color="auto"/>
                        <w:right w:val="none" w:sz="0" w:space="0" w:color="auto"/>
                      </w:divBdr>
                    </w:div>
                    <w:div w:id="16106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118358">
      <w:bodyDiv w:val="1"/>
      <w:marLeft w:val="0"/>
      <w:marRight w:val="0"/>
      <w:marTop w:val="0"/>
      <w:marBottom w:val="0"/>
      <w:divBdr>
        <w:top w:val="none" w:sz="0" w:space="0" w:color="auto"/>
        <w:left w:val="none" w:sz="0" w:space="0" w:color="auto"/>
        <w:bottom w:val="none" w:sz="0" w:space="0" w:color="auto"/>
        <w:right w:val="none" w:sz="0" w:space="0" w:color="auto"/>
      </w:divBdr>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1544092">
      <w:bodyDiv w:val="1"/>
      <w:marLeft w:val="0"/>
      <w:marRight w:val="0"/>
      <w:marTop w:val="0"/>
      <w:marBottom w:val="0"/>
      <w:divBdr>
        <w:top w:val="none" w:sz="0" w:space="0" w:color="auto"/>
        <w:left w:val="none" w:sz="0" w:space="0" w:color="auto"/>
        <w:bottom w:val="none" w:sz="0" w:space="0" w:color="auto"/>
        <w:right w:val="none" w:sz="0" w:space="0" w:color="auto"/>
      </w:divBdr>
      <w:divsChild>
        <w:div w:id="302779548">
          <w:marLeft w:val="-180"/>
          <w:marRight w:val="-180"/>
          <w:marTop w:val="0"/>
          <w:marBottom w:val="0"/>
          <w:divBdr>
            <w:top w:val="none" w:sz="0" w:space="0" w:color="auto"/>
            <w:left w:val="none" w:sz="0" w:space="0" w:color="auto"/>
            <w:bottom w:val="none" w:sz="0" w:space="0" w:color="auto"/>
            <w:right w:val="none" w:sz="0" w:space="0" w:color="auto"/>
          </w:divBdr>
          <w:divsChild>
            <w:div w:id="1191532884">
              <w:marLeft w:val="0"/>
              <w:marRight w:val="0"/>
              <w:marTop w:val="0"/>
              <w:marBottom w:val="0"/>
              <w:divBdr>
                <w:top w:val="none" w:sz="0" w:space="0" w:color="auto"/>
                <w:left w:val="none" w:sz="0" w:space="0" w:color="auto"/>
                <w:bottom w:val="none" w:sz="0" w:space="0" w:color="auto"/>
                <w:right w:val="none" w:sz="0" w:space="0" w:color="auto"/>
              </w:divBdr>
              <w:divsChild>
                <w:div w:id="167649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8219687">
      <w:bodyDiv w:val="1"/>
      <w:marLeft w:val="0"/>
      <w:marRight w:val="0"/>
      <w:marTop w:val="0"/>
      <w:marBottom w:val="0"/>
      <w:divBdr>
        <w:top w:val="none" w:sz="0" w:space="0" w:color="auto"/>
        <w:left w:val="none" w:sz="0" w:space="0" w:color="auto"/>
        <w:bottom w:val="none" w:sz="0" w:space="0" w:color="auto"/>
        <w:right w:val="none" w:sz="0" w:space="0" w:color="auto"/>
      </w:divBdr>
      <w:divsChild>
        <w:div w:id="1652442095">
          <w:marLeft w:val="0"/>
          <w:marRight w:val="0"/>
          <w:marTop w:val="0"/>
          <w:marBottom w:val="0"/>
          <w:divBdr>
            <w:top w:val="none" w:sz="0" w:space="0" w:color="auto"/>
            <w:left w:val="none" w:sz="0" w:space="0" w:color="auto"/>
            <w:bottom w:val="none" w:sz="0" w:space="0" w:color="auto"/>
            <w:right w:val="none" w:sz="0" w:space="0" w:color="auto"/>
          </w:divBdr>
        </w:div>
        <w:div w:id="190387260">
          <w:marLeft w:val="0"/>
          <w:marRight w:val="0"/>
          <w:marTop w:val="0"/>
          <w:marBottom w:val="0"/>
          <w:divBdr>
            <w:top w:val="none" w:sz="0" w:space="0" w:color="auto"/>
            <w:left w:val="none" w:sz="0" w:space="0" w:color="auto"/>
            <w:bottom w:val="none" w:sz="0" w:space="0" w:color="auto"/>
            <w:right w:val="none" w:sz="0" w:space="0" w:color="auto"/>
          </w:divBdr>
          <w:divsChild>
            <w:div w:id="1116752514">
              <w:marLeft w:val="0"/>
              <w:marRight w:val="0"/>
              <w:marTop w:val="0"/>
              <w:marBottom w:val="0"/>
              <w:divBdr>
                <w:top w:val="none" w:sz="0" w:space="0" w:color="auto"/>
                <w:left w:val="none" w:sz="0" w:space="0" w:color="auto"/>
                <w:bottom w:val="none" w:sz="0" w:space="0" w:color="auto"/>
                <w:right w:val="none" w:sz="0" w:space="0" w:color="auto"/>
              </w:divBdr>
              <w:divsChild>
                <w:div w:id="1252549978">
                  <w:marLeft w:val="-180"/>
                  <w:marRight w:val="-180"/>
                  <w:marTop w:val="0"/>
                  <w:marBottom w:val="0"/>
                  <w:divBdr>
                    <w:top w:val="none" w:sz="0" w:space="0" w:color="auto"/>
                    <w:left w:val="none" w:sz="0" w:space="0" w:color="auto"/>
                    <w:bottom w:val="none" w:sz="0" w:space="0" w:color="auto"/>
                    <w:right w:val="none" w:sz="0" w:space="0" w:color="auto"/>
                  </w:divBdr>
                  <w:divsChild>
                    <w:div w:id="1122651902">
                      <w:marLeft w:val="0"/>
                      <w:marRight w:val="0"/>
                      <w:marTop w:val="0"/>
                      <w:marBottom w:val="0"/>
                      <w:divBdr>
                        <w:top w:val="none" w:sz="0" w:space="0" w:color="auto"/>
                        <w:left w:val="none" w:sz="0" w:space="0" w:color="auto"/>
                        <w:bottom w:val="none" w:sz="0" w:space="0" w:color="auto"/>
                        <w:right w:val="none" w:sz="0" w:space="0" w:color="auto"/>
                      </w:divBdr>
                    </w:div>
                    <w:div w:id="2708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40279856">
      <w:bodyDiv w:val="1"/>
      <w:marLeft w:val="0"/>
      <w:marRight w:val="0"/>
      <w:marTop w:val="0"/>
      <w:marBottom w:val="0"/>
      <w:divBdr>
        <w:top w:val="none" w:sz="0" w:space="0" w:color="auto"/>
        <w:left w:val="none" w:sz="0" w:space="0" w:color="auto"/>
        <w:bottom w:val="none" w:sz="0" w:space="0" w:color="auto"/>
        <w:right w:val="none" w:sz="0" w:space="0" w:color="auto"/>
      </w:divBdr>
      <w:divsChild>
        <w:div w:id="728192625">
          <w:marLeft w:val="-180"/>
          <w:marRight w:val="-180"/>
          <w:marTop w:val="0"/>
          <w:marBottom w:val="0"/>
          <w:divBdr>
            <w:top w:val="none" w:sz="0" w:space="0" w:color="auto"/>
            <w:left w:val="none" w:sz="0" w:space="0" w:color="auto"/>
            <w:bottom w:val="none" w:sz="0" w:space="0" w:color="auto"/>
            <w:right w:val="none" w:sz="0" w:space="0" w:color="auto"/>
          </w:divBdr>
          <w:divsChild>
            <w:div w:id="171263255">
              <w:marLeft w:val="0"/>
              <w:marRight w:val="0"/>
              <w:marTop w:val="0"/>
              <w:marBottom w:val="0"/>
              <w:divBdr>
                <w:top w:val="none" w:sz="0" w:space="0" w:color="auto"/>
                <w:left w:val="none" w:sz="0" w:space="0" w:color="auto"/>
                <w:bottom w:val="none" w:sz="0" w:space="0" w:color="auto"/>
                <w:right w:val="none" w:sz="0" w:space="0" w:color="auto"/>
              </w:divBdr>
              <w:divsChild>
                <w:div w:id="203754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49330787">
      <w:bodyDiv w:val="1"/>
      <w:marLeft w:val="0"/>
      <w:marRight w:val="0"/>
      <w:marTop w:val="0"/>
      <w:marBottom w:val="0"/>
      <w:divBdr>
        <w:top w:val="none" w:sz="0" w:space="0" w:color="auto"/>
        <w:left w:val="none" w:sz="0" w:space="0" w:color="auto"/>
        <w:bottom w:val="none" w:sz="0" w:space="0" w:color="auto"/>
        <w:right w:val="none" w:sz="0" w:space="0" w:color="auto"/>
      </w:divBdr>
      <w:divsChild>
        <w:div w:id="1199586754">
          <w:marLeft w:val="0"/>
          <w:marRight w:val="0"/>
          <w:marTop w:val="0"/>
          <w:marBottom w:val="0"/>
          <w:divBdr>
            <w:top w:val="none" w:sz="0" w:space="0" w:color="auto"/>
            <w:left w:val="none" w:sz="0" w:space="0" w:color="auto"/>
            <w:bottom w:val="none" w:sz="0" w:space="0" w:color="auto"/>
            <w:right w:val="none" w:sz="0" w:space="0" w:color="auto"/>
          </w:divBdr>
          <w:divsChild>
            <w:div w:id="1836602466">
              <w:marLeft w:val="0"/>
              <w:marRight w:val="0"/>
              <w:marTop w:val="0"/>
              <w:marBottom w:val="0"/>
              <w:divBdr>
                <w:top w:val="none" w:sz="0" w:space="0" w:color="auto"/>
                <w:left w:val="none" w:sz="0" w:space="0" w:color="auto"/>
                <w:bottom w:val="none" w:sz="0" w:space="0" w:color="auto"/>
                <w:right w:val="none" w:sz="0" w:space="0" w:color="auto"/>
              </w:divBdr>
            </w:div>
          </w:divsChild>
        </w:div>
        <w:div w:id="1042481724">
          <w:marLeft w:val="0"/>
          <w:marRight w:val="0"/>
          <w:marTop w:val="0"/>
          <w:marBottom w:val="0"/>
          <w:divBdr>
            <w:top w:val="none" w:sz="0" w:space="0" w:color="auto"/>
            <w:left w:val="none" w:sz="0" w:space="0" w:color="auto"/>
            <w:bottom w:val="none" w:sz="0" w:space="0" w:color="auto"/>
            <w:right w:val="none" w:sz="0" w:space="0" w:color="auto"/>
          </w:divBdr>
          <w:divsChild>
            <w:div w:id="168915031">
              <w:marLeft w:val="0"/>
              <w:marRight w:val="0"/>
              <w:marTop w:val="0"/>
              <w:marBottom w:val="0"/>
              <w:divBdr>
                <w:top w:val="none" w:sz="0" w:space="0" w:color="auto"/>
                <w:left w:val="none" w:sz="0" w:space="0" w:color="auto"/>
                <w:bottom w:val="none" w:sz="0" w:space="0" w:color="auto"/>
                <w:right w:val="none" w:sz="0" w:space="0" w:color="auto"/>
              </w:divBdr>
              <w:divsChild>
                <w:div w:id="1487866527">
                  <w:marLeft w:val="0"/>
                  <w:marRight w:val="0"/>
                  <w:marTop w:val="0"/>
                  <w:marBottom w:val="0"/>
                  <w:divBdr>
                    <w:top w:val="none" w:sz="0" w:space="0" w:color="auto"/>
                    <w:left w:val="none" w:sz="0" w:space="0" w:color="auto"/>
                    <w:bottom w:val="none" w:sz="0" w:space="0" w:color="auto"/>
                    <w:right w:val="none" w:sz="0" w:space="0" w:color="auto"/>
                  </w:divBdr>
                </w:div>
              </w:divsChild>
            </w:div>
            <w:div w:id="1514878010">
              <w:marLeft w:val="0"/>
              <w:marRight w:val="0"/>
              <w:marTop w:val="0"/>
              <w:marBottom w:val="0"/>
              <w:divBdr>
                <w:top w:val="none" w:sz="0" w:space="0" w:color="auto"/>
                <w:left w:val="none" w:sz="0" w:space="0" w:color="auto"/>
                <w:bottom w:val="none" w:sz="0" w:space="0" w:color="auto"/>
                <w:right w:val="none" w:sz="0" w:space="0" w:color="auto"/>
              </w:divBdr>
            </w:div>
          </w:divsChild>
        </w:div>
        <w:div w:id="1489637698">
          <w:marLeft w:val="0"/>
          <w:marRight w:val="0"/>
          <w:marTop w:val="0"/>
          <w:marBottom w:val="0"/>
          <w:divBdr>
            <w:top w:val="none" w:sz="0" w:space="0" w:color="auto"/>
            <w:left w:val="none" w:sz="0" w:space="0" w:color="auto"/>
            <w:bottom w:val="none" w:sz="0" w:space="0" w:color="auto"/>
            <w:right w:val="none" w:sz="0" w:space="0" w:color="auto"/>
          </w:divBdr>
          <w:divsChild>
            <w:div w:id="67509179">
              <w:marLeft w:val="0"/>
              <w:marRight w:val="0"/>
              <w:marTop w:val="0"/>
              <w:marBottom w:val="0"/>
              <w:divBdr>
                <w:top w:val="none" w:sz="0" w:space="0" w:color="auto"/>
                <w:left w:val="none" w:sz="0" w:space="0" w:color="auto"/>
                <w:bottom w:val="none" w:sz="0" w:space="0" w:color="auto"/>
                <w:right w:val="none" w:sz="0" w:space="0" w:color="auto"/>
              </w:divBdr>
              <w:divsChild>
                <w:div w:id="1110584647">
                  <w:marLeft w:val="0"/>
                  <w:marRight w:val="0"/>
                  <w:marTop w:val="0"/>
                  <w:marBottom w:val="0"/>
                  <w:divBdr>
                    <w:top w:val="none" w:sz="0" w:space="0" w:color="auto"/>
                    <w:left w:val="none" w:sz="0" w:space="0" w:color="auto"/>
                    <w:bottom w:val="none" w:sz="0" w:space="0" w:color="auto"/>
                    <w:right w:val="none" w:sz="0" w:space="0" w:color="auto"/>
                  </w:divBdr>
                </w:div>
              </w:divsChild>
            </w:div>
            <w:div w:id="1930845089">
              <w:marLeft w:val="0"/>
              <w:marRight w:val="0"/>
              <w:marTop w:val="0"/>
              <w:marBottom w:val="0"/>
              <w:divBdr>
                <w:top w:val="none" w:sz="0" w:space="0" w:color="auto"/>
                <w:left w:val="none" w:sz="0" w:space="0" w:color="auto"/>
                <w:bottom w:val="none" w:sz="0" w:space="0" w:color="auto"/>
                <w:right w:val="none" w:sz="0" w:space="0" w:color="auto"/>
              </w:divBdr>
            </w:div>
          </w:divsChild>
        </w:div>
        <w:div w:id="1044212023">
          <w:marLeft w:val="0"/>
          <w:marRight w:val="0"/>
          <w:marTop w:val="0"/>
          <w:marBottom w:val="0"/>
          <w:divBdr>
            <w:top w:val="none" w:sz="0" w:space="0" w:color="auto"/>
            <w:left w:val="none" w:sz="0" w:space="0" w:color="auto"/>
            <w:bottom w:val="none" w:sz="0" w:space="0" w:color="auto"/>
            <w:right w:val="none" w:sz="0" w:space="0" w:color="auto"/>
          </w:divBdr>
          <w:divsChild>
            <w:div w:id="1668822026">
              <w:marLeft w:val="0"/>
              <w:marRight w:val="0"/>
              <w:marTop w:val="0"/>
              <w:marBottom w:val="0"/>
              <w:divBdr>
                <w:top w:val="none" w:sz="0" w:space="0" w:color="auto"/>
                <w:left w:val="none" w:sz="0" w:space="0" w:color="auto"/>
                <w:bottom w:val="none" w:sz="0" w:space="0" w:color="auto"/>
                <w:right w:val="none" w:sz="0" w:space="0" w:color="auto"/>
              </w:divBdr>
              <w:divsChild>
                <w:div w:id="497578224">
                  <w:marLeft w:val="0"/>
                  <w:marRight w:val="0"/>
                  <w:marTop w:val="0"/>
                  <w:marBottom w:val="0"/>
                  <w:divBdr>
                    <w:top w:val="none" w:sz="0" w:space="0" w:color="auto"/>
                    <w:left w:val="none" w:sz="0" w:space="0" w:color="auto"/>
                    <w:bottom w:val="none" w:sz="0" w:space="0" w:color="auto"/>
                    <w:right w:val="none" w:sz="0" w:space="0" w:color="auto"/>
                  </w:divBdr>
                </w:div>
              </w:divsChild>
            </w:div>
            <w:div w:id="199049335">
              <w:marLeft w:val="0"/>
              <w:marRight w:val="0"/>
              <w:marTop w:val="0"/>
              <w:marBottom w:val="0"/>
              <w:divBdr>
                <w:top w:val="none" w:sz="0" w:space="0" w:color="auto"/>
                <w:left w:val="none" w:sz="0" w:space="0" w:color="auto"/>
                <w:bottom w:val="none" w:sz="0" w:space="0" w:color="auto"/>
                <w:right w:val="none" w:sz="0" w:space="0" w:color="auto"/>
              </w:divBdr>
            </w:div>
          </w:divsChild>
        </w:div>
        <w:div w:id="1679312500">
          <w:marLeft w:val="0"/>
          <w:marRight w:val="0"/>
          <w:marTop w:val="0"/>
          <w:marBottom w:val="0"/>
          <w:divBdr>
            <w:top w:val="none" w:sz="0" w:space="0" w:color="auto"/>
            <w:left w:val="none" w:sz="0" w:space="0" w:color="auto"/>
            <w:bottom w:val="none" w:sz="0" w:space="0" w:color="auto"/>
            <w:right w:val="none" w:sz="0" w:space="0" w:color="auto"/>
          </w:divBdr>
          <w:divsChild>
            <w:div w:id="1132943647">
              <w:marLeft w:val="0"/>
              <w:marRight w:val="0"/>
              <w:marTop w:val="0"/>
              <w:marBottom w:val="0"/>
              <w:divBdr>
                <w:top w:val="none" w:sz="0" w:space="0" w:color="auto"/>
                <w:left w:val="none" w:sz="0" w:space="0" w:color="auto"/>
                <w:bottom w:val="none" w:sz="0" w:space="0" w:color="auto"/>
                <w:right w:val="none" w:sz="0" w:space="0" w:color="auto"/>
              </w:divBdr>
              <w:divsChild>
                <w:div w:id="215824807">
                  <w:marLeft w:val="0"/>
                  <w:marRight w:val="0"/>
                  <w:marTop w:val="0"/>
                  <w:marBottom w:val="0"/>
                  <w:divBdr>
                    <w:top w:val="none" w:sz="0" w:space="0" w:color="auto"/>
                    <w:left w:val="none" w:sz="0" w:space="0" w:color="auto"/>
                    <w:bottom w:val="none" w:sz="0" w:space="0" w:color="auto"/>
                    <w:right w:val="none" w:sz="0" w:space="0" w:color="auto"/>
                  </w:divBdr>
                </w:div>
              </w:divsChild>
            </w:div>
            <w:div w:id="564797381">
              <w:marLeft w:val="0"/>
              <w:marRight w:val="0"/>
              <w:marTop w:val="0"/>
              <w:marBottom w:val="0"/>
              <w:divBdr>
                <w:top w:val="none" w:sz="0" w:space="0" w:color="auto"/>
                <w:left w:val="none" w:sz="0" w:space="0" w:color="auto"/>
                <w:bottom w:val="none" w:sz="0" w:space="0" w:color="auto"/>
                <w:right w:val="none" w:sz="0" w:space="0" w:color="auto"/>
              </w:divBdr>
            </w:div>
          </w:divsChild>
        </w:div>
        <w:div w:id="2107382627">
          <w:marLeft w:val="0"/>
          <w:marRight w:val="0"/>
          <w:marTop w:val="0"/>
          <w:marBottom w:val="0"/>
          <w:divBdr>
            <w:top w:val="none" w:sz="0" w:space="0" w:color="auto"/>
            <w:left w:val="none" w:sz="0" w:space="0" w:color="auto"/>
            <w:bottom w:val="none" w:sz="0" w:space="0" w:color="auto"/>
            <w:right w:val="none" w:sz="0" w:space="0" w:color="auto"/>
          </w:divBdr>
          <w:divsChild>
            <w:div w:id="1412004699">
              <w:marLeft w:val="0"/>
              <w:marRight w:val="0"/>
              <w:marTop w:val="0"/>
              <w:marBottom w:val="0"/>
              <w:divBdr>
                <w:top w:val="none" w:sz="0" w:space="0" w:color="auto"/>
                <w:left w:val="none" w:sz="0" w:space="0" w:color="auto"/>
                <w:bottom w:val="none" w:sz="0" w:space="0" w:color="auto"/>
                <w:right w:val="none" w:sz="0" w:space="0" w:color="auto"/>
              </w:divBdr>
              <w:divsChild>
                <w:div w:id="1538539700">
                  <w:marLeft w:val="0"/>
                  <w:marRight w:val="0"/>
                  <w:marTop w:val="0"/>
                  <w:marBottom w:val="0"/>
                  <w:divBdr>
                    <w:top w:val="none" w:sz="0" w:space="0" w:color="auto"/>
                    <w:left w:val="none" w:sz="0" w:space="0" w:color="auto"/>
                    <w:bottom w:val="none" w:sz="0" w:space="0" w:color="auto"/>
                    <w:right w:val="none" w:sz="0" w:space="0" w:color="auto"/>
                  </w:divBdr>
                </w:div>
              </w:divsChild>
            </w:div>
            <w:div w:id="2002007504">
              <w:marLeft w:val="0"/>
              <w:marRight w:val="0"/>
              <w:marTop w:val="0"/>
              <w:marBottom w:val="0"/>
              <w:divBdr>
                <w:top w:val="none" w:sz="0" w:space="0" w:color="auto"/>
                <w:left w:val="none" w:sz="0" w:space="0" w:color="auto"/>
                <w:bottom w:val="none" w:sz="0" w:space="0" w:color="auto"/>
                <w:right w:val="none" w:sz="0" w:space="0" w:color="auto"/>
              </w:divBdr>
            </w:div>
          </w:divsChild>
        </w:div>
        <w:div w:id="480000259">
          <w:marLeft w:val="0"/>
          <w:marRight w:val="0"/>
          <w:marTop w:val="0"/>
          <w:marBottom w:val="0"/>
          <w:divBdr>
            <w:top w:val="none" w:sz="0" w:space="0" w:color="auto"/>
            <w:left w:val="none" w:sz="0" w:space="0" w:color="auto"/>
            <w:bottom w:val="none" w:sz="0" w:space="0" w:color="auto"/>
            <w:right w:val="none" w:sz="0" w:space="0" w:color="auto"/>
          </w:divBdr>
          <w:divsChild>
            <w:div w:id="1443573969">
              <w:marLeft w:val="0"/>
              <w:marRight w:val="0"/>
              <w:marTop w:val="0"/>
              <w:marBottom w:val="0"/>
              <w:divBdr>
                <w:top w:val="none" w:sz="0" w:space="0" w:color="auto"/>
                <w:left w:val="none" w:sz="0" w:space="0" w:color="auto"/>
                <w:bottom w:val="none" w:sz="0" w:space="0" w:color="auto"/>
                <w:right w:val="none" w:sz="0" w:space="0" w:color="auto"/>
              </w:divBdr>
              <w:divsChild>
                <w:div w:id="705564415">
                  <w:marLeft w:val="0"/>
                  <w:marRight w:val="0"/>
                  <w:marTop w:val="0"/>
                  <w:marBottom w:val="0"/>
                  <w:divBdr>
                    <w:top w:val="none" w:sz="0" w:space="0" w:color="auto"/>
                    <w:left w:val="none" w:sz="0" w:space="0" w:color="auto"/>
                    <w:bottom w:val="none" w:sz="0" w:space="0" w:color="auto"/>
                    <w:right w:val="none" w:sz="0" w:space="0" w:color="auto"/>
                  </w:divBdr>
                </w:div>
              </w:divsChild>
            </w:div>
            <w:div w:id="152413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2854737">
      <w:bodyDiv w:val="1"/>
      <w:marLeft w:val="0"/>
      <w:marRight w:val="0"/>
      <w:marTop w:val="0"/>
      <w:marBottom w:val="0"/>
      <w:divBdr>
        <w:top w:val="none" w:sz="0" w:space="0" w:color="auto"/>
        <w:left w:val="none" w:sz="0" w:space="0" w:color="auto"/>
        <w:bottom w:val="none" w:sz="0" w:space="0" w:color="auto"/>
        <w:right w:val="none" w:sz="0" w:space="0" w:color="auto"/>
      </w:divBdr>
      <w:divsChild>
        <w:div w:id="919873914">
          <w:marLeft w:val="-180"/>
          <w:marRight w:val="-180"/>
          <w:marTop w:val="0"/>
          <w:marBottom w:val="0"/>
          <w:divBdr>
            <w:top w:val="none" w:sz="0" w:space="0" w:color="auto"/>
            <w:left w:val="none" w:sz="0" w:space="0" w:color="auto"/>
            <w:bottom w:val="none" w:sz="0" w:space="0" w:color="auto"/>
            <w:right w:val="none" w:sz="0" w:space="0" w:color="auto"/>
          </w:divBdr>
          <w:divsChild>
            <w:div w:id="13733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20011">
      <w:bodyDiv w:val="1"/>
      <w:marLeft w:val="0"/>
      <w:marRight w:val="0"/>
      <w:marTop w:val="0"/>
      <w:marBottom w:val="0"/>
      <w:divBdr>
        <w:top w:val="none" w:sz="0" w:space="0" w:color="auto"/>
        <w:left w:val="none" w:sz="0" w:space="0" w:color="auto"/>
        <w:bottom w:val="none" w:sz="0" w:space="0" w:color="auto"/>
        <w:right w:val="none" w:sz="0" w:space="0" w:color="auto"/>
      </w:divBdr>
      <w:divsChild>
        <w:div w:id="1206454051">
          <w:marLeft w:val="0"/>
          <w:marRight w:val="0"/>
          <w:marTop w:val="0"/>
          <w:marBottom w:val="180"/>
          <w:divBdr>
            <w:top w:val="none" w:sz="0" w:space="0" w:color="auto"/>
            <w:left w:val="none" w:sz="0" w:space="0" w:color="auto"/>
            <w:bottom w:val="none" w:sz="0" w:space="0"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255086">
      <w:bodyDiv w:val="1"/>
      <w:marLeft w:val="0"/>
      <w:marRight w:val="0"/>
      <w:marTop w:val="0"/>
      <w:marBottom w:val="0"/>
      <w:divBdr>
        <w:top w:val="none" w:sz="0" w:space="0" w:color="auto"/>
        <w:left w:val="none" w:sz="0" w:space="0" w:color="auto"/>
        <w:bottom w:val="none" w:sz="0" w:space="0" w:color="auto"/>
        <w:right w:val="none" w:sz="0" w:space="0" w:color="auto"/>
      </w:divBdr>
      <w:divsChild>
        <w:div w:id="101194283">
          <w:marLeft w:val="0"/>
          <w:marRight w:val="0"/>
          <w:marTop w:val="0"/>
          <w:marBottom w:val="0"/>
          <w:divBdr>
            <w:top w:val="none" w:sz="0" w:space="0" w:color="auto"/>
            <w:left w:val="none" w:sz="0" w:space="0" w:color="auto"/>
            <w:bottom w:val="none" w:sz="0" w:space="0" w:color="auto"/>
            <w:right w:val="none" w:sz="0" w:space="0" w:color="auto"/>
          </w:divBdr>
          <w:divsChild>
            <w:div w:id="1858038968">
              <w:marLeft w:val="-180"/>
              <w:marRight w:val="-180"/>
              <w:marTop w:val="0"/>
              <w:marBottom w:val="0"/>
              <w:divBdr>
                <w:top w:val="none" w:sz="0" w:space="0" w:color="auto"/>
                <w:left w:val="none" w:sz="0" w:space="0" w:color="auto"/>
                <w:bottom w:val="none" w:sz="0" w:space="0" w:color="auto"/>
                <w:right w:val="none" w:sz="0" w:space="0" w:color="auto"/>
              </w:divBdr>
              <w:divsChild>
                <w:div w:id="152306832">
                  <w:marLeft w:val="0"/>
                  <w:marRight w:val="0"/>
                  <w:marTop w:val="0"/>
                  <w:marBottom w:val="0"/>
                  <w:divBdr>
                    <w:top w:val="none" w:sz="0" w:space="0" w:color="auto"/>
                    <w:left w:val="none" w:sz="0" w:space="0" w:color="auto"/>
                    <w:bottom w:val="none" w:sz="0" w:space="0" w:color="auto"/>
                    <w:right w:val="none" w:sz="0" w:space="0" w:color="auto"/>
                  </w:divBdr>
                  <w:divsChild>
                    <w:div w:id="1070494758">
                      <w:marLeft w:val="0"/>
                      <w:marRight w:val="0"/>
                      <w:marTop w:val="0"/>
                      <w:marBottom w:val="180"/>
                      <w:divBdr>
                        <w:top w:val="none" w:sz="0" w:space="0" w:color="auto"/>
                        <w:left w:val="none" w:sz="0" w:space="0" w:color="auto"/>
                        <w:bottom w:val="none" w:sz="0" w:space="0" w:color="auto"/>
                        <w:right w:val="none" w:sz="0" w:space="0" w:color="auto"/>
                      </w:divBdr>
                    </w:div>
                  </w:divsChild>
                </w:div>
                <w:div w:id="2169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98174">
          <w:marLeft w:val="0"/>
          <w:marRight w:val="0"/>
          <w:marTop w:val="0"/>
          <w:marBottom w:val="0"/>
          <w:divBdr>
            <w:top w:val="none" w:sz="0" w:space="0" w:color="auto"/>
            <w:left w:val="none" w:sz="0" w:space="0" w:color="auto"/>
            <w:bottom w:val="none" w:sz="0" w:space="0" w:color="auto"/>
            <w:right w:val="none" w:sz="0" w:space="0" w:color="auto"/>
          </w:divBdr>
          <w:divsChild>
            <w:div w:id="1429619476">
              <w:marLeft w:val="-180"/>
              <w:marRight w:val="-180"/>
              <w:marTop w:val="0"/>
              <w:marBottom w:val="0"/>
              <w:divBdr>
                <w:top w:val="none" w:sz="0" w:space="0" w:color="auto"/>
                <w:left w:val="none" w:sz="0" w:space="0" w:color="auto"/>
                <w:bottom w:val="none" w:sz="0" w:space="0" w:color="auto"/>
                <w:right w:val="none" w:sz="0" w:space="0" w:color="auto"/>
              </w:divBdr>
              <w:divsChild>
                <w:div w:id="970667687">
                  <w:marLeft w:val="0"/>
                  <w:marRight w:val="0"/>
                  <w:marTop w:val="0"/>
                  <w:marBottom w:val="0"/>
                  <w:divBdr>
                    <w:top w:val="none" w:sz="0" w:space="0" w:color="auto"/>
                    <w:left w:val="none" w:sz="0" w:space="0" w:color="auto"/>
                    <w:bottom w:val="none" w:sz="0" w:space="0" w:color="auto"/>
                    <w:right w:val="none" w:sz="0" w:space="0" w:color="auto"/>
                  </w:divBdr>
                  <w:divsChild>
                    <w:div w:id="1745227178">
                      <w:marLeft w:val="0"/>
                      <w:marRight w:val="0"/>
                      <w:marTop w:val="0"/>
                      <w:marBottom w:val="180"/>
                      <w:divBdr>
                        <w:top w:val="none" w:sz="0" w:space="0" w:color="auto"/>
                        <w:left w:val="none" w:sz="0" w:space="0" w:color="auto"/>
                        <w:bottom w:val="none" w:sz="0" w:space="0" w:color="auto"/>
                        <w:right w:val="none" w:sz="0" w:space="0" w:color="auto"/>
                      </w:divBdr>
                    </w:div>
                  </w:divsChild>
                </w:div>
                <w:div w:id="134258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3808">
          <w:marLeft w:val="0"/>
          <w:marRight w:val="0"/>
          <w:marTop w:val="0"/>
          <w:marBottom w:val="0"/>
          <w:divBdr>
            <w:top w:val="none" w:sz="0" w:space="0" w:color="auto"/>
            <w:left w:val="none" w:sz="0" w:space="0" w:color="auto"/>
            <w:bottom w:val="none" w:sz="0" w:space="0" w:color="auto"/>
            <w:right w:val="none" w:sz="0" w:space="0" w:color="auto"/>
          </w:divBdr>
          <w:divsChild>
            <w:div w:id="229929245">
              <w:marLeft w:val="-180"/>
              <w:marRight w:val="-180"/>
              <w:marTop w:val="0"/>
              <w:marBottom w:val="0"/>
              <w:divBdr>
                <w:top w:val="none" w:sz="0" w:space="0" w:color="auto"/>
                <w:left w:val="none" w:sz="0" w:space="0" w:color="auto"/>
                <w:bottom w:val="none" w:sz="0" w:space="0" w:color="auto"/>
                <w:right w:val="none" w:sz="0" w:space="0" w:color="auto"/>
              </w:divBdr>
              <w:divsChild>
                <w:div w:id="347878357">
                  <w:marLeft w:val="0"/>
                  <w:marRight w:val="0"/>
                  <w:marTop w:val="0"/>
                  <w:marBottom w:val="0"/>
                  <w:divBdr>
                    <w:top w:val="none" w:sz="0" w:space="0" w:color="auto"/>
                    <w:left w:val="none" w:sz="0" w:space="0" w:color="auto"/>
                    <w:bottom w:val="none" w:sz="0" w:space="0" w:color="auto"/>
                    <w:right w:val="none" w:sz="0" w:space="0" w:color="auto"/>
                  </w:divBdr>
                  <w:divsChild>
                    <w:div w:id="9021031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2697587">
      <w:bodyDiv w:val="1"/>
      <w:marLeft w:val="0"/>
      <w:marRight w:val="0"/>
      <w:marTop w:val="0"/>
      <w:marBottom w:val="0"/>
      <w:divBdr>
        <w:top w:val="none" w:sz="0" w:space="0" w:color="auto"/>
        <w:left w:val="none" w:sz="0" w:space="0" w:color="auto"/>
        <w:bottom w:val="none" w:sz="0" w:space="0" w:color="auto"/>
        <w:right w:val="none" w:sz="0" w:space="0" w:color="auto"/>
      </w:divBdr>
      <w:divsChild>
        <w:div w:id="35470598">
          <w:marLeft w:val="0"/>
          <w:marRight w:val="0"/>
          <w:marTop w:val="0"/>
          <w:marBottom w:val="0"/>
          <w:divBdr>
            <w:top w:val="none" w:sz="0" w:space="0" w:color="auto"/>
            <w:left w:val="none" w:sz="0" w:space="0" w:color="auto"/>
            <w:bottom w:val="none" w:sz="0" w:space="0" w:color="auto"/>
            <w:right w:val="none" w:sz="0" w:space="0" w:color="auto"/>
          </w:divBdr>
        </w:div>
        <w:div w:id="871116579">
          <w:marLeft w:val="0"/>
          <w:marRight w:val="0"/>
          <w:marTop w:val="0"/>
          <w:marBottom w:val="0"/>
          <w:divBdr>
            <w:top w:val="none" w:sz="0" w:space="0" w:color="auto"/>
            <w:left w:val="none" w:sz="0" w:space="0" w:color="auto"/>
            <w:bottom w:val="none" w:sz="0" w:space="0" w:color="auto"/>
            <w:right w:val="none" w:sz="0" w:space="0" w:color="auto"/>
          </w:divBdr>
          <w:divsChild>
            <w:div w:id="1538935451">
              <w:marLeft w:val="0"/>
              <w:marRight w:val="0"/>
              <w:marTop w:val="0"/>
              <w:marBottom w:val="0"/>
              <w:divBdr>
                <w:top w:val="none" w:sz="0" w:space="0" w:color="auto"/>
                <w:left w:val="none" w:sz="0" w:space="0" w:color="auto"/>
                <w:bottom w:val="none" w:sz="0" w:space="0" w:color="auto"/>
                <w:right w:val="none" w:sz="0" w:space="0" w:color="auto"/>
              </w:divBdr>
              <w:divsChild>
                <w:div w:id="1936590267">
                  <w:marLeft w:val="-180"/>
                  <w:marRight w:val="-180"/>
                  <w:marTop w:val="0"/>
                  <w:marBottom w:val="0"/>
                  <w:divBdr>
                    <w:top w:val="none" w:sz="0" w:space="0" w:color="auto"/>
                    <w:left w:val="none" w:sz="0" w:space="0" w:color="auto"/>
                    <w:bottom w:val="none" w:sz="0" w:space="0" w:color="auto"/>
                    <w:right w:val="none" w:sz="0" w:space="0" w:color="auto"/>
                  </w:divBdr>
                  <w:divsChild>
                    <w:div w:id="379400900">
                      <w:marLeft w:val="0"/>
                      <w:marRight w:val="0"/>
                      <w:marTop w:val="0"/>
                      <w:marBottom w:val="0"/>
                      <w:divBdr>
                        <w:top w:val="none" w:sz="0" w:space="0" w:color="auto"/>
                        <w:left w:val="none" w:sz="0" w:space="0" w:color="auto"/>
                        <w:bottom w:val="none" w:sz="0" w:space="0" w:color="auto"/>
                        <w:right w:val="none" w:sz="0" w:space="0" w:color="auto"/>
                      </w:divBdr>
                    </w:div>
                    <w:div w:id="64732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342234">
      <w:bodyDiv w:val="1"/>
      <w:marLeft w:val="0"/>
      <w:marRight w:val="0"/>
      <w:marTop w:val="0"/>
      <w:marBottom w:val="0"/>
      <w:divBdr>
        <w:top w:val="none" w:sz="0" w:space="0" w:color="auto"/>
        <w:left w:val="none" w:sz="0" w:space="0" w:color="auto"/>
        <w:bottom w:val="none" w:sz="0" w:space="0" w:color="auto"/>
        <w:right w:val="none" w:sz="0" w:space="0" w:color="auto"/>
      </w:divBdr>
      <w:divsChild>
        <w:div w:id="605037246">
          <w:marLeft w:val="0"/>
          <w:marRight w:val="0"/>
          <w:marTop w:val="0"/>
          <w:marBottom w:val="0"/>
          <w:divBdr>
            <w:top w:val="none" w:sz="0" w:space="0" w:color="auto"/>
            <w:left w:val="none" w:sz="0" w:space="0" w:color="auto"/>
            <w:bottom w:val="none" w:sz="0" w:space="0" w:color="auto"/>
            <w:right w:val="none" w:sz="0" w:space="0" w:color="auto"/>
          </w:divBdr>
          <w:divsChild>
            <w:div w:id="608397597">
              <w:marLeft w:val="-180"/>
              <w:marRight w:val="-180"/>
              <w:marTop w:val="0"/>
              <w:marBottom w:val="0"/>
              <w:divBdr>
                <w:top w:val="none" w:sz="0" w:space="0" w:color="auto"/>
                <w:left w:val="none" w:sz="0" w:space="0" w:color="auto"/>
                <w:bottom w:val="none" w:sz="0" w:space="0" w:color="auto"/>
                <w:right w:val="none" w:sz="0" w:space="0" w:color="auto"/>
              </w:divBdr>
              <w:divsChild>
                <w:div w:id="1032994224">
                  <w:marLeft w:val="0"/>
                  <w:marRight w:val="0"/>
                  <w:marTop w:val="0"/>
                  <w:marBottom w:val="0"/>
                  <w:divBdr>
                    <w:top w:val="none" w:sz="0" w:space="0" w:color="auto"/>
                    <w:left w:val="none" w:sz="0" w:space="0" w:color="auto"/>
                    <w:bottom w:val="none" w:sz="0" w:space="0" w:color="auto"/>
                    <w:right w:val="none" w:sz="0" w:space="0" w:color="auto"/>
                  </w:divBdr>
                  <w:divsChild>
                    <w:div w:id="589504692">
                      <w:marLeft w:val="0"/>
                      <w:marRight w:val="0"/>
                      <w:marTop w:val="0"/>
                      <w:marBottom w:val="180"/>
                      <w:divBdr>
                        <w:top w:val="none" w:sz="0" w:space="0" w:color="auto"/>
                        <w:left w:val="none" w:sz="0" w:space="0" w:color="auto"/>
                        <w:bottom w:val="none" w:sz="0" w:space="0" w:color="auto"/>
                        <w:right w:val="none" w:sz="0" w:space="0" w:color="auto"/>
                      </w:divBdr>
                    </w:div>
                  </w:divsChild>
                </w:div>
                <w:div w:id="5910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732517">
          <w:marLeft w:val="0"/>
          <w:marRight w:val="0"/>
          <w:marTop w:val="0"/>
          <w:marBottom w:val="0"/>
          <w:divBdr>
            <w:top w:val="none" w:sz="0" w:space="0" w:color="auto"/>
            <w:left w:val="none" w:sz="0" w:space="0" w:color="auto"/>
            <w:bottom w:val="none" w:sz="0" w:space="0" w:color="auto"/>
            <w:right w:val="none" w:sz="0" w:space="0" w:color="auto"/>
          </w:divBdr>
          <w:divsChild>
            <w:div w:id="1807820972">
              <w:marLeft w:val="-180"/>
              <w:marRight w:val="-180"/>
              <w:marTop w:val="0"/>
              <w:marBottom w:val="0"/>
              <w:divBdr>
                <w:top w:val="none" w:sz="0" w:space="0" w:color="auto"/>
                <w:left w:val="none" w:sz="0" w:space="0" w:color="auto"/>
                <w:bottom w:val="none" w:sz="0" w:space="0" w:color="auto"/>
                <w:right w:val="none" w:sz="0" w:space="0" w:color="auto"/>
              </w:divBdr>
              <w:divsChild>
                <w:div w:id="302582938">
                  <w:marLeft w:val="0"/>
                  <w:marRight w:val="0"/>
                  <w:marTop w:val="0"/>
                  <w:marBottom w:val="0"/>
                  <w:divBdr>
                    <w:top w:val="none" w:sz="0" w:space="0" w:color="auto"/>
                    <w:left w:val="none" w:sz="0" w:space="0" w:color="auto"/>
                    <w:bottom w:val="none" w:sz="0" w:space="0" w:color="auto"/>
                    <w:right w:val="none" w:sz="0" w:space="0" w:color="auto"/>
                  </w:divBdr>
                  <w:divsChild>
                    <w:div w:id="1453665807">
                      <w:marLeft w:val="0"/>
                      <w:marRight w:val="0"/>
                      <w:marTop w:val="0"/>
                      <w:marBottom w:val="180"/>
                      <w:divBdr>
                        <w:top w:val="none" w:sz="0" w:space="0" w:color="auto"/>
                        <w:left w:val="none" w:sz="0" w:space="0" w:color="auto"/>
                        <w:bottom w:val="none" w:sz="0" w:space="0" w:color="auto"/>
                        <w:right w:val="none" w:sz="0" w:space="0" w:color="auto"/>
                      </w:divBdr>
                    </w:div>
                  </w:divsChild>
                </w:div>
                <w:div w:id="20289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7093">
          <w:marLeft w:val="0"/>
          <w:marRight w:val="0"/>
          <w:marTop w:val="0"/>
          <w:marBottom w:val="0"/>
          <w:divBdr>
            <w:top w:val="none" w:sz="0" w:space="0" w:color="auto"/>
            <w:left w:val="none" w:sz="0" w:space="0" w:color="auto"/>
            <w:bottom w:val="none" w:sz="0" w:space="0" w:color="auto"/>
            <w:right w:val="none" w:sz="0" w:space="0" w:color="auto"/>
          </w:divBdr>
          <w:divsChild>
            <w:div w:id="664893875">
              <w:marLeft w:val="-180"/>
              <w:marRight w:val="-180"/>
              <w:marTop w:val="0"/>
              <w:marBottom w:val="0"/>
              <w:divBdr>
                <w:top w:val="none" w:sz="0" w:space="0" w:color="auto"/>
                <w:left w:val="none" w:sz="0" w:space="0" w:color="auto"/>
                <w:bottom w:val="none" w:sz="0" w:space="0" w:color="auto"/>
                <w:right w:val="none" w:sz="0" w:space="0" w:color="auto"/>
              </w:divBdr>
              <w:divsChild>
                <w:div w:id="952132576">
                  <w:marLeft w:val="0"/>
                  <w:marRight w:val="0"/>
                  <w:marTop w:val="0"/>
                  <w:marBottom w:val="0"/>
                  <w:divBdr>
                    <w:top w:val="none" w:sz="0" w:space="0" w:color="auto"/>
                    <w:left w:val="none" w:sz="0" w:space="0" w:color="auto"/>
                    <w:bottom w:val="none" w:sz="0" w:space="0" w:color="auto"/>
                    <w:right w:val="none" w:sz="0" w:space="0" w:color="auto"/>
                  </w:divBdr>
                  <w:divsChild>
                    <w:div w:id="696737466">
                      <w:marLeft w:val="0"/>
                      <w:marRight w:val="0"/>
                      <w:marTop w:val="0"/>
                      <w:marBottom w:val="180"/>
                      <w:divBdr>
                        <w:top w:val="none" w:sz="0" w:space="0" w:color="auto"/>
                        <w:left w:val="none" w:sz="0" w:space="0" w:color="auto"/>
                        <w:bottom w:val="none" w:sz="0" w:space="0" w:color="auto"/>
                        <w:right w:val="none" w:sz="0" w:space="0" w:color="auto"/>
                      </w:divBdr>
                    </w:div>
                  </w:divsChild>
                </w:div>
                <w:div w:id="88506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657263">
          <w:marLeft w:val="0"/>
          <w:marRight w:val="0"/>
          <w:marTop w:val="0"/>
          <w:marBottom w:val="0"/>
          <w:divBdr>
            <w:top w:val="none" w:sz="0" w:space="0" w:color="auto"/>
            <w:left w:val="none" w:sz="0" w:space="0" w:color="auto"/>
            <w:bottom w:val="none" w:sz="0" w:space="0" w:color="auto"/>
            <w:right w:val="none" w:sz="0" w:space="0" w:color="auto"/>
          </w:divBdr>
          <w:divsChild>
            <w:div w:id="1587811472">
              <w:marLeft w:val="-180"/>
              <w:marRight w:val="-180"/>
              <w:marTop w:val="0"/>
              <w:marBottom w:val="0"/>
              <w:divBdr>
                <w:top w:val="none" w:sz="0" w:space="0" w:color="auto"/>
                <w:left w:val="none" w:sz="0" w:space="0" w:color="auto"/>
                <w:bottom w:val="none" w:sz="0" w:space="0" w:color="auto"/>
                <w:right w:val="none" w:sz="0" w:space="0" w:color="auto"/>
              </w:divBdr>
              <w:divsChild>
                <w:div w:id="785393055">
                  <w:marLeft w:val="0"/>
                  <w:marRight w:val="0"/>
                  <w:marTop w:val="0"/>
                  <w:marBottom w:val="0"/>
                  <w:divBdr>
                    <w:top w:val="none" w:sz="0" w:space="0" w:color="auto"/>
                    <w:left w:val="none" w:sz="0" w:space="0" w:color="auto"/>
                    <w:bottom w:val="none" w:sz="0" w:space="0" w:color="auto"/>
                    <w:right w:val="none" w:sz="0" w:space="0" w:color="auto"/>
                  </w:divBdr>
                  <w:divsChild>
                    <w:div w:id="102008502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5452261">
      <w:bodyDiv w:val="1"/>
      <w:marLeft w:val="0"/>
      <w:marRight w:val="0"/>
      <w:marTop w:val="0"/>
      <w:marBottom w:val="0"/>
      <w:divBdr>
        <w:top w:val="none" w:sz="0" w:space="0" w:color="auto"/>
        <w:left w:val="none" w:sz="0" w:space="0" w:color="auto"/>
        <w:bottom w:val="none" w:sz="0" w:space="0" w:color="auto"/>
        <w:right w:val="none" w:sz="0" w:space="0" w:color="auto"/>
      </w:divBdr>
      <w:divsChild>
        <w:div w:id="1247425597">
          <w:marLeft w:val="0"/>
          <w:marRight w:val="0"/>
          <w:marTop w:val="0"/>
          <w:marBottom w:val="720"/>
          <w:divBdr>
            <w:top w:val="none" w:sz="0" w:space="0" w:color="auto"/>
            <w:left w:val="none" w:sz="0" w:space="0" w:color="auto"/>
            <w:bottom w:val="none" w:sz="0" w:space="0" w:color="auto"/>
            <w:right w:val="none" w:sz="0" w:space="0" w:color="auto"/>
          </w:divBdr>
        </w:div>
        <w:div w:id="1605651659">
          <w:marLeft w:val="-180"/>
          <w:marRight w:val="-180"/>
          <w:marTop w:val="0"/>
          <w:marBottom w:val="0"/>
          <w:divBdr>
            <w:top w:val="none" w:sz="0" w:space="0" w:color="auto"/>
            <w:left w:val="none" w:sz="0" w:space="0" w:color="auto"/>
            <w:bottom w:val="none" w:sz="0" w:space="0" w:color="auto"/>
            <w:right w:val="none" w:sz="0" w:space="0" w:color="auto"/>
          </w:divBdr>
          <w:divsChild>
            <w:div w:id="615599369">
              <w:marLeft w:val="0"/>
              <w:marRight w:val="0"/>
              <w:marTop w:val="0"/>
              <w:marBottom w:val="0"/>
              <w:divBdr>
                <w:top w:val="none" w:sz="0" w:space="0" w:color="auto"/>
                <w:left w:val="none" w:sz="0" w:space="0" w:color="auto"/>
                <w:bottom w:val="none" w:sz="0" w:space="0" w:color="auto"/>
                <w:right w:val="none" w:sz="0" w:space="0" w:color="auto"/>
              </w:divBdr>
            </w:div>
          </w:divsChild>
        </w:div>
        <w:div w:id="1213881046">
          <w:marLeft w:val="-180"/>
          <w:marRight w:val="-180"/>
          <w:marTop w:val="0"/>
          <w:marBottom w:val="0"/>
          <w:divBdr>
            <w:top w:val="none" w:sz="0" w:space="0" w:color="auto"/>
            <w:left w:val="none" w:sz="0" w:space="0" w:color="auto"/>
            <w:bottom w:val="none" w:sz="0" w:space="0" w:color="auto"/>
            <w:right w:val="none" w:sz="0" w:space="0" w:color="auto"/>
          </w:divBdr>
          <w:divsChild>
            <w:div w:id="993340628">
              <w:marLeft w:val="0"/>
              <w:marRight w:val="0"/>
              <w:marTop w:val="0"/>
              <w:marBottom w:val="0"/>
              <w:divBdr>
                <w:top w:val="none" w:sz="0" w:space="0" w:color="auto"/>
                <w:left w:val="none" w:sz="0" w:space="0" w:color="auto"/>
                <w:bottom w:val="none" w:sz="0" w:space="0" w:color="auto"/>
                <w:right w:val="none" w:sz="0" w:space="0" w:color="auto"/>
              </w:divBdr>
              <w:divsChild>
                <w:div w:id="967122257">
                  <w:marLeft w:val="0"/>
                  <w:marRight w:val="0"/>
                  <w:marTop w:val="0"/>
                  <w:marBottom w:val="0"/>
                  <w:divBdr>
                    <w:top w:val="none" w:sz="0" w:space="0" w:color="auto"/>
                    <w:left w:val="none" w:sz="0" w:space="0" w:color="auto"/>
                    <w:bottom w:val="none" w:sz="0" w:space="0" w:color="auto"/>
                    <w:right w:val="none" w:sz="0" w:space="0" w:color="auto"/>
                  </w:divBdr>
                  <w:divsChild>
                    <w:div w:id="940064210">
                      <w:marLeft w:val="-180"/>
                      <w:marRight w:val="-180"/>
                      <w:marTop w:val="0"/>
                      <w:marBottom w:val="0"/>
                      <w:divBdr>
                        <w:top w:val="none" w:sz="0" w:space="0" w:color="auto"/>
                        <w:left w:val="none" w:sz="0" w:space="0" w:color="auto"/>
                        <w:bottom w:val="none" w:sz="0" w:space="0" w:color="auto"/>
                        <w:right w:val="none" w:sz="0" w:space="0" w:color="auto"/>
                      </w:divBdr>
                      <w:divsChild>
                        <w:div w:id="874082729">
                          <w:marLeft w:val="0"/>
                          <w:marRight w:val="0"/>
                          <w:marTop w:val="0"/>
                          <w:marBottom w:val="0"/>
                          <w:divBdr>
                            <w:top w:val="none" w:sz="0" w:space="0" w:color="auto"/>
                            <w:left w:val="none" w:sz="0" w:space="0" w:color="auto"/>
                            <w:bottom w:val="none" w:sz="0" w:space="0" w:color="auto"/>
                            <w:right w:val="none" w:sz="0" w:space="0" w:color="auto"/>
                          </w:divBdr>
                          <w:divsChild>
                            <w:div w:id="604534427">
                              <w:marLeft w:val="0"/>
                              <w:marRight w:val="0"/>
                              <w:marTop w:val="0"/>
                              <w:marBottom w:val="0"/>
                              <w:divBdr>
                                <w:top w:val="none" w:sz="0" w:space="0" w:color="auto"/>
                                <w:left w:val="none" w:sz="0" w:space="0" w:color="auto"/>
                                <w:bottom w:val="none" w:sz="0" w:space="0" w:color="auto"/>
                                <w:right w:val="none" w:sz="0" w:space="0" w:color="auto"/>
                              </w:divBdr>
                            </w:div>
                          </w:divsChild>
                        </w:div>
                        <w:div w:id="435760469">
                          <w:marLeft w:val="0"/>
                          <w:marRight w:val="0"/>
                          <w:marTop w:val="0"/>
                          <w:marBottom w:val="0"/>
                          <w:divBdr>
                            <w:top w:val="none" w:sz="0" w:space="0" w:color="auto"/>
                            <w:left w:val="none" w:sz="0" w:space="0" w:color="auto"/>
                            <w:bottom w:val="none" w:sz="0" w:space="0" w:color="auto"/>
                            <w:right w:val="none" w:sz="0" w:space="0" w:color="auto"/>
                          </w:divBdr>
                          <w:divsChild>
                            <w:div w:id="1859540038">
                              <w:marLeft w:val="0"/>
                              <w:marRight w:val="0"/>
                              <w:marTop w:val="0"/>
                              <w:marBottom w:val="0"/>
                              <w:divBdr>
                                <w:top w:val="none" w:sz="0" w:space="0" w:color="auto"/>
                                <w:left w:val="none" w:sz="0" w:space="0" w:color="auto"/>
                                <w:bottom w:val="none" w:sz="0" w:space="0" w:color="auto"/>
                                <w:right w:val="none" w:sz="0" w:space="0" w:color="auto"/>
                              </w:divBdr>
                              <w:divsChild>
                                <w:div w:id="297926930">
                                  <w:marLeft w:val="0"/>
                                  <w:marRight w:val="0"/>
                                  <w:marTop w:val="0"/>
                                  <w:marBottom w:val="0"/>
                                  <w:divBdr>
                                    <w:top w:val="none" w:sz="0" w:space="0" w:color="auto"/>
                                    <w:left w:val="none" w:sz="0" w:space="0" w:color="auto"/>
                                    <w:bottom w:val="none" w:sz="0" w:space="0" w:color="auto"/>
                                    <w:right w:val="none" w:sz="0" w:space="0" w:color="auto"/>
                                  </w:divBdr>
                                </w:div>
                                <w:div w:id="1988901691">
                                  <w:marLeft w:val="0"/>
                                  <w:marRight w:val="0"/>
                                  <w:marTop w:val="0"/>
                                  <w:marBottom w:val="0"/>
                                  <w:divBdr>
                                    <w:top w:val="none" w:sz="0" w:space="0" w:color="auto"/>
                                    <w:left w:val="none" w:sz="0" w:space="0" w:color="auto"/>
                                    <w:bottom w:val="none" w:sz="0" w:space="0" w:color="auto"/>
                                    <w:right w:val="none" w:sz="0" w:space="0" w:color="auto"/>
                                  </w:divBdr>
                                  <w:divsChild>
                                    <w:div w:id="332493748">
                                      <w:marLeft w:val="0"/>
                                      <w:marRight w:val="0"/>
                                      <w:marTop w:val="0"/>
                                      <w:marBottom w:val="0"/>
                                      <w:divBdr>
                                        <w:top w:val="none" w:sz="0" w:space="0" w:color="auto"/>
                                        <w:left w:val="none" w:sz="0" w:space="0" w:color="auto"/>
                                        <w:bottom w:val="none" w:sz="0" w:space="0" w:color="auto"/>
                                        <w:right w:val="none" w:sz="0" w:space="0" w:color="auto"/>
                                      </w:divBdr>
                                      <w:divsChild>
                                        <w:div w:id="1790737684">
                                          <w:marLeft w:val="-180"/>
                                          <w:marRight w:val="-180"/>
                                          <w:marTop w:val="0"/>
                                          <w:marBottom w:val="0"/>
                                          <w:divBdr>
                                            <w:top w:val="none" w:sz="0" w:space="0" w:color="auto"/>
                                            <w:left w:val="none" w:sz="0" w:space="0" w:color="auto"/>
                                            <w:bottom w:val="none" w:sz="0" w:space="0" w:color="auto"/>
                                            <w:right w:val="none" w:sz="0" w:space="0" w:color="auto"/>
                                          </w:divBdr>
                                          <w:divsChild>
                                            <w:div w:id="469439897">
                                              <w:marLeft w:val="0"/>
                                              <w:marRight w:val="0"/>
                                              <w:marTop w:val="0"/>
                                              <w:marBottom w:val="0"/>
                                              <w:divBdr>
                                                <w:top w:val="none" w:sz="0" w:space="0" w:color="auto"/>
                                                <w:left w:val="none" w:sz="0" w:space="0" w:color="auto"/>
                                                <w:bottom w:val="none" w:sz="0" w:space="0" w:color="auto"/>
                                                <w:right w:val="none" w:sz="0" w:space="0" w:color="auto"/>
                                              </w:divBdr>
                                            </w:div>
                                            <w:div w:id="25710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118672">
      <w:bodyDiv w:val="1"/>
      <w:marLeft w:val="0"/>
      <w:marRight w:val="0"/>
      <w:marTop w:val="0"/>
      <w:marBottom w:val="0"/>
      <w:divBdr>
        <w:top w:val="none" w:sz="0" w:space="0" w:color="auto"/>
        <w:left w:val="none" w:sz="0" w:space="0" w:color="auto"/>
        <w:bottom w:val="none" w:sz="0" w:space="0" w:color="auto"/>
        <w:right w:val="none" w:sz="0" w:space="0" w:color="auto"/>
      </w:divBdr>
      <w:divsChild>
        <w:div w:id="306252157">
          <w:marLeft w:val="0"/>
          <w:marRight w:val="0"/>
          <w:marTop w:val="0"/>
          <w:marBottom w:val="720"/>
          <w:divBdr>
            <w:top w:val="none" w:sz="0" w:space="0" w:color="auto"/>
            <w:left w:val="none" w:sz="0" w:space="0" w:color="auto"/>
            <w:bottom w:val="none" w:sz="0" w:space="0" w:color="auto"/>
            <w:right w:val="none" w:sz="0" w:space="0" w:color="auto"/>
          </w:divBdr>
        </w:div>
        <w:div w:id="2086803603">
          <w:marLeft w:val="-180"/>
          <w:marRight w:val="-180"/>
          <w:marTop w:val="0"/>
          <w:marBottom w:val="0"/>
          <w:divBdr>
            <w:top w:val="none" w:sz="0" w:space="0" w:color="auto"/>
            <w:left w:val="none" w:sz="0" w:space="0" w:color="auto"/>
            <w:bottom w:val="none" w:sz="0" w:space="0" w:color="auto"/>
            <w:right w:val="none" w:sz="0" w:space="0" w:color="auto"/>
          </w:divBdr>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78730669">
      <w:bodyDiv w:val="1"/>
      <w:marLeft w:val="0"/>
      <w:marRight w:val="0"/>
      <w:marTop w:val="0"/>
      <w:marBottom w:val="0"/>
      <w:divBdr>
        <w:top w:val="none" w:sz="0" w:space="0" w:color="auto"/>
        <w:left w:val="none" w:sz="0" w:space="0" w:color="auto"/>
        <w:bottom w:val="none" w:sz="0" w:space="0" w:color="auto"/>
        <w:right w:val="none" w:sz="0" w:space="0" w:color="auto"/>
      </w:divBdr>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1780193">
      <w:bodyDiv w:val="1"/>
      <w:marLeft w:val="0"/>
      <w:marRight w:val="0"/>
      <w:marTop w:val="0"/>
      <w:marBottom w:val="0"/>
      <w:divBdr>
        <w:top w:val="none" w:sz="0" w:space="0" w:color="auto"/>
        <w:left w:val="none" w:sz="0" w:space="0" w:color="auto"/>
        <w:bottom w:val="none" w:sz="0" w:space="0" w:color="auto"/>
        <w:right w:val="none" w:sz="0" w:space="0" w:color="auto"/>
      </w:divBdr>
    </w:div>
    <w:div w:id="1703632969">
      <w:bodyDiv w:val="1"/>
      <w:marLeft w:val="0"/>
      <w:marRight w:val="0"/>
      <w:marTop w:val="0"/>
      <w:marBottom w:val="0"/>
      <w:divBdr>
        <w:top w:val="none" w:sz="0" w:space="0" w:color="auto"/>
        <w:left w:val="none" w:sz="0" w:space="0" w:color="auto"/>
        <w:bottom w:val="none" w:sz="0" w:space="0" w:color="auto"/>
        <w:right w:val="none" w:sz="0" w:space="0" w:color="auto"/>
      </w:divBdr>
      <w:divsChild>
        <w:div w:id="173301924">
          <w:marLeft w:val="0"/>
          <w:marRight w:val="0"/>
          <w:marTop w:val="0"/>
          <w:marBottom w:val="0"/>
          <w:divBdr>
            <w:top w:val="none" w:sz="0" w:space="0" w:color="auto"/>
            <w:left w:val="none" w:sz="0" w:space="0" w:color="auto"/>
            <w:bottom w:val="none" w:sz="0" w:space="0" w:color="auto"/>
            <w:right w:val="none" w:sz="0" w:space="0" w:color="auto"/>
          </w:divBdr>
        </w:div>
        <w:div w:id="1244800335">
          <w:marLeft w:val="-180"/>
          <w:marRight w:val="-180"/>
          <w:marTop w:val="0"/>
          <w:marBottom w:val="0"/>
          <w:divBdr>
            <w:top w:val="none" w:sz="0" w:space="0" w:color="auto"/>
            <w:left w:val="none" w:sz="0" w:space="0" w:color="auto"/>
            <w:bottom w:val="none" w:sz="0" w:space="0" w:color="auto"/>
            <w:right w:val="none" w:sz="0" w:space="0" w:color="auto"/>
          </w:divBdr>
          <w:divsChild>
            <w:div w:id="5515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4042654">
      <w:bodyDiv w:val="1"/>
      <w:marLeft w:val="0"/>
      <w:marRight w:val="0"/>
      <w:marTop w:val="0"/>
      <w:marBottom w:val="0"/>
      <w:divBdr>
        <w:top w:val="none" w:sz="0" w:space="0" w:color="auto"/>
        <w:left w:val="none" w:sz="0" w:space="0" w:color="auto"/>
        <w:bottom w:val="none" w:sz="0" w:space="0" w:color="auto"/>
        <w:right w:val="none" w:sz="0" w:space="0" w:color="auto"/>
      </w:divBdr>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2462478">
      <w:bodyDiv w:val="1"/>
      <w:marLeft w:val="0"/>
      <w:marRight w:val="0"/>
      <w:marTop w:val="0"/>
      <w:marBottom w:val="0"/>
      <w:divBdr>
        <w:top w:val="none" w:sz="0" w:space="0" w:color="auto"/>
        <w:left w:val="none" w:sz="0" w:space="0" w:color="auto"/>
        <w:bottom w:val="none" w:sz="0" w:space="0" w:color="auto"/>
        <w:right w:val="none" w:sz="0" w:space="0" w:color="auto"/>
      </w:divBdr>
      <w:divsChild>
        <w:div w:id="1189904163">
          <w:marLeft w:val="0"/>
          <w:marRight w:val="0"/>
          <w:marTop w:val="0"/>
          <w:marBottom w:val="0"/>
          <w:divBdr>
            <w:top w:val="none" w:sz="0" w:space="0" w:color="auto"/>
            <w:left w:val="none" w:sz="0" w:space="0" w:color="auto"/>
            <w:bottom w:val="none" w:sz="0" w:space="0" w:color="auto"/>
            <w:right w:val="none" w:sz="0" w:space="0" w:color="auto"/>
          </w:divBdr>
        </w:div>
        <w:div w:id="938025135">
          <w:marLeft w:val="0"/>
          <w:marRight w:val="0"/>
          <w:marTop w:val="0"/>
          <w:marBottom w:val="0"/>
          <w:divBdr>
            <w:top w:val="none" w:sz="0" w:space="0" w:color="auto"/>
            <w:left w:val="none" w:sz="0" w:space="0" w:color="auto"/>
            <w:bottom w:val="none" w:sz="0" w:space="0" w:color="auto"/>
            <w:right w:val="none" w:sz="0" w:space="0" w:color="auto"/>
          </w:divBdr>
          <w:divsChild>
            <w:div w:id="858809">
              <w:marLeft w:val="0"/>
              <w:marRight w:val="0"/>
              <w:marTop w:val="0"/>
              <w:marBottom w:val="0"/>
              <w:divBdr>
                <w:top w:val="none" w:sz="0" w:space="0" w:color="auto"/>
                <w:left w:val="none" w:sz="0" w:space="0" w:color="auto"/>
                <w:bottom w:val="none" w:sz="0" w:space="0" w:color="auto"/>
                <w:right w:val="none" w:sz="0" w:space="0" w:color="auto"/>
              </w:divBdr>
              <w:divsChild>
                <w:div w:id="1300109604">
                  <w:marLeft w:val="-180"/>
                  <w:marRight w:val="-180"/>
                  <w:marTop w:val="0"/>
                  <w:marBottom w:val="0"/>
                  <w:divBdr>
                    <w:top w:val="none" w:sz="0" w:space="0" w:color="auto"/>
                    <w:left w:val="none" w:sz="0" w:space="0" w:color="auto"/>
                    <w:bottom w:val="none" w:sz="0" w:space="0" w:color="auto"/>
                    <w:right w:val="none" w:sz="0" w:space="0" w:color="auto"/>
                  </w:divBdr>
                  <w:divsChild>
                    <w:div w:id="535386386">
                      <w:marLeft w:val="0"/>
                      <w:marRight w:val="0"/>
                      <w:marTop w:val="0"/>
                      <w:marBottom w:val="0"/>
                      <w:divBdr>
                        <w:top w:val="none" w:sz="0" w:space="0" w:color="auto"/>
                        <w:left w:val="none" w:sz="0" w:space="0" w:color="auto"/>
                        <w:bottom w:val="none" w:sz="0" w:space="0" w:color="auto"/>
                        <w:right w:val="none" w:sz="0" w:space="0" w:color="auto"/>
                      </w:divBdr>
                    </w:div>
                    <w:div w:id="56186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376443">
      <w:bodyDiv w:val="1"/>
      <w:marLeft w:val="0"/>
      <w:marRight w:val="0"/>
      <w:marTop w:val="0"/>
      <w:marBottom w:val="0"/>
      <w:divBdr>
        <w:top w:val="none" w:sz="0" w:space="0" w:color="auto"/>
        <w:left w:val="none" w:sz="0" w:space="0" w:color="auto"/>
        <w:bottom w:val="none" w:sz="0" w:space="0" w:color="auto"/>
        <w:right w:val="none" w:sz="0" w:space="0" w:color="auto"/>
      </w:divBdr>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0827865">
      <w:bodyDiv w:val="1"/>
      <w:marLeft w:val="0"/>
      <w:marRight w:val="0"/>
      <w:marTop w:val="0"/>
      <w:marBottom w:val="0"/>
      <w:divBdr>
        <w:top w:val="none" w:sz="0" w:space="0" w:color="auto"/>
        <w:left w:val="none" w:sz="0" w:space="0" w:color="auto"/>
        <w:bottom w:val="none" w:sz="0" w:space="0" w:color="auto"/>
        <w:right w:val="none" w:sz="0" w:space="0" w:color="auto"/>
      </w:divBdr>
      <w:divsChild>
        <w:div w:id="240528978">
          <w:marLeft w:val="0"/>
          <w:marRight w:val="0"/>
          <w:marTop w:val="0"/>
          <w:marBottom w:val="0"/>
          <w:divBdr>
            <w:top w:val="none" w:sz="0" w:space="0" w:color="auto"/>
            <w:left w:val="none" w:sz="0" w:space="0" w:color="auto"/>
            <w:bottom w:val="none" w:sz="0" w:space="0" w:color="auto"/>
            <w:right w:val="none" w:sz="0" w:space="0" w:color="auto"/>
          </w:divBdr>
          <w:divsChild>
            <w:div w:id="198207886">
              <w:marLeft w:val="0"/>
              <w:marRight w:val="0"/>
              <w:marTop w:val="0"/>
              <w:marBottom w:val="0"/>
              <w:divBdr>
                <w:top w:val="none" w:sz="0" w:space="0" w:color="auto"/>
                <w:left w:val="none" w:sz="0" w:space="0" w:color="auto"/>
                <w:bottom w:val="none" w:sz="0" w:space="0" w:color="auto"/>
                <w:right w:val="none" w:sz="0" w:space="0" w:color="auto"/>
              </w:divBdr>
            </w:div>
          </w:divsChild>
        </w:div>
        <w:div w:id="1191454228">
          <w:marLeft w:val="-180"/>
          <w:marRight w:val="-180"/>
          <w:marTop w:val="0"/>
          <w:marBottom w:val="0"/>
          <w:divBdr>
            <w:top w:val="none" w:sz="0" w:space="0" w:color="auto"/>
            <w:left w:val="none" w:sz="0" w:space="0" w:color="auto"/>
            <w:bottom w:val="none" w:sz="0" w:space="0" w:color="auto"/>
            <w:right w:val="none" w:sz="0" w:space="0" w:color="auto"/>
          </w:divBdr>
          <w:divsChild>
            <w:div w:id="601454959">
              <w:marLeft w:val="0"/>
              <w:marRight w:val="0"/>
              <w:marTop w:val="0"/>
              <w:marBottom w:val="0"/>
              <w:divBdr>
                <w:top w:val="none" w:sz="0" w:space="0" w:color="auto"/>
                <w:left w:val="none" w:sz="0" w:space="0" w:color="auto"/>
                <w:bottom w:val="none" w:sz="0" w:space="0" w:color="auto"/>
                <w:right w:val="none" w:sz="0" w:space="0" w:color="auto"/>
              </w:divBdr>
            </w:div>
          </w:divsChild>
        </w:div>
        <w:div w:id="1411122062">
          <w:marLeft w:val="-180"/>
          <w:marRight w:val="-180"/>
          <w:marTop w:val="0"/>
          <w:marBottom w:val="0"/>
          <w:divBdr>
            <w:top w:val="none" w:sz="0" w:space="0" w:color="auto"/>
            <w:left w:val="none" w:sz="0" w:space="0" w:color="auto"/>
            <w:bottom w:val="none" w:sz="0" w:space="0" w:color="auto"/>
            <w:right w:val="none" w:sz="0" w:space="0" w:color="auto"/>
          </w:divBdr>
          <w:divsChild>
            <w:div w:id="927466885">
              <w:marLeft w:val="0"/>
              <w:marRight w:val="0"/>
              <w:marTop w:val="0"/>
              <w:marBottom w:val="0"/>
              <w:divBdr>
                <w:top w:val="none" w:sz="0" w:space="0" w:color="auto"/>
                <w:left w:val="none" w:sz="0" w:space="0" w:color="auto"/>
                <w:bottom w:val="none" w:sz="0" w:space="0" w:color="auto"/>
                <w:right w:val="none" w:sz="0" w:space="0" w:color="auto"/>
              </w:divBdr>
              <w:divsChild>
                <w:div w:id="1932660922">
                  <w:marLeft w:val="0"/>
                  <w:marRight w:val="0"/>
                  <w:marTop w:val="0"/>
                  <w:marBottom w:val="0"/>
                  <w:divBdr>
                    <w:top w:val="none" w:sz="0" w:space="0" w:color="auto"/>
                    <w:left w:val="none" w:sz="0" w:space="0" w:color="auto"/>
                    <w:bottom w:val="none" w:sz="0" w:space="0" w:color="auto"/>
                    <w:right w:val="none" w:sz="0" w:space="0" w:color="auto"/>
                  </w:divBdr>
                  <w:divsChild>
                    <w:div w:id="334498700">
                      <w:marLeft w:val="-180"/>
                      <w:marRight w:val="-180"/>
                      <w:marTop w:val="0"/>
                      <w:marBottom w:val="0"/>
                      <w:divBdr>
                        <w:top w:val="none" w:sz="0" w:space="0" w:color="auto"/>
                        <w:left w:val="none" w:sz="0" w:space="0" w:color="auto"/>
                        <w:bottom w:val="none" w:sz="0" w:space="0" w:color="auto"/>
                        <w:right w:val="none" w:sz="0" w:space="0" w:color="auto"/>
                      </w:divBdr>
                      <w:divsChild>
                        <w:div w:id="381908993">
                          <w:marLeft w:val="0"/>
                          <w:marRight w:val="0"/>
                          <w:marTop w:val="0"/>
                          <w:marBottom w:val="0"/>
                          <w:divBdr>
                            <w:top w:val="none" w:sz="0" w:space="0" w:color="auto"/>
                            <w:left w:val="none" w:sz="0" w:space="0" w:color="auto"/>
                            <w:bottom w:val="none" w:sz="0" w:space="0" w:color="auto"/>
                            <w:right w:val="none" w:sz="0" w:space="0" w:color="auto"/>
                          </w:divBdr>
                          <w:divsChild>
                            <w:div w:id="1809980218">
                              <w:marLeft w:val="0"/>
                              <w:marRight w:val="0"/>
                              <w:marTop w:val="0"/>
                              <w:marBottom w:val="0"/>
                              <w:divBdr>
                                <w:top w:val="none" w:sz="0" w:space="0" w:color="auto"/>
                                <w:left w:val="none" w:sz="0" w:space="0" w:color="auto"/>
                                <w:bottom w:val="none" w:sz="0" w:space="0" w:color="auto"/>
                                <w:right w:val="none" w:sz="0" w:space="0" w:color="auto"/>
                              </w:divBdr>
                            </w:div>
                          </w:divsChild>
                        </w:div>
                        <w:div w:id="214898830">
                          <w:marLeft w:val="0"/>
                          <w:marRight w:val="0"/>
                          <w:marTop w:val="0"/>
                          <w:marBottom w:val="0"/>
                          <w:divBdr>
                            <w:top w:val="none" w:sz="0" w:space="0" w:color="auto"/>
                            <w:left w:val="none" w:sz="0" w:space="0" w:color="auto"/>
                            <w:bottom w:val="none" w:sz="0" w:space="0" w:color="auto"/>
                            <w:right w:val="none" w:sz="0" w:space="0" w:color="auto"/>
                          </w:divBdr>
                          <w:divsChild>
                            <w:div w:id="1796411063">
                              <w:marLeft w:val="0"/>
                              <w:marRight w:val="0"/>
                              <w:marTop w:val="0"/>
                              <w:marBottom w:val="0"/>
                              <w:divBdr>
                                <w:top w:val="none" w:sz="0" w:space="0" w:color="auto"/>
                                <w:left w:val="none" w:sz="0" w:space="0" w:color="auto"/>
                                <w:bottom w:val="none" w:sz="0" w:space="0" w:color="auto"/>
                                <w:right w:val="none" w:sz="0" w:space="0" w:color="auto"/>
                              </w:divBdr>
                              <w:divsChild>
                                <w:div w:id="2052797772">
                                  <w:marLeft w:val="0"/>
                                  <w:marRight w:val="0"/>
                                  <w:marTop w:val="0"/>
                                  <w:marBottom w:val="0"/>
                                  <w:divBdr>
                                    <w:top w:val="none" w:sz="0" w:space="0" w:color="auto"/>
                                    <w:left w:val="none" w:sz="0" w:space="0" w:color="auto"/>
                                    <w:bottom w:val="none" w:sz="0" w:space="0" w:color="auto"/>
                                    <w:right w:val="none" w:sz="0" w:space="0" w:color="auto"/>
                                  </w:divBdr>
                                </w:div>
                                <w:div w:id="2129926292">
                                  <w:marLeft w:val="0"/>
                                  <w:marRight w:val="0"/>
                                  <w:marTop w:val="0"/>
                                  <w:marBottom w:val="0"/>
                                  <w:divBdr>
                                    <w:top w:val="none" w:sz="0" w:space="0" w:color="auto"/>
                                    <w:left w:val="none" w:sz="0" w:space="0" w:color="auto"/>
                                    <w:bottom w:val="none" w:sz="0" w:space="0" w:color="auto"/>
                                    <w:right w:val="none" w:sz="0" w:space="0" w:color="auto"/>
                                  </w:divBdr>
                                  <w:divsChild>
                                    <w:div w:id="2437997">
                                      <w:marLeft w:val="0"/>
                                      <w:marRight w:val="0"/>
                                      <w:marTop w:val="0"/>
                                      <w:marBottom w:val="0"/>
                                      <w:divBdr>
                                        <w:top w:val="none" w:sz="0" w:space="0" w:color="auto"/>
                                        <w:left w:val="none" w:sz="0" w:space="0" w:color="auto"/>
                                        <w:bottom w:val="none" w:sz="0" w:space="0" w:color="auto"/>
                                        <w:right w:val="none" w:sz="0" w:space="0" w:color="auto"/>
                                      </w:divBdr>
                                      <w:divsChild>
                                        <w:div w:id="2024043488">
                                          <w:marLeft w:val="-180"/>
                                          <w:marRight w:val="-180"/>
                                          <w:marTop w:val="0"/>
                                          <w:marBottom w:val="0"/>
                                          <w:divBdr>
                                            <w:top w:val="none" w:sz="0" w:space="0" w:color="auto"/>
                                            <w:left w:val="none" w:sz="0" w:space="0" w:color="auto"/>
                                            <w:bottom w:val="none" w:sz="0" w:space="0" w:color="auto"/>
                                            <w:right w:val="none" w:sz="0" w:space="0" w:color="auto"/>
                                          </w:divBdr>
                                          <w:divsChild>
                                            <w:div w:id="1146240112">
                                              <w:marLeft w:val="0"/>
                                              <w:marRight w:val="0"/>
                                              <w:marTop w:val="0"/>
                                              <w:marBottom w:val="0"/>
                                              <w:divBdr>
                                                <w:top w:val="none" w:sz="0" w:space="0" w:color="auto"/>
                                                <w:left w:val="none" w:sz="0" w:space="0" w:color="auto"/>
                                                <w:bottom w:val="none" w:sz="0" w:space="0" w:color="auto"/>
                                                <w:right w:val="none" w:sz="0" w:space="0" w:color="auto"/>
                                              </w:divBdr>
                                            </w:div>
                                            <w:div w:id="105758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2675096">
      <w:bodyDiv w:val="1"/>
      <w:marLeft w:val="0"/>
      <w:marRight w:val="0"/>
      <w:marTop w:val="0"/>
      <w:marBottom w:val="0"/>
      <w:divBdr>
        <w:top w:val="none" w:sz="0" w:space="0" w:color="auto"/>
        <w:left w:val="none" w:sz="0" w:space="0" w:color="auto"/>
        <w:bottom w:val="none" w:sz="0" w:space="0" w:color="auto"/>
        <w:right w:val="none" w:sz="0" w:space="0" w:color="auto"/>
      </w:divBdr>
      <w:divsChild>
        <w:div w:id="2138066925">
          <w:marLeft w:val="0"/>
          <w:marRight w:val="0"/>
          <w:marTop w:val="0"/>
          <w:marBottom w:val="375"/>
          <w:divBdr>
            <w:top w:val="none" w:sz="0" w:space="0" w:color="auto"/>
            <w:left w:val="none" w:sz="0" w:space="0" w:color="auto"/>
            <w:bottom w:val="none" w:sz="0" w:space="0" w:color="auto"/>
            <w:right w:val="none" w:sz="0" w:space="0" w:color="auto"/>
          </w:divBdr>
          <w:divsChild>
            <w:div w:id="815802200">
              <w:marLeft w:val="0"/>
              <w:marRight w:val="0"/>
              <w:marTop w:val="0"/>
              <w:marBottom w:val="0"/>
              <w:divBdr>
                <w:top w:val="none" w:sz="0" w:space="0" w:color="auto"/>
                <w:left w:val="none" w:sz="0" w:space="0" w:color="auto"/>
                <w:bottom w:val="none" w:sz="0" w:space="0" w:color="auto"/>
                <w:right w:val="none" w:sz="0" w:space="0" w:color="auto"/>
              </w:divBdr>
              <w:divsChild>
                <w:div w:id="210950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19398">
          <w:marLeft w:val="0"/>
          <w:marRight w:val="0"/>
          <w:marTop w:val="0"/>
          <w:marBottom w:val="0"/>
          <w:divBdr>
            <w:top w:val="none" w:sz="0" w:space="0" w:color="auto"/>
            <w:left w:val="none" w:sz="0" w:space="0" w:color="auto"/>
            <w:bottom w:val="none" w:sz="0" w:space="0" w:color="auto"/>
            <w:right w:val="none" w:sz="0" w:space="0" w:color="auto"/>
          </w:divBdr>
          <w:divsChild>
            <w:div w:id="712316114">
              <w:marLeft w:val="0"/>
              <w:marRight w:val="0"/>
              <w:marTop w:val="0"/>
              <w:marBottom w:val="0"/>
              <w:divBdr>
                <w:top w:val="none" w:sz="0" w:space="0" w:color="auto"/>
                <w:left w:val="none" w:sz="0" w:space="0" w:color="auto"/>
                <w:bottom w:val="none" w:sz="0" w:space="0" w:color="auto"/>
                <w:right w:val="none" w:sz="0" w:space="0" w:color="auto"/>
              </w:divBdr>
              <w:divsChild>
                <w:div w:id="1609774478">
                  <w:marLeft w:val="-180"/>
                  <w:marRight w:val="-180"/>
                  <w:marTop w:val="0"/>
                  <w:marBottom w:val="0"/>
                  <w:divBdr>
                    <w:top w:val="none" w:sz="0" w:space="0" w:color="auto"/>
                    <w:left w:val="none" w:sz="0" w:space="0" w:color="auto"/>
                    <w:bottom w:val="none" w:sz="0" w:space="0" w:color="auto"/>
                    <w:right w:val="none" w:sz="0" w:space="0" w:color="auto"/>
                  </w:divBdr>
                  <w:divsChild>
                    <w:div w:id="174525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865782">
      <w:bodyDiv w:val="1"/>
      <w:marLeft w:val="0"/>
      <w:marRight w:val="0"/>
      <w:marTop w:val="0"/>
      <w:marBottom w:val="0"/>
      <w:divBdr>
        <w:top w:val="none" w:sz="0" w:space="0" w:color="auto"/>
        <w:left w:val="none" w:sz="0" w:space="0" w:color="auto"/>
        <w:bottom w:val="none" w:sz="0" w:space="0" w:color="auto"/>
        <w:right w:val="none" w:sz="0" w:space="0" w:color="auto"/>
      </w:divBdr>
      <w:divsChild>
        <w:div w:id="416903012">
          <w:marLeft w:val="-180"/>
          <w:marRight w:val="-180"/>
          <w:marTop w:val="0"/>
          <w:marBottom w:val="0"/>
          <w:divBdr>
            <w:top w:val="none" w:sz="0" w:space="0" w:color="auto"/>
            <w:left w:val="none" w:sz="0" w:space="0" w:color="auto"/>
            <w:bottom w:val="none" w:sz="0" w:space="0" w:color="auto"/>
            <w:right w:val="none" w:sz="0" w:space="0" w:color="auto"/>
          </w:divBdr>
          <w:divsChild>
            <w:div w:id="3900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49978030">
      <w:bodyDiv w:val="1"/>
      <w:marLeft w:val="0"/>
      <w:marRight w:val="0"/>
      <w:marTop w:val="0"/>
      <w:marBottom w:val="0"/>
      <w:divBdr>
        <w:top w:val="none" w:sz="0" w:space="0" w:color="auto"/>
        <w:left w:val="none" w:sz="0" w:space="0" w:color="auto"/>
        <w:bottom w:val="none" w:sz="0" w:space="0" w:color="auto"/>
        <w:right w:val="none" w:sz="0" w:space="0" w:color="auto"/>
      </w:divBdr>
      <w:divsChild>
        <w:div w:id="2045669914">
          <w:marLeft w:val="0"/>
          <w:marRight w:val="0"/>
          <w:marTop w:val="0"/>
          <w:marBottom w:val="720"/>
          <w:divBdr>
            <w:top w:val="none" w:sz="0" w:space="0" w:color="auto"/>
            <w:left w:val="none" w:sz="0" w:space="0" w:color="auto"/>
            <w:bottom w:val="single" w:sz="18" w:space="15" w:color="E8E8E8"/>
            <w:right w:val="none" w:sz="0" w:space="0" w:color="auto"/>
          </w:divBdr>
        </w:div>
        <w:div w:id="973216146">
          <w:marLeft w:val="0"/>
          <w:marRight w:val="0"/>
          <w:marTop w:val="0"/>
          <w:marBottom w:val="0"/>
          <w:divBdr>
            <w:top w:val="none" w:sz="0" w:space="0" w:color="auto"/>
            <w:left w:val="none" w:sz="0" w:space="0" w:color="auto"/>
            <w:bottom w:val="none" w:sz="0" w:space="0" w:color="auto"/>
            <w:right w:val="none" w:sz="0" w:space="0" w:color="auto"/>
          </w:divBdr>
          <w:divsChild>
            <w:div w:id="1965648865">
              <w:marLeft w:val="0"/>
              <w:marRight w:val="0"/>
              <w:marTop w:val="0"/>
              <w:marBottom w:val="0"/>
              <w:divBdr>
                <w:top w:val="none" w:sz="0" w:space="0" w:color="auto"/>
                <w:left w:val="none" w:sz="0" w:space="0" w:color="auto"/>
                <w:bottom w:val="none" w:sz="0" w:space="0" w:color="auto"/>
                <w:right w:val="none" w:sz="0" w:space="0" w:color="auto"/>
              </w:divBdr>
            </w:div>
          </w:divsChild>
        </w:div>
        <w:div w:id="1640260689">
          <w:marLeft w:val="-180"/>
          <w:marRight w:val="-180"/>
          <w:marTop w:val="0"/>
          <w:marBottom w:val="0"/>
          <w:divBdr>
            <w:top w:val="none" w:sz="0" w:space="0" w:color="auto"/>
            <w:left w:val="none" w:sz="0" w:space="0" w:color="auto"/>
            <w:bottom w:val="none" w:sz="0" w:space="0" w:color="auto"/>
            <w:right w:val="none" w:sz="0" w:space="0" w:color="auto"/>
          </w:divBdr>
          <w:divsChild>
            <w:div w:id="220336051">
              <w:marLeft w:val="0"/>
              <w:marRight w:val="0"/>
              <w:marTop w:val="0"/>
              <w:marBottom w:val="0"/>
              <w:divBdr>
                <w:top w:val="none" w:sz="0" w:space="0" w:color="auto"/>
                <w:left w:val="none" w:sz="0" w:space="0" w:color="auto"/>
                <w:bottom w:val="none" w:sz="0" w:space="0" w:color="auto"/>
                <w:right w:val="none" w:sz="0" w:space="0" w:color="auto"/>
              </w:divBdr>
              <w:divsChild>
                <w:div w:id="1090275627">
                  <w:marLeft w:val="0"/>
                  <w:marRight w:val="0"/>
                  <w:marTop w:val="0"/>
                  <w:marBottom w:val="0"/>
                  <w:divBdr>
                    <w:top w:val="none" w:sz="0" w:space="0" w:color="auto"/>
                    <w:left w:val="none" w:sz="0" w:space="0" w:color="auto"/>
                    <w:bottom w:val="none" w:sz="0" w:space="0" w:color="auto"/>
                    <w:right w:val="none" w:sz="0" w:space="0" w:color="auto"/>
                  </w:divBdr>
                  <w:divsChild>
                    <w:div w:id="408113917">
                      <w:marLeft w:val="0"/>
                      <w:marRight w:val="0"/>
                      <w:marTop w:val="0"/>
                      <w:marBottom w:val="0"/>
                      <w:divBdr>
                        <w:top w:val="none" w:sz="0" w:space="0" w:color="auto"/>
                        <w:left w:val="none" w:sz="0" w:space="0" w:color="auto"/>
                        <w:bottom w:val="none" w:sz="0" w:space="0" w:color="auto"/>
                        <w:right w:val="none" w:sz="0" w:space="0" w:color="auto"/>
                      </w:divBdr>
                    </w:div>
                    <w:div w:id="1311791682">
                      <w:marLeft w:val="-765"/>
                      <w:marRight w:val="0"/>
                      <w:marTop w:val="0"/>
                      <w:marBottom w:val="0"/>
                      <w:divBdr>
                        <w:top w:val="none" w:sz="0" w:space="0" w:color="auto"/>
                        <w:left w:val="none" w:sz="0" w:space="0" w:color="auto"/>
                        <w:bottom w:val="none" w:sz="0" w:space="0" w:color="auto"/>
                        <w:right w:val="none" w:sz="0" w:space="0" w:color="auto"/>
                      </w:divBdr>
                      <w:divsChild>
                        <w:div w:id="131467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459557">
              <w:marLeft w:val="0"/>
              <w:marRight w:val="0"/>
              <w:marTop w:val="0"/>
              <w:marBottom w:val="0"/>
              <w:divBdr>
                <w:top w:val="none" w:sz="0" w:space="0" w:color="auto"/>
                <w:left w:val="none" w:sz="0" w:space="0" w:color="auto"/>
                <w:bottom w:val="none" w:sz="0" w:space="0" w:color="auto"/>
                <w:right w:val="none" w:sz="0" w:space="0" w:color="auto"/>
              </w:divBdr>
              <w:divsChild>
                <w:div w:id="1699694319">
                  <w:marLeft w:val="0"/>
                  <w:marRight w:val="0"/>
                  <w:marTop w:val="0"/>
                  <w:marBottom w:val="0"/>
                  <w:divBdr>
                    <w:top w:val="none" w:sz="0" w:space="0" w:color="auto"/>
                    <w:left w:val="none" w:sz="0" w:space="0" w:color="auto"/>
                    <w:bottom w:val="none" w:sz="0" w:space="0" w:color="auto"/>
                    <w:right w:val="none" w:sz="0" w:space="0" w:color="auto"/>
                  </w:divBdr>
                  <w:divsChild>
                    <w:div w:id="1150168020">
                      <w:marLeft w:val="0"/>
                      <w:marRight w:val="0"/>
                      <w:marTop w:val="0"/>
                      <w:marBottom w:val="0"/>
                      <w:divBdr>
                        <w:top w:val="none" w:sz="0" w:space="0" w:color="auto"/>
                        <w:left w:val="none" w:sz="0" w:space="0" w:color="auto"/>
                        <w:bottom w:val="none" w:sz="0" w:space="0" w:color="auto"/>
                        <w:right w:val="none" w:sz="0" w:space="0" w:color="auto"/>
                      </w:divBdr>
                    </w:div>
                    <w:div w:id="480468611">
                      <w:marLeft w:val="-765"/>
                      <w:marRight w:val="0"/>
                      <w:marTop w:val="0"/>
                      <w:marBottom w:val="0"/>
                      <w:divBdr>
                        <w:top w:val="none" w:sz="0" w:space="0" w:color="auto"/>
                        <w:left w:val="none" w:sz="0" w:space="0" w:color="auto"/>
                        <w:bottom w:val="none" w:sz="0" w:space="0" w:color="auto"/>
                        <w:right w:val="none" w:sz="0" w:space="0" w:color="auto"/>
                      </w:divBdr>
                      <w:divsChild>
                        <w:div w:id="14667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469196">
          <w:marLeft w:val="-180"/>
          <w:marRight w:val="-180"/>
          <w:marTop w:val="0"/>
          <w:marBottom w:val="0"/>
          <w:divBdr>
            <w:top w:val="none" w:sz="0" w:space="0" w:color="auto"/>
            <w:left w:val="none" w:sz="0" w:space="0" w:color="auto"/>
            <w:bottom w:val="none" w:sz="0" w:space="0" w:color="auto"/>
            <w:right w:val="none" w:sz="0" w:space="0" w:color="auto"/>
          </w:divBdr>
          <w:divsChild>
            <w:div w:id="513350767">
              <w:marLeft w:val="0"/>
              <w:marRight w:val="0"/>
              <w:marTop w:val="0"/>
              <w:marBottom w:val="0"/>
              <w:divBdr>
                <w:top w:val="none" w:sz="0" w:space="0" w:color="auto"/>
                <w:left w:val="none" w:sz="0" w:space="0" w:color="auto"/>
                <w:bottom w:val="none" w:sz="0" w:space="0" w:color="auto"/>
                <w:right w:val="none" w:sz="0" w:space="0" w:color="auto"/>
              </w:divBdr>
              <w:divsChild>
                <w:div w:id="596132299">
                  <w:marLeft w:val="0"/>
                  <w:marRight w:val="0"/>
                  <w:marTop w:val="0"/>
                  <w:marBottom w:val="0"/>
                  <w:divBdr>
                    <w:top w:val="none" w:sz="0" w:space="0" w:color="auto"/>
                    <w:left w:val="none" w:sz="0" w:space="0" w:color="auto"/>
                    <w:bottom w:val="none" w:sz="0" w:space="0" w:color="auto"/>
                    <w:right w:val="none" w:sz="0" w:space="0" w:color="auto"/>
                  </w:divBdr>
                  <w:divsChild>
                    <w:div w:id="7669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3543">
              <w:marLeft w:val="0"/>
              <w:marRight w:val="0"/>
              <w:marTop w:val="0"/>
              <w:marBottom w:val="0"/>
              <w:divBdr>
                <w:top w:val="none" w:sz="0" w:space="0" w:color="auto"/>
                <w:left w:val="none" w:sz="0" w:space="0" w:color="auto"/>
                <w:bottom w:val="none" w:sz="0" w:space="0" w:color="auto"/>
                <w:right w:val="none" w:sz="0" w:space="0" w:color="auto"/>
              </w:divBdr>
              <w:divsChild>
                <w:div w:id="1689064903">
                  <w:marLeft w:val="0"/>
                  <w:marRight w:val="0"/>
                  <w:marTop w:val="0"/>
                  <w:marBottom w:val="0"/>
                  <w:divBdr>
                    <w:top w:val="none" w:sz="0" w:space="0" w:color="auto"/>
                    <w:left w:val="none" w:sz="0" w:space="0" w:color="auto"/>
                    <w:bottom w:val="none" w:sz="0" w:space="0" w:color="auto"/>
                    <w:right w:val="none" w:sz="0" w:space="0" w:color="auto"/>
                  </w:divBdr>
                  <w:divsChild>
                    <w:div w:id="127043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2057">
              <w:marLeft w:val="0"/>
              <w:marRight w:val="0"/>
              <w:marTop w:val="0"/>
              <w:marBottom w:val="0"/>
              <w:divBdr>
                <w:top w:val="none" w:sz="0" w:space="0" w:color="auto"/>
                <w:left w:val="none" w:sz="0" w:space="0" w:color="auto"/>
                <w:bottom w:val="none" w:sz="0" w:space="0" w:color="auto"/>
                <w:right w:val="none" w:sz="0" w:space="0" w:color="auto"/>
              </w:divBdr>
              <w:divsChild>
                <w:div w:id="882251077">
                  <w:marLeft w:val="0"/>
                  <w:marRight w:val="0"/>
                  <w:marTop w:val="0"/>
                  <w:marBottom w:val="0"/>
                  <w:divBdr>
                    <w:top w:val="none" w:sz="0" w:space="0" w:color="auto"/>
                    <w:left w:val="none" w:sz="0" w:space="0" w:color="auto"/>
                    <w:bottom w:val="none" w:sz="0" w:space="0" w:color="auto"/>
                    <w:right w:val="none" w:sz="0" w:space="0" w:color="auto"/>
                  </w:divBdr>
                  <w:divsChild>
                    <w:div w:id="35523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765250">
          <w:marLeft w:val="-180"/>
          <w:marRight w:val="-180"/>
          <w:marTop w:val="0"/>
          <w:marBottom w:val="0"/>
          <w:divBdr>
            <w:top w:val="none" w:sz="0" w:space="0" w:color="auto"/>
            <w:left w:val="none" w:sz="0" w:space="0" w:color="auto"/>
            <w:bottom w:val="none" w:sz="0" w:space="0" w:color="auto"/>
            <w:right w:val="none" w:sz="0" w:space="0" w:color="auto"/>
          </w:divBdr>
          <w:divsChild>
            <w:div w:id="1499613782">
              <w:marLeft w:val="0"/>
              <w:marRight w:val="0"/>
              <w:marTop w:val="0"/>
              <w:marBottom w:val="0"/>
              <w:divBdr>
                <w:top w:val="none" w:sz="0" w:space="0" w:color="auto"/>
                <w:left w:val="none" w:sz="0" w:space="0" w:color="auto"/>
                <w:bottom w:val="none" w:sz="0" w:space="0" w:color="auto"/>
                <w:right w:val="none" w:sz="0" w:space="0" w:color="auto"/>
              </w:divBdr>
              <w:divsChild>
                <w:div w:id="1114059552">
                  <w:marLeft w:val="0"/>
                  <w:marRight w:val="0"/>
                  <w:marTop w:val="0"/>
                  <w:marBottom w:val="0"/>
                  <w:divBdr>
                    <w:top w:val="none" w:sz="0" w:space="0" w:color="auto"/>
                    <w:left w:val="none" w:sz="0" w:space="0" w:color="auto"/>
                    <w:bottom w:val="none" w:sz="0" w:space="0" w:color="auto"/>
                    <w:right w:val="none" w:sz="0" w:space="0" w:color="auto"/>
                  </w:divBdr>
                  <w:divsChild>
                    <w:div w:id="1822885086">
                      <w:marLeft w:val="-180"/>
                      <w:marRight w:val="-180"/>
                      <w:marTop w:val="0"/>
                      <w:marBottom w:val="0"/>
                      <w:divBdr>
                        <w:top w:val="none" w:sz="0" w:space="0" w:color="auto"/>
                        <w:left w:val="none" w:sz="0" w:space="0" w:color="auto"/>
                        <w:bottom w:val="none" w:sz="0" w:space="0" w:color="auto"/>
                        <w:right w:val="none" w:sz="0" w:space="0" w:color="auto"/>
                      </w:divBdr>
                      <w:divsChild>
                        <w:div w:id="713190865">
                          <w:marLeft w:val="0"/>
                          <w:marRight w:val="0"/>
                          <w:marTop w:val="0"/>
                          <w:marBottom w:val="0"/>
                          <w:divBdr>
                            <w:top w:val="none" w:sz="0" w:space="0" w:color="auto"/>
                            <w:left w:val="none" w:sz="0" w:space="0" w:color="auto"/>
                            <w:bottom w:val="none" w:sz="0" w:space="0" w:color="auto"/>
                            <w:right w:val="none" w:sz="0" w:space="0" w:color="auto"/>
                          </w:divBdr>
                        </w:div>
                        <w:div w:id="48798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528831">
          <w:marLeft w:val="0"/>
          <w:marRight w:val="0"/>
          <w:marTop w:val="0"/>
          <w:marBottom w:val="0"/>
          <w:divBdr>
            <w:top w:val="none" w:sz="0" w:space="0" w:color="auto"/>
            <w:left w:val="none" w:sz="0" w:space="0" w:color="auto"/>
            <w:bottom w:val="none" w:sz="0" w:space="0" w:color="auto"/>
            <w:right w:val="none" w:sz="0" w:space="0" w:color="auto"/>
          </w:divBdr>
        </w:div>
        <w:div w:id="983124498">
          <w:marLeft w:val="-180"/>
          <w:marRight w:val="-180"/>
          <w:marTop w:val="0"/>
          <w:marBottom w:val="0"/>
          <w:divBdr>
            <w:top w:val="none" w:sz="0" w:space="0" w:color="auto"/>
            <w:left w:val="none" w:sz="0" w:space="0" w:color="auto"/>
            <w:bottom w:val="none" w:sz="0" w:space="0" w:color="auto"/>
            <w:right w:val="none" w:sz="0" w:space="0" w:color="auto"/>
          </w:divBdr>
          <w:divsChild>
            <w:div w:id="1677346624">
              <w:marLeft w:val="0"/>
              <w:marRight w:val="0"/>
              <w:marTop w:val="0"/>
              <w:marBottom w:val="0"/>
              <w:divBdr>
                <w:top w:val="none" w:sz="0" w:space="0" w:color="auto"/>
                <w:left w:val="none" w:sz="0" w:space="0" w:color="auto"/>
                <w:bottom w:val="none" w:sz="0" w:space="0" w:color="auto"/>
                <w:right w:val="none" w:sz="0" w:space="0" w:color="auto"/>
              </w:divBdr>
            </w:div>
            <w:div w:id="1681616702">
              <w:marLeft w:val="0"/>
              <w:marRight w:val="0"/>
              <w:marTop w:val="0"/>
              <w:marBottom w:val="0"/>
              <w:divBdr>
                <w:top w:val="none" w:sz="0" w:space="0" w:color="auto"/>
                <w:left w:val="none" w:sz="0" w:space="0" w:color="auto"/>
                <w:bottom w:val="none" w:sz="0" w:space="0" w:color="auto"/>
                <w:right w:val="none" w:sz="0" w:space="0" w:color="auto"/>
              </w:divBdr>
            </w:div>
          </w:divsChild>
        </w:div>
        <w:div w:id="155341706">
          <w:marLeft w:val="-180"/>
          <w:marRight w:val="-180"/>
          <w:marTop w:val="0"/>
          <w:marBottom w:val="0"/>
          <w:divBdr>
            <w:top w:val="none" w:sz="0" w:space="0" w:color="auto"/>
            <w:left w:val="none" w:sz="0" w:space="0" w:color="auto"/>
            <w:bottom w:val="none" w:sz="0" w:space="0" w:color="auto"/>
            <w:right w:val="none" w:sz="0" w:space="0" w:color="auto"/>
          </w:divBdr>
          <w:divsChild>
            <w:div w:id="1962154126">
              <w:marLeft w:val="0"/>
              <w:marRight w:val="0"/>
              <w:marTop w:val="0"/>
              <w:marBottom w:val="0"/>
              <w:divBdr>
                <w:top w:val="none" w:sz="0" w:space="0" w:color="auto"/>
                <w:left w:val="none" w:sz="0" w:space="0" w:color="auto"/>
                <w:bottom w:val="none" w:sz="0" w:space="0" w:color="auto"/>
                <w:right w:val="none" w:sz="0" w:space="0" w:color="auto"/>
              </w:divBdr>
              <w:divsChild>
                <w:div w:id="66200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86151">
          <w:marLeft w:val="-180"/>
          <w:marRight w:val="-180"/>
          <w:marTop w:val="0"/>
          <w:marBottom w:val="0"/>
          <w:divBdr>
            <w:top w:val="none" w:sz="0" w:space="0" w:color="auto"/>
            <w:left w:val="none" w:sz="0" w:space="0" w:color="auto"/>
            <w:bottom w:val="none" w:sz="0" w:space="0" w:color="auto"/>
            <w:right w:val="none" w:sz="0" w:space="0" w:color="auto"/>
          </w:divBdr>
          <w:divsChild>
            <w:div w:id="2118981659">
              <w:marLeft w:val="0"/>
              <w:marRight w:val="0"/>
              <w:marTop w:val="0"/>
              <w:marBottom w:val="0"/>
              <w:divBdr>
                <w:top w:val="none" w:sz="0" w:space="0" w:color="auto"/>
                <w:left w:val="none" w:sz="0" w:space="0" w:color="auto"/>
                <w:bottom w:val="none" w:sz="0" w:space="0" w:color="auto"/>
                <w:right w:val="none" w:sz="0" w:space="0" w:color="auto"/>
              </w:divBdr>
            </w:div>
            <w:div w:id="16477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128245">
      <w:bodyDiv w:val="1"/>
      <w:marLeft w:val="0"/>
      <w:marRight w:val="0"/>
      <w:marTop w:val="0"/>
      <w:marBottom w:val="0"/>
      <w:divBdr>
        <w:top w:val="none" w:sz="0" w:space="0" w:color="auto"/>
        <w:left w:val="none" w:sz="0" w:space="0" w:color="auto"/>
        <w:bottom w:val="none" w:sz="0" w:space="0" w:color="auto"/>
        <w:right w:val="none" w:sz="0" w:space="0" w:color="auto"/>
      </w:divBdr>
      <w:divsChild>
        <w:div w:id="608507912">
          <w:marLeft w:val="-180"/>
          <w:marRight w:val="-180"/>
          <w:marTop w:val="0"/>
          <w:marBottom w:val="0"/>
          <w:divBdr>
            <w:top w:val="none" w:sz="0" w:space="0" w:color="auto"/>
            <w:left w:val="none" w:sz="0" w:space="0" w:color="auto"/>
            <w:bottom w:val="none" w:sz="0" w:space="0" w:color="auto"/>
            <w:right w:val="none" w:sz="0" w:space="0" w:color="auto"/>
          </w:divBdr>
          <w:divsChild>
            <w:div w:id="1501391426">
              <w:marLeft w:val="0"/>
              <w:marRight w:val="0"/>
              <w:marTop w:val="0"/>
              <w:marBottom w:val="0"/>
              <w:divBdr>
                <w:top w:val="none" w:sz="0" w:space="0" w:color="auto"/>
                <w:left w:val="none" w:sz="0" w:space="0" w:color="auto"/>
                <w:bottom w:val="none" w:sz="0" w:space="0" w:color="auto"/>
                <w:right w:val="none" w:sz="0" w:space="0" w:color="auto"/>
              </w:divBdr>
              <w:divsChild>
                <w:div w:id="2123451516">
                  <w:marLeft w:val="-180"/>
                  <w:marRight w:val="-180"/>
                  <w:marTop w:val="0"/>
                  <w:marBottom w:val="0"/>
                  <w:divBdr>
                    <w:top w:val="none" w:sz="0" w:space="0" w:color="auto"/>
                    <w:left w:val="none" w:sz="0" w:space="0" w:color="auto"/>
                    <w:bottom w:val="none" w:sz="0" w:space="0" w:color="auto"/>
                    <w:right w:val="none" w:sz="0" w:space="0" w:color="auto"/>
                  </w:divBdr>
                  <w:divsChild>
                    <w:div w:id="14247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9413">
              <w:marLeft w:val="0"/>
              <w:marRight w:val="0"/>
              <w:marTop w:val="0"/>
              <w:marBottom w:val="0"/>
              <w:divBdr>
                <w:top w:val="none" w:sz="0" w:space="0" w:color="auto"/>
                <w:left w:val="none" w:sz="0" w:space="0" w:color="auto"/>
                <w:bottom w:val="none" w:sz="0" w:space="0" w:color="auto"/>
                <w:right w:val="none" w:sz="0" w:space="0" w:color="auto"/>
              </w:divBdr>
              <w:divsChild>
                <w:div w:id="1674911802">
                  <w:marLeft w:val="-180"/>
                  <w:marRight w:val="-180"/>
                  <w:marTop w:val="0"/>
                  <w:marBottom w:val="0"/>
                  <w:divBdr>
                    <w:top w:val="none" w:sz="0" w:space="0" w:color="auto"/>
                    <w:left w:val="none" w:sz="0" w:space="0" w:color="auto"/>
                    <w:bottom w:val="none" w:sz="0" w:space="0" w:color="auto"/>
                    <w:right w:val="none" w:sz="0" w:space="0" w:color="auto"/>
                  </w:divBdr>
                  <w:divsChild>
                    <w:div w:id="6588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535">
              <w:marLeft w:val="0"/>
              <w:marRight w:val="0"/>
              <w:marTop w:val="0"/>
              <w:marBottom w:val="0"/>
              <w:divBdr>
                <w:top w:val="none" w:sz="0" w:space="0" w:color="auto"/>
                <w:left w:val="none" w:sz="0" w:space="0" w:color="auto"/>
                <w:bottom w:val="none" w:sz="0" w:space="0" w:color="auto"/>
                <w:right w:val="none" w:sz="0" w:space="0" w:color="auto"/>
              </w:divBdr>
              <w:divsChild>
                <w:div w:id="869300202">
                  <w:marLeft w:val="-180"/>
                  <w:marRight w:val="-180"/>
                  <w:marTop w:val="0"/>
                  <w:marBottom w:val="0"/>
                  <w:divBdr>
                    <w:top w:val="none" w:sz="0" w:space="0" w:color="auto"/>
                    <w:left w:val="none" w:sz="0" w:space="0" w:color="auto"/>
                    <w:bottom w:val="none" w:sz="0" w:space="0" w:color="auto"/>
                    <w:right w:val="none" w:sz="0" w:space="0" w:color="auto"/>
                  </w:divBdr>
                  <w:divsChild>
                    <w:div w:id="64377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29648">
              <w:marLeft w:val="0"/>
              <w:marRight w:val="0"/>
              <w:marTop w:val="0"/>
              <w:marBottom w:val="0"/>
              <w:divBdr>
                <w:top w:val="none" w:sz="0" w:space="0" w:color="auto"/>
                <w:left w:val="none" w:sz="0" w:space="0" w:color="auto"/>
                <w:bottom w:val="none" w:sz="0" w:space="0" w:color="auto"/>
                <w:right w:val="none" w:sz="0" w:space="0" w:color="auto"/>
              </w:divBdr>
              <w:divsChild>
                <w:div w:id="2005090521">
                  <w:marLeft w:val="-180"/>
                  <w:marRight w:val="-180"/>
                  <w:marTop w:val="0"/>
                  <w:marBottom w:val="0"/>
                  <w:divBdr>
                    <w:top w:val="none" w:sz="0" w:space="0" w:color="auto"/>
                    <w:left w:val="none" w:sz="0" w:space="0" w:color="auto"/>
                    <w:bottom w:val="none" w:sz="0" w:space="0" w:color="auto"/>
                    <w:right w:val="none" w:sz="0" w:space="0" w:color="auto"/>
                  </w:divBdr>
                  <w:divsChild>
                    <w:div w:id="6034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6089890">
      <w:bodyDiv w:val="1"/>
      <w:marLeft w:val="0"/>
      <w:marRight w:val="0"/>
      <w:marTop w:val="0"/>
      <w:marBottom w:val="0"/>
      <w:divBdr>
        <w:top w:val="none" w:sz="0" w:space="0" w:color="auto"/>
        <w:left w:val="none" w:sz="0" w:space="0" w:color="auto"/>
        <w:bottom w:val="none" w:sz="0" w:space="0" w:color="auto"/>
        <w:right w:val="none" w:sz="0" w:space="0" w:color="auto"/>
      </w:divBdr>
      <w:divsChild>
        <w:div w:id="2010480113">
          <w:marLeft w:val="0"/>
          <w:marRight w:val="0"/>
          <w:marTop w:val="0"/>
          <w:marBottom w:val="0"/>
          <w:divBdr>
            <w:top w:val="none" w:sz="0" w:space="0" w:color="auto"/>
            <w:left w:val="none" w:sz="0" w:space="0" w:color="auto"/>
            <w:bottom w:val="none" w:sz="0" w:space="0" w:color="auto"/>
            <w:right w:val="none" w:sz="0" w:space="0" w:color="auto"/>
          </w:divBdr>
          <w:divsChild>
            <w:div w:id="2130003339">
              <w:marLeft w:val="0"/>
              <w:marRight w:val="0"/>
              <w:marTop w:val="0"/>
              <w:marBottom w:val="0"/>
              <w:divBdr>
                <w:top w:val="none" w:sz="0" w:space="0" w:color="auto"/>
                <w:left w:val="none" w:sz="0" w:space="0" w:color="auto"/>
                <w:bottom w:val="none" w:sz="0" w:space="0" w:color="auto"/>
                <w:right w:val="none" w:sz="0" w:space="0" w:color="auto"/>
              </w:divBdr>
            </w:div>
            <w:div w:id="1893153419">
              <w:marLeft w:val="0"/>
              <w:marRight w:val="0"/>
              <w:marTop w:val="0"/>
              <w:marBottom w:val="0"/>
              <w:divBdr>
                <w:top w:val="none" w:sz="0" w:space="0" w:color="auto"/>
                <w:left w:val="none" w:sz="0" w:space="0" w:color="auto"/>
                <w:bottom w:val="none" w:sz="0" w:space="0" w:color="auto"/>
                <w:right w:val="none" w:sz="0" w:space="0" w:color="auto"/>
              </w:divBdr>
            </w:div>
            <w:div w:id="2075658135">
              <w:marLeft w:val="0"/>
              <w:marRight w:val="0"/>
              <w:marTop w:val="0"/>
              <w:marBottom w:val="0"/>
              <w:divBdr>
                <w:top w:val="none" w:sz="0" w:space="0" w:color="auto"/>
                <w:left w:val="none" w:sz="0" w:space="0" w:color="auto"/>
                <w:bottom w:val="none" w:sz="0" w:space="0" w:color="auto"/>
                <w:right w:val="none" w:sz="0" w:space="0" w:color="auto"/>
              </w:divBdr>
            </w:div>
            <w:div w:id="2099672553">
              <w:marLeft w:val="0"/>
              <w:marRight w:val="0"/>
              <w:marTop w:val="0"/>
              <w:marBottom w:val="0"/>
              <w:divBdr>
                <w:top w:val="none" w:sz="0" w:space="0" w:color="auto"/>
                <w:left w:val="none" w:sz="0" w:space="0" w:color="auto"/>
                <w:bottom w:val="none" w:sz="0" w:space="0" w:color="auto"/>
                <w:right w:val="none" w:sz="0" w:space="0" w:color="auto"/>
              </w:divBdr>
            </w:div>
            <w:div w:id="698969370">
              <w:marLeft w:val="0"/>
              <w:marRight w:val="0"/>
              <w:marTop w:val="0"/>
              <w:marBottom w:val="0"/>
              <w:divBdr>
                <w:top w:val="none" w:sz="0" w:space="0" w:color="auto"/>
                <w:left w:val="none" w:sz="0" w:space="0" w:color="auto"/>
                <w:bottom w:val="none" w:sz="0" w:space="0" w:color="auto"/>
                <w:right w:val="none" w:sz="0" w:space="0" w:color="auto"/>
              </w:divBdr>
            </w:div>
            <w:div w:id="475877284">
              <w:marLeft w:val="0"/>
              <w:marRight w:val="0"/>
              <w:marTop w:val="0"/>
              <w:marBottom w:val="0"/>
              <w:divBdr>
                <w:top w:val="none" w:sz="0" w:space="0" w:color="auto"/>
                <w:left w:val="none" w:sz="0" w:space="0" w:color="auto"/>
                <w:bottom w:val="none" w:sz="0" w:space="0" w:color="auto"/>
                <w:right w:val="none" w:sz="0" w:space="0" w:color="auto"/>
              </w:divBdr>
            </w:div>
            <w:div w:id="1856458809">
              <w:marLeft w:val="0"/>
              <w:marRight w:val="0"/>
              <w:marTop w:val="0"/>
              <w:marBottom w:val="0"/>
              <w:divBdr>
                <w:top w:val="none" w:sz="0" w:space="0" w:color="auto"/>
                <w:left w:val="none" w:sz="0" w:space="0" w:color="auto"/>
                <w:bottom w:val="none" w:sz="0" w:space="0" w:color="auto"/>
                <w:right w:val="none" w:sz="0" w:space="0" w:color="auto"/>
              </w:divBdr>
            </w:div>
            <w:div w:id="678196832">
              <w:marLeft w:val="0"/>
              <w:marRight w:val="0"/>
              <w:marTop w:val="0"/>
              <w:marBottom w:val="0"/>
              <w:divBdr>
                <w:top w:val="none" w:sz="0" w:space="0" w:color="auto"/>
                <w:left w:val="none" w:sz="0" w:space="0" w:color="auto"/>
                <w:bottom w:val="none" w:sz="0" w:space="0" w:color="auto"/>
                <w:right w:val="none" w:sz="0" w:space="0" w:color="auto"/>
              </w:divBdr>
            </w:div>
            <w:div w:id="1727022958">
              <w:marLeft w:val="0"/>
              <w:marRight w:val="0"/>
              <w:marTop w:val="0"/>
              <w:marBottom w:val="0"/>
              <w:divBdr>
                <w:top w:val="none" w:sz="0" w:space="0" w:color="auto"/>
                <w:left w:val="none" w:sz="0" w:space="0" w:color="auto"/>
                <w:bottom w:val="none" w:sz="0" w:space="0" w:color="auto"/>
                <w:right w:val="none" w:sz="0" w:space="0" w:color="auto"/>
              </w:divBdr>
            </w:div>
            <w:div w:id="1495757422">
              <w:marLeft w:val="0"/>
              <w:marRight w:val="0"/>
              <w:marTop w:val="0"/>
              <w:marBottom w:val="0"/>
              <w:divBdr>
                <w:top w:val="none" w:sz="0" w:space="0" w:color="auto"/>
                <w:left w:val="none" w:sz="0" w:space="0" w:color="auto"/>
                <w:bottom w:val="none" w:sz="0" w:space="0" w:color="auto"/>
                <w:right w:val="none" w:sz="0" w:space="0" w:color="auto"/>
              </w:divBdr>
            </w:div>
            <w:div w:id="775487827">
              <w:marLeft w:val="0"/>
              <w:marRight w:val="0"/>
              <w:marTop w:val="0"/>
              <w:marBottom w:val="0"/>
              <w:divBdr>
                <w:top w:val="none" w:sz="0" w:space="0" w:color="auto"/>
                <w:left w:val="none" w:sz="0" w:space="0" w:color="auto"/>
                <w:bottom w:val="none" w:sz="0" w:space="0" w:color="auto"/>
                <w:right w:val="none" w:sz="0" w:space="0" w:color="auto"/>
              </w:divBdr>
            </w:div>
            <w:div w:id="1347902600">
              <w:marLeft w:val="0"/>
              <w:marRight w:val="0"/>
              <w:marTop w:val="0"/>
              <w:marBottom w:val="0"/>
              <w:divBdr>
                <w:top w:val="none" w:sz="0" w:space="0" w:color="auto"/>
                <w:left w:val="none" w:sz="0" w:space="0" w:color="auto"/>
                <w:bottom w:val="none" w:sz="0" w:space="0" w:color="auto"/>
                <w:right w:val="none" w:sz="0" w:space="0" w:color="auto"/>
              </w:divBdr>
            </w:div>
            <w:div w:id="1623265078">
              <w:marLeft w:val="0"/>
              <w:marRight w:val="0"/>
              <w:marTop w:val="0"/>
              <w:marBottom w:val="0"/>
              <w:divBdr>
                <w:top w:val="none" w:sz="0" w:space="0" w:color="auto"/>
                <w:left w:val="none" w:sz="0" w:space="0" w:color="auto"/>
                <w:bottom w:val="none" w:sz="0" w:space="0" w:color="auto"/>
                <w:right w:val="none" w:sz="0" w:space="0" w:color="auto"/>
              </w:divBdr>
            </w:div>
            <w:div w:id="848258992">
              <w:marLeft w:val="0"/>
              <w:marRight w:val="0"/>
              <w:marTop w:val="0"/>
              <w:marBottom w:val="0"/>
              <w:divBdr>
                <w:top w:val="none" w:sz="0" w:space="0" w:color="auto"/>
                <w:left w:val="none" w:sz="0" w:space="0" w:color="auto"/>
                <w:bottom w:val="none" w:sz="0" w:space="0" w:color="auto"/>
                <w:right w:val="none" w:sz="0" w:space="0" w:color="auto"/>
              </w:divBdr>
            </w:div>
            <w:div w:id="1685084079">
              <w:marLeft w:val="0"/>
              <w:marRight w:val="0"/>
              <w:marTop w:val="0"/>
              <w:marBottom w:val="0"/>
              <w:divBdr>
                <w:top w:val="none" w:sz="0" w:space="0" w:color="auto"/>
                <w:left w:val="none" w:sz="0" w:space="0" w:color="auto"/>
                <w:bottom w:val="none" w:sz="0" w:space="0" w:color="auto"/>
                <w:right w:val="none" w:sz="0" w:space="0" w:color="auto"/>
              </w:divBdr>
            </w:div>
            <w:div w:id="1805586459">
              <w:marLeft w:val="0"/>
              <w:marRight w:val="0"/>
              <w:marTop w:val="0"/>
              <w:marBottom w:val="0"/>
              <w:divBdr>
                <w:top w:val="none" w:sz="0" w:space="0" w:color="auto"/>
                <w:left w:val="none" w:sz="0" w:space="0" w:color="auto"/>
                <w:bottom w:val="none" w:sz="0" w:space="0" w:color="auto"/>
                <w:right w:val="none" w:sz="0" w:space="0" w:color="auto"/>
              </w:divBdr>
            </w:div>
          </w:divsChild>
        </w:div>
        <w:div w:id="1715042462">
          <w:marLeft w:val="0"/>
          <w:marRight w:val="0"/>
          <w:marTop w:val="0"/>
          <w:marBottom w:val="0"/>
          <w:divBdr>
            <w:top w:val="none" w:sz="0" w:space="0" w:color="auto"/>
            <w:left w:val="none" w:sz="0" w:space="0" w:color="auto"/>
            <w:bottom w:val="none" w:sz="0" w:space="0" w:color="auto"/>
            <w:right w:val="none" w:sz="0" w:space="0" w:color="auto"/>
          </w:divBdr>
          <w:divsChild>
            <w:div w:id="639382491">
              <w:marLeft w:val="0"/>
              <w:marRight w:val="0"/>
              <w:marTop w:val="0"/>
              <w:marBottom w:val="0"/>
              <w:divBdr>
                <w:top w:val="none" w:sz="0" w:space="0" w:color="auto"/>
                <w:left w:val="none" w:sz="0" w:space="0" w:color="auto"/>
                <w:bottom w:val="none" w:sz="0" w:space="0" w:color="auto"/>
                <w:right w:val="none" w:sz="0" w:space="0" w:color="auto"/>
              </w:divBdr>
            </w:div>
            <w:div w:id="2072339387">
              <w:marLeft w:val="0"/>
              <w:marRight w:val="0"/>
              <w:marTop w:val="0"/>
              <w:marBottom w:val="0"/>
              <w:divBdr>
                <w:top w:val="none" w:sz="0" w:space="0" w:color="auto"/>
                <w:left w:val="none" w:sz="0" w:space="0" w:color="auto"/>
                <w:bottom w:val="none" w:sz="0" w:space="0" w:color="auto"/>
                <w:right w:val="none" w:sz="0" w:space="0" w:color="auto"/>
              </w:divBdr>
            </w:div>
            <w:div w:id="496579001">
              <w:marLeft w:val="0"/>
              <w:marRight w:val="0"/>
              <w:marTop w:val="0"/>
              <w:marBottom w:val="0"/>
              <w:divBdr>
                <w:top w:val="none" w:sz="0" w:space="0" w:color="auto"/>
                <w:left w:val="none" w:sz="0" w:space="0" w:color="auto"/>
                <w:bottom w:val="none" w:sz="0" w:space="0" w:color="auto"/>
                <w:right w:val="none" w:sz="0" w:space="0" w:color="auto"/>
              </w:divBdr>
            </w:div>
            <w:div w:id="663363696">
              <w:marLeft w:val="0"/>
              <w:marRight w:val="0"/>
              <w:marTop w:val="0"/>
              <w:marBottom w:val="0"/>
              <w:divBdr>
                <w:top w:val="none" w:sz="0" w:space="0" w:color="auto"/>
                <w:left w:val="none" w:sz="0" w:space="0" w:color="auto"/>
                <w:bottom w:val="none" w:sz="0" w:space="0" w:color="auto"/>
                <w:right w:val="none" w:sz="0" w:space="0" w:color="auto"/>
              </w:divBdr>
            </w:div>
            <w:div w:id="1416977810">
              <w:marLeft w:val="0"/>
              <w:marRight w:val="0"/>
              <w:marTop w:val="0"/>
              <w:marBottom w:val="0"/>
              <w:divBdr>
                <w:top w:val="none" w:sz="0" w:space="0" w:color="auto"/>
                <w:left w:val="none" w:sz="0" w:space="0" w:color="auto"/>
                <w:bottom w:val="none" w:sz="0" w:space="0" w:color="auto"/>
                <w:right w:val="none" w:sz="0" w:space="0" w:color="auto"/>
              </w:divBdr>
            </w:div>
            <w:div w:id="1543206896">
              <w:marLeft w:val="0"/>
              <w:marRight w:val="0"/>
              <w:marTop w:val="0"/>
              <w:marBottom w:val="0"/>
              <w:divBdr>
                <w:top w:val="none" w:sz="0" w:space="0" w:color="auto"/>
                <w:left w:val="none" w:sz="0" w:space="0" w:color="auto"/>
                <w:bottom w:val="none" w:sz="0" w:space="0" w:color="auto"/>
                <w:right w:val="none" w:sz="0" w:space="0" w:color="auto"/>
              </w:divBdr>
            </w:div>
            <w:div w:id="1594438858">
              <w:marLeft w:val="0"/>
              <w:marRight w:val="0"/>
              <w:marTop w:val="0"/>
              <w:marBottom w:val="0"/>
              <w:divBdr>
                <w:top w:val="none" w:sz="0" w:space="0" w:color="auto"/>
                <w:left w:val="none" w:sz="0" w:space="0" w:color="auto"/>
                <w:bottom w:val="none" w:sz="0" w:space="0" w:color="auto"/>
                <w:right w:val="none" w:sz="0" w:space="0" w:color="auto"/>
              </w:divBdr>
            </w:div>
            <w:div w:id="1365785408">
              <w:marLeft w:val="0"/>
              <w:marRight w:val="0"/>
              <w:marTop w:val="0"/>
              <w:marBottom w:val="0"/>
              <w:divBdr>
                <w:top w:val="none" w:sz="0" w:space="0" w:color="auto"/>
                <w:left w:val="none" w:sz="0" w:space="0" w:color="auto"/>
                <w:bottom w:val="none" w:sz="0" w:space="0" w:color="auto"/>
                <w:right w:val="none" w:sz="0" w:space="0" w:color="auto"/>
              </w:divBdr>
            </w:div>
            <w:div w:id="120006148">
              <w:marLeft w:val="0"/>
              <w:marRight w:val="0"/>
              <w:marTop w:val="0"/>
              <w:marBottom w:val="0"/>
              <w:divBdr>
                <w:top w:val="none" w:sz="0" w:space="0" w:color="auto"/>
                <w:left w:val="none" w:sz="0" w:space="0" w:color="auto"/>
                <w:bottom w:val="none" w:sz="0" w:space="0" w:color="auto"/>
                <w:right w:val="none" w:sz="0" w:space="0" w:color="auto"/>
              </w:divBdr>
            </w:div>
            <w:div w:id="14575909">
              <w:marLeft w:val="0"/>
              <w:marRight w:val="0"/>
              <w:marTop w:val="0"/>
              <w:marBottom w:val="0"/>
              <w:divBdr>
                <w:top w:val="none" w:sz="0" w:space="0" w:color="auto"/>
                <w:left w:val="none" w:sz="0" w:space="0" w:color="auto"/>
                <w:bottom w:val="none" w:sz="0" w:space="0" w:color="auto"/>
                <w:right w:val="none" w:sz="0" w:space="0" w:color="auto"/>
              </w:divBdr>
            </w:div>
            <w:div w:id="1269698483">
              <w:marLeft w:val="0"/>
              <w:marRight w:val="0"/>
              <w:marTop w:val="0"/>
              <w:marBottom w:val="0"/>
              <w:divBdr>
                <w:top w:val="none" w:sz="0" w:space="0" w:color="auto"/>
                <w:left w:val="none" w:sz="0" w:space="0" w:color="auto"/>
                <w:bottom w:val="none" w:sz="0" w:space="0" w:color="auto"/>
                <w:right w:val="none" w:sz="0" w:space="0" w:color="auto"/>
              </w:divBdr>
            </w:div>
            <w:div w:id="1394084460">
              <w:marLeft w:val="0"/>
              <w:marRight w:val="0"/>
              <w:marTop w:val="0"/>
              <w:marBottom w:val="0"/>
              <w:divBdr>
                <w:top w:val="none" w:sz="0" w:space="0" w:color="auto"/>
                <w:left w:val="none" w:sz="0" w:space="0" w:color="auto"/>
                <w:bottom w:val="none" w:sz="0" w:space="0" w:color="auto"/>
                <w:right w:val="none" w:sz="0" w:space="0" w:color="auto"/>
              </w:divBdr>
            </w:div>
            <w:div w:id="1837378701">
              <w:marLeft w:val="0"/>
              <w:marRight w:val="0"/>
              <w:marTop w:val="0"/>
              <w:marBottom w:val="0"/>
              <w:divBdr>
                <w:top w:val="none" w:sz="0" w:space="0" w:color="auto"/>
                <w:left w:val="none" w:sz="0" w:space="0" w:color="auto"/>
                <w:bottom w:val="none" w:sz="0" w:space="0" w:color="auto"/>
                <w:right w:val="none" w:sz="0" w:space="0" w:color="auto"/>
              </w:divBdr>
            </w:div>
            <w:div w:id="937756487">
              <w:marLeft w:val="0"/>
              <w:marRight w:val="0"/>
              <w:marTop w:val="0"/>
              <w:marBottom w:val="0"/>
              <w:divBdr>
                <w:top w:val="none" w:sz="0" w:space="0" w:color="auto"/>
                <w:left w:val="none" w:sz="0" w:space="0" w:color="auto"/>
                <w:bottom w:val="none" w:sz="0" w:space="0" w:color="auto"/>
                <w:right w:val="none" w:sz="0" w:space="0" w:color="auto"/>
              </w:divBdr>
            </w:div>
            <w:div w:id="977031992">
              <w:marLeft w:val="0"/>
              <w:marRight w:val="0"/>
              <w:marTop w:val="0"/>
              <w:marBottom w:val="0"/>
              <w:divBdr>
                <w:top w:val="none" w:sz="0" w:space="0" w:color="auto"/>
                <w:left w:val="none" w:sz="0" w:space="0" w:color="auto"/>
                <w:bottom w:val="none" w:sz="0" w:space="0" w:color="auto"/>
                <w:right w:val="none" w:sz="0" w:space="0" w:color="auto"/>
              </w:divBdr>
            </w:div>
            <w:div w:id="66925496">
              <w:marLeft w:val="0"/>
              <w:marRight w:val="0"/>
              <w:marTop w:val="0"/>
              <w:marBottom w:val="0"/>
              <w:divBdr>
                <w:top w:val="none" w:sz="0" w:space="0" w:color="auto"/>
                <w:left w:val="none" w:sz="0" w:space="0" w:color="auto"/>
                <w:bottom w:val="none" w:sz="0" w:space="0" w:color="auto"/>
                <w:right w:val="none" w:sz="0" w:space="0" w:color="auto"/>
              </w:divBdr>
            </w:div>
            <w:div w:id="820002696">
              <w:marLeft w:val="0"/>
              <w:marRight w:val="0"/>
              <w:marTop w:val="0"/>
              <w:marBottom w:val="0"/>
              <w:divBdr>
                <w:top w:val="none" w:sz="0" w:space="0" w:color="auto"/>
                <w:left w:val="none" w:sz="0" w:space="0" w:color="auto"/>
                <w:bottom w:val="none" w:sz="0" w:space="0" w:color="auto"/>
                <w:right w:val="none" w:sz="0" w:space="0" w:color="auto"/>
              </w:divBdr>
            </w:div>
            <w:div w:id="1493788250">
              <w:marLeft w:val="0"/>
              <w:marRight w:val="0"/>
              <w:marTop w:val="0"/>
              <w:marBottom w:val="0"/>
              <w:divBdr>
                <w:top w:val="none" w:sz="0" w:space="0" w:color="auto"/>
                <w:left w:val="none" w:sz="0" w:space="0" w:color="auto"/>
                <w:bottom w:val="none" w:sz="0" w:space="0" w:color="auto"/>
                <w:right w:val="none" w:sz="0" w:space="0" w:color="auto"/>
              </w:divBdr>
            </w:div>
            <w:div w:id="854030340">
              <w:marLeft w:val="0"/>
              <w:marRight w:val="0"/>
              <w:marTop w:val="0"/>
              <w:marBottom w:val="0"/>
              <w:divBdr>
                <w:top w:val="none" w:sz="0" w:space="0" w:color="auto"/>
                <w:left w:val="none" w:sz="0" w:space="0" w:color="auto"/>
                <w:bottom w:val="none" w:sz="0" w:space="0" w:color="auto"/>
                <w:right w:val="none" w:sz="0" w:space="0" w:color="auto"/>
              </w:divBdr>
            </w:div>
            <w:div w:id="1774937501">
              <w:marLeft w:val="0"/>
              <w:marRight w:val="0"/>
              <w:marTop w:val="0"/>
              <w:marBottom w:val="0"/>
              <w:divBdr>
                <w:top w:val="none" w:sz="0" w:space="0" w:color="auto"/>
                <w:left w:val="none" w:sz="0" w:space="0" w:color="auto"/>
                <w:bottom w:val="none" w:sz="0" w:space="0" w:color="auto"/>
                <w:right w:val="none" w:sz="0" w:space="0" w:color="auto"/>
              </w:divBdr>
            </w:div>
          </w:divsChild>
        </w:div>
        <w:div w:id="682325349">
          <w:marLeft w:val="0"/>
          <w:marRight w:val="0"/>
          <w:marTop w:val="0"/>
          <w:marBottom w:val="0"/>
          <w:divBdr>
            <w:top w:val="none" w:sz="0" w:space="0" w:color="auto"/>
            <w:left w:val="none" w:sz="0" w:space="0" w:color="auto"/>
            <w:bottom w:val="none" w:sz="0" w:space="0" w:color="auto"/>
            <w:right w:val="none" w:sz="0" w:space="0" w:color="auto"/>
          </w:divBdr>
          <w:divsChild>
            <w:div w:id="1610890311">
              <w:marLeft w:val="0"/>
              <w:marRight w:val="0"/>
              <w:marTop w:val="0"/>
              <w:marBottom w:val="0"/>
              <w:divBdr>
                <w:top w:val="none" w:sz="0" w:space="0" w:color="auto"/>
                <w:left w:val="none" w:sz="0" w:space="0" w:color="auto"/>
                <w:bottom w:val="none" w:sz="0" w:space="0" w:color="auto"/>
                <w:right w:val="none" w:sz="0" w:space="0" w:color="auto"/>
              </w:divBdr>
            </w:div>
            <w:div w:id="364603860">
              <w:marLeft w:val="0"/>
              <w:marRight w:val="0"/>
              <w:marTop w:val="0"/>
              <w:marBottom w:val="0"/>
              <w:divBdr>
                <w:top w:val="none" w:sz="0" w:space="0" w:color="auto"/>
                <w:left w:val="none" w:sz="0" w:space="0" w:color="auto"/>
                <w:bottom w:val="none" w:sz="0" w:space="0" w:color="auto"/>
                <w:right w:val="none" w:sz="0" w:space="0" w:color="auto"/>
              </w:divBdr>
            </w:div>
            <w:div w:id="1157109822">
              <w:marLeft w:val="0"/>
              <w:marRight w:val="0"/>
              <w:marTop w:val="0"/>
              <w:marBottom w:val="0"/>
              <w:divBdr>
                <w:top w:val="none" w:sz="0" w:space="0" w:color="auto"/>
                <w:left w:val="none" w:sz="0" w:space="0" w:color="auto"/>
                <w:bottom w:val="none" w:sz="0" w:space="0" w:color="auto"/>
                <w:right w:val="none" w:sz="0" w:space="0" w:color="auto"/>
              </w:divBdr>
            </w:div>
            <w:div w:id="25833173">
              <w:marLeft w:val="0"/>
              <w:marRight w:val="0"/>
              <w:marTop w:val="0"/>
              <w:marBottom w:val="0"/>
              <w:divBdr>
                <w:top w:val="none" w:sz="0" w:space="0" w:color="auto"/>
                <w:left w:val="none" w:sz="0" w:space="0" w:color="auto"/>
                <w:bottom w:val="none" w:sz="0" w:space="0" w:color="auto"/>
                <w:right w:val="none" w:sz="0" w:space="0" w:color="auto"/>
              </w:divBdr>
            </w:div>
            <w:div w:id="1217862654">
              <w:marLeft w:val="0"/>
              <w:marRight w:val="0"/>
              <w:marTop w:val="0"/>
              <w:marBottom w:val="0"/>
              <w:divBdr>
                <w:top w:val="none" w:sz="0" w:space="0" w:color="auto"/>
                <w:left w:val="none" w:sz="0" w:space="0" w:color="auto"/>
                <w:bottom w:val="none" w:sz="0" w:space="0" w:color="auto"/>
                <w:right w:val="none" w:sz="0" w:space="0" w:color="auto"/>
              </w:divBdr>
            </w:div>
            <w:div w:id="1721441234">
              <w:marLeft w:val="0"/>
              <w:marRight w:val="0"/>
              <w:marTop w:val="0"/>
              <w:marBottom w:val="0"/>
              <w:divBdr>
                <w:top w:val="none" w:sz="0" w:space="0" w:color="auto"/>
                <w:left w:val="none" w:sz="0" w:space="0" w:color="auto"/>
                <w:bottom w:val="none" w:sz="0" w:space="0" w:color="auto"/>
                <w:right w:val="none" w:sz="0" w:space="0" w:color="auto"/>
              </w:divBdr>
            </w:div>
            <w:div w:id="1342270055">
              <w:marLeft w:val="0"/>
              <w:marRight w:val="0"/>
              <w:marTop w:val="0"/>
              <w:marBottom w:val="0"/>
              <w:divBdr>
                <w:top w:val="none" w:sz="0" w:space="0" w:color="auto"/>
                <w:left w:val="none" w:sz="0" w:space="0" w:color="auto"/>
                <w:bottom w:val="none" w:sz="0" w:space="0" w:color="auto"/>
                <w:right w:val="none" w:sz="0" w:space="0" w:color="auto"/>
              </w:divBdr>
            </w:div>
            <w:div w:id="650405005">
              <w:marLeft w:val="0"/>
              <w:marRight w:val="0"/>
              <w:marTop w:val="0"/>
              <w:marBottom w:val="0"/>
              <w:divBdr>
                <w:top w:val="none" w:sz="0" w:space="0" w:color="auto"/>
                <w:left w:val="none" w:sz="0" w:space="0" w:color="auto"/>
                <w:bottom w:val="none" w:sz="0" w:space="0" w:color="auto"/>
                <w:right w:val="none" w:sz="0" w:space="0" w:color="auto"/>
              </w:divBdr>
            </w:div>
            <w:div w:id="314380374">
              <w:marLeft w:val="0"/>
              <w:marRight w:val="0"/>
              <w:marTop w:val="0"/>
              <w:marBottom w:val="0"/>
              <w:divBdr>
                <w:top w:val="none" w:sz="0" w:space="0" w:color="auto"/>
                <w:left w:val="none" w:sz="0" w:space="0" w:color="auto"/>
                <w:bottom w:val="none" w:sz="0" w:space="0" w:color="auto"/>
                <w:right w:val="none" w:sz="0" w:space="0" w:color="auto"/>
              </w:divBdr>
            </w:div>
            <w:div w:id="1194656289">
              <w:marLeft w:val="0"/>
              <w:marRight w:val="0"/>
              <w:marTop w:val="0"/>
              <w:marBottom w:val="0"/>
              <w:divBdr>
                <w:top w:val="none" w:sz="0" w:space="0" w:color="auto"/>
                <w:left w:val="none" w:sz="0" w:space="0" w:color="auto"/>
                <w:bottom w:val="none" w:sz="0" w:space="0" w:color="auto"/>
                <w:right w:val="none" w:sz="0" w:space="0" w:color="auto"/>
              </w:divBdr>
            </w:div>
            <w:div w:id="1107966742">
              <w:marLeft w:val="0"/>
              <w:marRight w:val="0"/>
              <w:marTop w:val="0"/>
              <w:marBottom w:val="0"/>
              <w:divBdr>
                <w:top w:val="none" w:sz="0" w:space="0" w:color="auto"/>
                <w:left w:val="none" w:sz="0" w:space="0" w:color="auto"/>
                <w:bottom w:val="none" w:sz="0" w:space="0" w:color="auto"/>
                <w:right w:val="none" w:sz="0" w:space="0" w:color="auto"/>
              </w:divBdr>
            </w:div>
            <w:div w:id="1465467257">
              <w:marLeft w:val="0"/>
              <w:marRight w:val="0"/>
              <w:marTop w:val="0"/>
              <w:marBottom w:val="0"/>
              <w:divBdr>
                <w:top w:val="none" w:sz="0" w:space="0" w:color="auto"/>
                <w:left w:val="none" w:sz="0" w:space="0" w:color="auto"/>
                <w:bottom w:val="none" w:sz="0" w:space="0" w:color="auto"/>
                <w:right w:val="none" w:sz="0" w:space="0" w:color="auto"/>
              </w:divBdr>
            </w:div>
            <w:div w:id="1504784353">
              <w:marLeft w:val="0"/>
              <w:marRight w:val="0"/>
              <w:marTop w:val="0"/>
              <w:marBottom w:val="0"/>
              <w:divBdr>
                <w:top w:val="none" w:sz="0" w:space="0" w:color="auto"/>
                <w:left w:val="none" w:sz="0" w:space="0" w:color="auto"/>
                <w:bottom w:val="none" w:sz="0" w:space="0" w:color="auto"/>
                <w:right w:val="none" w:sz="0" w:space="0" w:color="auto"/>
              </w:divBdr>
            </w:div>
            <w:div w:id="1598513266">
              <w:marLeft w:val="0"/>
              <w:marRight w:val="0"/>
              <w:marTop w:val="0"/>
              <w:marBottom w:val="0"/>
              <w:divBdr>
                <w:top w:val="none" w:sz="0" w:space="0" w:color="auto"/>
                <w:left w:val="none" w:sz="0" w:space="0" w:color="auto"/>
                <w:bottom w:val="none" w:sz="0" w:space="0" w:color="auto"/>
                <w:right w:val="none" w:sz="0" w:space="0" w:color="auto"/>
              </w:divBdr>
            </w:div>
            <w:div w:id="417950262">
              <w:marLeft w:val="0"/>
              <w:marRight w:val="0"/>
              <w:marTop w:val="0"/>
              <w:marBottom w:val="0"/>
              <w:divBdr>
                <w:top w:val="none" w:sz="0" w:space="0" w:color="auto"/>
                <w:left w:val="none" w:sz="0" w:space="0" w:color="auto"/>
                <w:bottom w:val="none" w:sz="0" w:space="0" w:color="auto"/>
                <w:right w:val="none" w:sz="0" w:space="0" w:color="auto"/>
              </w:divBdr>
            </w:div>
            <w:div w:id="1210611709">
              <w:marLeft w:val="0"/>
              <w:marRight w:val="0"/>
              <w:marTop w:val="0"/>
              <w:marBottom w:val="0"/>
              <w:divBdr>
                <w:top w:val="none" w:sz="0" w:space="0" w:color="auto"/>
                <w:left w:val="none" w:sz="0" w:space="0" w:color="auto"/>
                <w:bottom w:val="none" w:sz="0" w:space="0" w:color="auto"/>
                <w:right w:val="none" w:sz="0" w:space="0" w:color="auto"/>
              </w:divBdr>
            </w:div>
            <w:div w:id="2094886855">
              <w:marLeft w:val="0"/>
              <w:marRight w:val="0"/>
              <w:marTop w:val="0"/>
              <w:marBottom w:val="0"/>
              <w:divBdr>
                <w:top w:val="none" w:sz="0" w:space="0" w:color="auto"/>
                <w:left w:val="none" w:sz="0" w:space="0" w:color="auto"/>
                <w:bottom w:val="none" w:sz="0" w:space="0" w:color="auto"/>
                <w:right w:val="none" w:sz="0" w:space="0" w:color="auto"/>
              </w:divBdr>
            </w:div>
            <w:div w:id="1487697041">
              <w:marLeft w:val="0"/>
              <w:marRight w:val="0"/>
              <w:marTop w:val="0"/>
              <w:marBottom w:val="0"/>
              <w:divBdr>
                <w:top w:val="none" w:sz="0" w:space="0" w:color="auto"/>
                <w:left w:val="none" w:sz="0" w:space="0" w:color="auto"/>
                <w:bottom w:val="none" w:sz="0" w:space="0" w:color="auto"/>
                <w:right w:val="none" w:sz="0" w:space="0" w:color="auto"/>
              </w:divBdr>
            </w:div>
            <w:div w:id="472719182">
              <w:marLeft w:val="0"/>
              <w:marRight w:val="0"/>
              <w:marTop w:val="0"/>
              <w:marBottom w:val="0"/>
              <w:divBdr>
                <w:top w:val="none" w:sz="0" w:space="0" w:color="auto"/>
                <w:left w:val="none" w:sz="0" w:space="0" w:color="auto"/>
                <w:bottom w:val="none" w:sz="0" w:space="0" w:color="auto"/>
                <w:right w:val="none" w:sz="0" w:space="0" w:color="auto"/>
              </w:divBdr>
            </w:div>
            <w:div w:id="1282493002">
              <w:marLeft w:val="0"/>
              <w:marRight w:val="0"/>
              <w:marTop w:val="0"/>
              <w:marBottom w:val="0"/>
              <w:divBdr>
                <w:top w:val="none" w:sz="0" w:space="0" w:color="auto"/>
                <w:left w:val="none" w:sz="0" w:space="0" w:color="auto"/>
                <w:bottom w:val="none" w:sz="0" w:space="0" w:color="auto"/>
                <w:right w:val="none" w:sz="0" w:space="0" w:color="auto"/>
              </w:divBdr>
            </w:div>
          </w:divsChild>
        </w:div>
        <w:div w:id="610820718">
          <w:marLeft w:val="0"/>
          <w:marRight w:val="0"/>
          <w:marTop w:val="0"/>
          <w:marBottom w:val="0"/>
          <w:divBdr>
            <w:top w:val="none" w:sz="0" w:space="0" w:color="auto"/>
            <w:left w:val="none" w:sz="0" w:space="0" w:color="auto"/>
            <w:bottom w:val="none" w:sz="0" w:space="0" w:color="auto"/>
            <w:right w:val="none" w:sz="0" w:space="0" w:color="auto"/>
          </w:divBdr>
          <w:divsChild>
            <w:div w:id="1467777011">
              <w:marLeft w:val="0"/>
              <w:marRight w:val="0"/>
              <w:marTop w:val="0"/>
              <w:marBottom w:val="0"/>
              <w:divBdr>
                <w:top w:val="none" w:sz="0" w:space="0" w:color="auto"/>
                <w:left w:val="none" w:sz="0" w:space="0" w:color="auto"/>
                <w:bottom w:val="none" w:sz="0" w:space="0" w:color="auto"/>
                <w:right w:val="none" w:sz="0" w:space="0" w:color="auto"/>
              </w:divBdr>
            </w:div>
            <w:div w:id="938023773">
              <w:marLeft w:val="0"/>
              <w:marRight w:val="0"/>
              <w:marTop w:val="0"/>
              <w:marBottom w:val="0"/>
              <w:divBdr>
                <w:top w:val="none" w:sz="0" w:space="0" w:color="auto"/>
                <w:left w:val="none" w:sz="0" w:space="0" w:color="auto"/>
                <w:bottom w:val="none" w:sz="0" w:space="0" w:color="auto"/>
                <w:right w:val="none" w:sz="0" w:space="0" w:color="auto"/>
              </w:divBdr>
            </w:div>
            <w:div w:id="1292788703">
              <w:marLeft w:val="0"/>
              <w:marRight w:val="0"/>
              <w:marTop w:val="0"/>
              <w:marBottom w:val="0"/>
              <w:divBdr>
                <w:top w:val="none" w:sz="0" w:space="0" w:color="auto"/>
                <w:left w:val="none" w:sz="0" w:space="0" w:color="auto"/>
                <w:bottom w:val="none" w:sz="0" w:space="0" w:color="auto"/>
                <w:right w:val="none" w:sz="0" w:space="0" w:color="auto"/>
              </w:divBdr>
            </w:div>
            <w:div w:id="292173338">
              <w:marLeft w:val="0"/>
              <w:marRight w:val="0"/>
              <w:marTop w:val="0"/>
              <w:marBottom w:val="0"/>
              <w:divBdr>
                <w:top w:val="none" w:sz="0" w:space="0" w:color="auto"/>
                <w:left w:val="none" w:sz="0" w:space="0" w:color="auto"/>
                <w:bottom w:val="none" w:sz="0" w:space="0" w:color="auto"/>
                <w:right w:val="none" w:sz="0" w:space="0" w:color="auto"/>
              </w:divBdr>
            </w:div>
            <w:div w:id="211111710">
              <w:marLeft w:val="0"/>
              <w:marRight w:val="0"/>
              <w:marTop w:val="0"/>
              <w:marBottom w:val="0"/>
              <w:divBdr>
                <w:top w:val="none" w:sz="0" w:space="0" w:color="auto"/>
                <w:left w:val="none" w:sz="0" w:space="0" w:color="auto"/>
                <w:bottom w:val="none" w:sz="0" w:space="0" w:color="auto"/>
                <w:right w:val="none" w:sz="0" w:space="0" w:color="auto"/>
              </w:divBdr>
            </w:div>
            <w:div w:id="1596750020">
              <w:marLeft w:val="0"/>
              <w:marRight w:val="0"/>
              <w:marTop w:val="0"/>
              <w:marBottom w:val="0"/>
              <w:divBdr>
                <w:top w:val="none" w:sz="0" w:space="0" w:color="auto"/>
                <w:left w:val="none" w:sz="0" w:space="0" w:color="auto"/>
                <w:bottom w:val="none" w:sz="0" w:space="0" w:color="auto"/>
                <w:right w:val="none" w:sz="0" w:space="0" w:color="auto"/>
              </w:divBdr>
            </w:div>
            <w:div w:id="1958295824">
              <w:marLeft w:val="0"/>
              <w:marRight w:val="0"/>
              <w:marTop w:val="0"/>
              <w:marBottom w:val="0"/>
              <w:divBdr>
                <w:top w:val="none" w:sz="0" w:space="0" w:color="auto"/>
                <w:left w:val="none" w:sz="0" w:space="0" w:color="auto"/>
                <w:bottom w:val="none" w:sz="0" w:space="0" w:color="auto"/>
                <w:right w:val="none" w:sz="0" w:space="0" w:color="auto"/>
              </w:divBdr>
            </w:div>
            <w:div w:id="1442800262">
              <w:marLeft w:val="0"/>
              <w:marRight w:val="0"/>
              <w:marTop w:val="0"/>
              <w:marBottom w:val="0"/>
              <w:divBdr>
                <w:top w:val="none" w:sz="0" w:space="0" w:color="auto"/>
                <w:left w:val="none" w:sz="0" w:space="0" w:color="auto"/>
                <w:bottom w:val="none" w:sz="0" w:space="0" w:color="auto"/>
                <w:right w:val="none" w:sz="0" w:space="0" w:color="auto"/>
              </w:divBdr>
            </w:div>
            <w:div w:id="1493646510">
              <w:marLeft w:val="0"/>
              <w:marRight w:val="0"/>
              <w:marTop w:val="0"/>
              <w:marBottom w:val="0"/>
              <w:divBdr>
                <w:top w:val="none" w:sz="0" w:space="0" w:color="auto"/>
                <w:left w:val="none" w:sz="0" w:space="0" w:color="auto"/>
                <w:bottom w:val="none" w:sz="0" w:space="0" w:color="auto"/>
                <w:right w:val="none" w:sz="0" w:space="0" w:color="auto"/>
              </w:divBdr>
            </w:div>
            <w:div w:id="2088528502">
              <w:marLeft w:val="0"/>
              <w:marRight w:val="0"/>
              <w:marTop w:val="0"/>
              <w:marBottom w:val="0"/>
              <w:divBdr>
                <w:top w:val="none" w:sz="0" w:space="0" w:color="auto"/>
                <w:left w:val="none" w:sz="0" w:space="0" w:color="auto"/>
                <w:bottom w:val="none" w:sz="0" w:space="0" w:color="auto"/>
                <w:right w:val="none" w:sz="0" w:space="0" w:color="auto"/>
              </w:divBdr>
            </w:div>
            <w:div w:id="1232231489">
              <w:marLeft w:val="0"/>
              <w:marRight w:val="0"/>
              <w:marTop w:val="0"/>
              <w:marBottom w:val="0"/>
              <w:divBdr>
                <w:top w:val="none" w:sz="0" w:space="0" w:color="auto"/>
                <w:left w:val="none" w:sz="0" w:space="0" w:color="auto"/>
                <w:bottom w:val="none" w:sz="0" w:space="0" w:color="auto"/>
                <w:right w:val="none" w:sz="0" w:space="0" w:color="auto"/>
              </w:divBdr>
            </w:div>
            <w:div w:id="1423992107">
              <w:marLeft w:val="0"/>
              <w:marRight w:val="0"/>
              <w:marTop w:val="0"/>
              <w:marBottom w:val="0"/>
              <w:divBdr>
                <w:top w:val="none" w:sz="0" w:space="0" w:color="auto"/>
                <w:left w:val="none" w:sz="0" w:space="0" w:color="auto"/>
                <w:bottom w:val="none" w:sz="0" w:space="0" w:color="auto"/>
                <w:right w:val="none" w:sz="0" w:space="0" w:color="auto"/>
              </w:divBdr>
            </w:div>
            <w:div w:id="1105005681">
              <w:marLeft w:val="0"/>
              <w:marRight w:val="0"/>
              <w:marTop w:val="0"/>
              <w:marBottom w:val="0"/>
              <w:divBdr>
                <w:top w:val="none" w:sz="0" w:space="0" w:color="auto"/>
                <w:left w:val="none" w:sz="0" w:space="0" w:color="auto"/>
                <w:bottom w:val="none" w:sz="0" w:space="0" w:color="auto"/>
                <w:right w:val="none" w:sz="0" w:space="0" w:color="auto"/>
              </w:divBdr>
            </w:div>
            <w:div w:id="1799640198">
              <w:marLeft w:val="0"/>
              <w:marRight w:val="0"/>
              <w:marTop w:val="0"/>
              <w:marBottom w:val="0"/>
              <w:divBdr>
                <w:top w:val="none" w:sz="0" w:space="0" w:color="auto"/>
                <w:left w:val="none" w:sz="0" w:space="0" w:color="auto"/>
                <w:bottom w:val="none" w:sz="0" w:space="0" w:color="auto"/>
                <w:right w:val="none" w:sz="0" w:space="0" w:color="auto"/>
              </w:divBdr>
            </w:div>
            <w:div w:id="1087119426">
              <w:marLeft w:val="0"/>
              <w:marRight w:val="0"/>
              <w:marTop w:val="0"/>
              <w:marBottom w:val="0"/>
              <w:divBdr>
                <w:top w:val="none" w:sz="0" w:space="0" w:color="auto"/>
                <w:left w:val="none" w:sz="0" w:space="0" w:color="auto"/>
                <w:bottom w:val="none" w:sz="0" w:space="0" w:color="auto"/>
                <w:right w:val="none" w:sz="0" w:space="0" w:color="auto"/>
              </w:divBdr>
            </w:div>
            <w:div w:id="108470797">
              <w:marLeft w:val="0"/>
              <w:marRight w:val="0"/>
              <w:marTop w:val="0"/>
              <w:marBottom w:val="0"/>
              <w:divBdr>
                <w:top w:val="none" w:sz="0" w:space="0" w:color="auto"/>
                <w:left w:val="none" w:sz="0" w:space="0" w:color="auto"/>
                <w:bottom w:val="none" w:sz="0" w:space="0" w:color="auto"/>
                <w:right w:val="none" w:sz="0" w:space="0" w:color="auto"/>
              </w:divBdr>
            </w:div>
            <w:div w:id="1878001857">
              <w:marLeft w:val="0"/>
              <w:marRight w:val="0"/>
              <w:marTop w:val="0"/>
              <w:marBottom w:val="0"/>
              <w:divBdr>
                <w:top w:val="none" w:sz="0" w:space="0" w:color="auto"/>
                <w:left w:val="none" w:sz="0" w:space="0" w:color="auto"/>
                <w:bottom w:val="none" w:sz="0" w:space="0" w:color="auto"/>
                <w:right w:val="none" w:sz="0" w:space="0" w:color="auto"/>
              </w:divBdr>
            </w:div>
            <w:div w:id="1729185315">
              <w:marLeft w:val="0"/>
              <w:marRight w:val="0"/>
              <w:marTop w:val="0"/>
              <w:marBottom w:val="0"/>
              <w:divBdr>
                <w:top w:val="none" w:sz="0" w:space="0" w:color="auto"/>
                <w:left w:val="none" w:sz="0" w:space="0" w:color="auto"/>
                <w:bottom w:val="none" w:sz="0" w:space="0" w:color="auto"/>
                <w:right w:val="none" w:sz="0" w:space="0" w:color="auto"/>
              </w:divBdr>
            </w:div>
            <w:div w:id="1374961693">
              <w:marLeft w:val="0"/>
              <w:marRight w:val="0"/>
              <w:marTop w:val="0"/>
              <w:marBottom w:val="0"/>
              <w:divBdr>
                <w:top w:val="none" w:sz="0" w:space="0" w:color="auto"/>
                <w:left w:val="none" w:sz="0" w:space="0" w:color="auto"/>
                <w:bottom w:val="none" w:sz="0" w:space="0" w:color="auto"/>
                <w:right w:val="none" w:sz="0" w:space="0" w:color="auto"/>
              </w:divBdr>
            </w:div>
            <w:div w:id="1305235032">
              <w:marLeft w:val="0"/>
              <w:marRight w:val="0"/>
              <w:marTop w:val="0"/>
              <w:marBottom w:val="0"/>
              <w:divBdr>
                <w:top w:val="none" w:sz="0" w:space="0" w:color="auto"/>
                <w:left w:val="none" w:sz="0" w:space="0" w:color="auto"/>
                <w:bottom w:val="none" w:sz="0" w:space="0" w:color="auto"/>
                <w:right w:val="none" w:sz="0" w:space="0" w:color="auto"/>
              </w:divBdr>
            </w:div>
          </w:divsChild>
        </w:div>
        <w:div w:id="1204055899">
          <w:marLeft w:val="0"/>
          <w:marRight w:val="0"/>
          <w:marTop w:val="0"/>
          <w:marBottom w:val="0"/>
          <w:divBdr>
            <w:top w:val="none" w:sz="0" w:space="0" w:color="auto"/>
            <w:left w:val="none" w:sz="0" w:space="0" w:color="auto"/>
            <w:bottom w:val="none" w:sz="0" w:space="0" w:color="auto"/>
            <w:right w:val="none" w:sz="0" w:space="0" w:color="auto"/>
          </w:divBdr>
        </w:div>
        <w:div w:id="477497131">
          <w:marLeft w:val="0"/>
          <w:marRight w:val="0"/>
          <w:marTop w:val="0"/>
          <w:marBottom w:val="0"/>
          <w:divBdr>
            <w:top w:val="none" w:sz="0" w:space="0" w:color="auto"/>
            <w:left w:val="none" w:sz="0" w:space="0" w:color="auto"/>
            <w:bottom w:val="none" w:sz="0" w:space="0" w:color="auto"/>
            <w:right w:val="none" w:sz="0" w:space="0" w:color="auto"/>
          </w:divBdr>
        </w:div>
        <w:div w:id="2122873840">
          <w:marLeft w:val="0"/>
          <w:marRight w:val="0"/>
          <w:marTop w:val="0"/>
          <w:marBottom w:val="0"/>
          <w:divBdr>
            <w:top w:val="none" w:sz="0" w:space="0" w:color="auto"/>
            <w:left w:val="none" w:sz="0" w:space="0" w:color="auto"/>
            <w:bottom w:val="none" w:sz="0" w:space="0" w:color="auto"/>
            <w:right w:val="none" w:sz="0" w:space="0" w:color="auto"/>
          </w:divBdr>
        </w:div>
        <w:div w:id="1678538225">
          <w:marLeft w:val="0"/>
          <w:marRight w:val="0"/>
          <w:marTop w:val="0"/>
          <w:marBottom w:val="0"/>
          <w:divBdr>
            <w:top w:val="none" w:sz="0" w:space="0" w:color="auto"/>
            <w:left w:val="none" w:sz="0" w:space="0" w:color="auto"/>
            <w:bottom w:val="none" w:sz="0" w:space="0" w:color="auto"/>
            <w:right w:val="none" w:sz="0" w:space="0" w:color="auto"/>
          </w:divBdr>
        </w:div>
        <w:div w:id="1375345105">
          <w:marLeft w:val="0"/>
          <w:marRight w:val="0"/>
          <w:marTop w:val="0"/>
          <w:marBottom w:val="0"/>
          <w:divBdr>
            <w:top w:val="none" w:sz="0" w:space="0" w:color="auto"/>
            <w:left w:val="none" w:sz="0" w:space="0" w:color="auto"/>
            <w:bottom w:val="none" w:sz="0" w:space="0" w:color="auto"/>
            <w:right w:val="none" w:sz="0" w:space="0" w:color="auto"/>
          </w:divBdr>
        </w:div>
        <w:div w:id="1740051517">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6637975">
      <w:bodyDiv w:val="1"/>
      <w:marLeft w:val="0"/>
      <w:marRight w:val="0"/>
      <w:marTop w:val="0"/>
      <w:marBottom w:val="0"/>
      <w:divBdr>
        <w:top w:val="none" w:sz="0" w:space="0" w:color="auto"/>
        <w:left w:val="none" w:sz="0" w:space="0" w:color="auto"/>
        <w:bottom w:val="none" w:sz="0" w:space="0" w:color="auto"/>
        <w:right w:val="none" w:sz="0" w:space="0" w:color="auto"/>
      </w:divBdr>
      <w:divsChild>
        <w:div w:id="1135367829">
          <w:marLeft w:val="0"/>
          <w:marRight w:val="0"/>
          <w:marTop w:val="0"/>
          <w:marBottom w:val="0"/>
          <w:divBdr>
            <w:top w:val="none" w:sz="0" w:space="0" w:color="auto"/>
            <w:left w:val="none" w:sz="0" w:space="0" w:color="auto"/>
            <w:bottom w:val="none" w:sz="0" w:space="0" w:color="auto"/>
            <w:right w:val="none" w:sz="0" w:space="0" w:color="auto"/>
          </w:divBdr>
          <w:divsChild>
            <w:div w:id="480270063">
              <w:marLeft w:val="0"/>
              <w:marRight w:val="0"/>
              <w:marTop w:val="0"/>
              <w:marBottom w:val="0"/>
              <w:divBdr>
                <w:top w:val="none" w:sz="0" w:space="0" w:color="auto"/>
                <w:left w:val="none" w:sz="0" w:space="0" w:color="auto"/>
                <w:bottom w:val="none" w:sz="0" w:space="0" w:color="auto"/>
                <w:right w:val="none" w:sz="0" w:space="0" w:color="auto"/>
              </w:divBdr>
              <w:divsChild>
                <w:div w:id="144317186">
                  <w:marLeft w:val="-180"/>
                  <w:marRight w:val="-180"/>
                  <w:marTop w:val="0"/>
                  <w:marBottom w:val="0"/>
                  <w:divBdr>
                    <w:top w:val="none" w:sz="0" w:space="0" w:color="auto"/>
                    <w:left w:val="none" w:sz="0" w:space="0" w:color="auto"/>
                    <w:bottom w:val="none" w:sz="0" w:space="0" w:color="auto"/>
                    <w:right w:val="none" w:sz="0" w:space="0" w:color="auto"/>
                  </w:divBdr>
                  <w:divsChild>
                    <w:div w:id="746809759">
                      <w:marLeft w:val="0"/>
                      <w:marRight w:val="0"/>
                      <w:marTop w:val="0"/>
                      <w:marBottom w:val="0"/>
                      <w:divBdr>
                        <w:top w:val="none" w:sz="0" w:space="0" w:color="auto"/>
                        <w:left w:val="none" w:sz="0" w:space="0" w:color="auto"/>
                        <w:bottom w:val="none" w:sz="0" w:space="0" w:color="auto"/>
                        <w:right w:val="none" w:sz="0" w:space="0" w:color="auto"/>
                      </w:divBdr>
                    </w:div>
                    <w:div w:id="626813018">
                      <w:marLeft w:val="0"/>
                      <w:marRight w:val="0"/>
                      <w:marTop w:val="0"/>
                      <w:marBottom w:val="0"/>
                      <w:divBdr>
                        <w:top w:val="none" w:sz="0" w:space="0" w:color="auto"/>
                        <w:left w:val="none" w:sz="0" w:space="0" w:color="auto"/>
                        <w:bottom w:val="none" w:sz="0" w:space="0" w:color="auto"/>
                        <w:right w:val="none" w:sz="0" w:space="0" w:color="auto"/>
                      </w:divBdr>
                      <w:divsChild>
                        <w:div w:id="273749334">
                          <w:marLeft w:val="-180"/>
                          <w:marRight w:val="-180"/>
                          <w:marTop w:val="0"/>
                          <w:marBottom w:val="0"/>
                          <w:divBdr>
                            <w:top w:val="none" w:sz="0" w:space="0" w:color="auto"/>
                            <w:left w:val="none" w:sz="0" w:space="0" w:color="auto"/>
                            <w:bottom w:val="none" w:sz="0" w:space="0" w:color="auto"/>
                            <w:right w:val="none" w:sz="0" w:space="0" w:color="auto"/>
                          </w:divBdr>
                          <w:divsChild>
                            <w:div w:id="35458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15474">
                      <w:marLeft w:val="0"/>
                      <w:marRight w:val="0"/>
                      <w:marTop w:val="0"/>
                      <w:marBottom w:val="0"/>
                      <w:divBdr>
                        <w:top w:val="none" w:sz="0" w:space="0" w:color="auto"/>
                        <w:left w:val="none" w:sz="0" w:space="0" w:color="auto"/>
                        <w:bottom w:val="none" w:sz="0" w:space="0" w:color="auto"/>
                        <w:right w:val="none" w:sz="0" w:space="0" w:color="auto"/>
                      </w:divBdr>
                      <w:divsChild>
                        <w:div w:id="1701467729">
                          <w:marLeft w:val="-180"/>
                          <w:marRight w:val="-180"/>
                          <w:marTop w:val="0"/>
                          <w:marBottom w:val="0"/>
                          <w:divBdr>
                            <w:top w:val="none" w:sz="0" w:space="0" w:color="auto"/>
                            <w:left w:val="none" w:sz="0" w:space="0" w:color="auto"/>
                            <w:bottom w:val="none" w:sz="0" w:space="0" w:color="auto"/>
                            <w:right w:val="none" w:sz="0" w:space="0" w:color="auto"/>
                          </w:divBdr>
                          <w:divsChild>
                            <w:div w:id="155341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1933">
                      <w:marLeft w:val="0"/>
                      <w:marRight w:val="0"/>
                      <w:marTop w:val="0"/>
                      <w:marBottom w:val="0"/>
                      <w:divBdr>
                        <w:top w:val="none" w:sz="0" w:space="0" w:color="auto"/>
                        <w:left w:val="none" w:sz="0" w:space="0" w:color="auto"/>
                        <w:bottom w:val="none" w:sz="0" w:space="0" w:color="auto"/>
                        <w:right w:val="none" w:sz="0" w:space="0" w:color="auto"/>
                      </w:divBdr>
                      <w:divsChild>
                        <w:div w:id="1830822402">
                          <w:marLeft w:val="-180"/>
                          <w:marRight w:val="-180"/>
                          <w:marTop w:val="0"/>
                          <w:marBottom w:val="0"/>
                          <w:divBdr>
                            <w:top w:val="none" w:sz="0" w:space="0" w:color="auto"/>
                            <w:left w:val="none" w:sz="0" w:space="0" w:color="auto"/>
                            <w:bottom w:val="none" w:sz="0" w:space="0" w:color="auto"/>
                            <w:right w:val="none" w:sz="0" w:space="0" w:color="auto"/>
                          </w:divBdr>
                          <w:divsChild>
                            <w:div w:id="183509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468210">
      <w:bodyDiv w:val="1"/>
      <w:marLeft w:val="0"/>
      <w:marRight w:val="0"/>
      <w:marTop w:val="0"/>
      <w:marBottom w:val="0"/>
      <w:divBdr>
        <w:top w:val="none" w:sz="0" w:space="0" w:color="auto"/>
        <w:left w:val="none" w:sz="0" w:space="0" w:color="auto"/>
        <w:bottom w:val="none" w:sz="0" w:space="0" w:color="auto"/>
        <w:right w:val="none" w:sz="0" w:space="0" w:color="auto"/>
      </w:divBdr>
      <w:divsChild>
        <w:div w:id="95253785">
          <w:marLeft w:val="0"/>
          <w:marRight w:val="0"/>
          <w:marTop w:val="0"/>
          <w:marBottom w:val="0"/>
          <w:divBdr>
            <w:top w:val="none" w:sz="0" w:space="0" w:color="auto"/>
            <w:left w:val="none" w:sz="0" w:space="0" w:color="auto"/>
            <w:bottom w:val="none" w:sz="0" w:space="0" w:color="auto"/>
            <w:right w:val="none" w:sz="0" w:space="0" w:color="auto"/>
          </w:divBdr>
          <w:divsChild>
            <w:div w:id="1800537779">
              <w:marLeft w:val="0"/>
              <w:marRight w:val="0"/>
              <w:marTop w:val="0"/>
              <w:marBottom w:val="0"/>
              <w:divBdr>
                <w:top w:val="none" w:sz="0" w:space="0" w:color="auto"/>
                <w:left w:val="none" w:sz="0" w:space="0" w:color="auto"/>
                <w:bottom w:val="none" w:sz="0" w:space="0" w:color="auto"/>
                <w:right w:val="none" w:sz="0" w:space="0" w:color="auto"/>
              </w:divBdr>
              <w:divsChild>
                <w:div w:id="1592660662">
                  <w:marLeft w:val="0"/>
                  <w:marRight w:val="0"/>
                  <w:marTop w:val="0"/>
                  <w:marBottom w:val="0"/>
                  <w:divBdr>
                    <w:top w:val="none" w:sz="0" w:space="0" w:color="auto"/>
                    <w:left w:val="none" w:sz="0" w:space="0" w:color="auto"/>
                    <w:bottom w:val="none" w:sz="0" w:space="0" w:color="auto"/>
                    <w:right w:val="none" w:sz="0" w:space="0" w:color="auto"/>
                  </w:divBdr>
                  <w:divsChild>
                    <w:div w:id="425006247">
                      <w:marLeft w:val="0"/>
                      <w:marRight w:val="0"/>
                      <w:marTop w:val="0"/>
                      <w:marBottom w:val="0"/>
                      <w:divBdr>
                        <w:top w:val="none" w:sz="0" w:space="0" w:color="auto"/>
                        <w:left w:val="none" w:sz="0" w:space="0" w:color="auto"/>
                        <w:bottom w:val="none" w:sz="0" w:space="0" w:color="auto"/>
                        <w:right w:val="none" w:sz="0" w:space="0" w:color="auto"/>
                      </w:divBdr>
                      <w:divsChild>
                        <w:div w:id="432014846">
                          <w:marLeft w:val="0"/>
                          <w:marRight w:val="0"/>
                          <w:marTop w:val="0"/>
                          <w:marBottom w:val="0"/>
                          <w:divBdr>
                            <w:top w:val="none" w:sz="0" w:space="0" w:color="auto"/>
                            <w:left w:val="none" w:sz="0" w:space="0" w:color="auto"/>
                            <w:bottom w:val="none" w:sz="0" w:space="0" w:color="auto"/>
                            <w:right w:val="none" w:sz="0" w:space="0" w:color="auto"/>
                          </w:divBdr>
                        </w:div>
                        <w:div w:id="599069580">
                          <w:marLeft w:val="-180"/>
                          <w:marRight w:val="-180"/>
                          <w:marTop w:val="0"/>
                          <w:marBottom w:val="0"/>
                          <w:divBdr>
                            <w:top w:val="none" w:sz="0" w:space="0" w:color="auto"/>
                            <w:left w:val="none" w:sz="0" w:space="0" w:color="auto"/>
                            <w:bottom w:val="none" w:sz="0" w:space="0" w:color="auto"/>
                            <w:right w:val="none" w:sz="0" w:space="0" w:color="auto"/>
                          </w:divBdr>
                          <w:divsChild>
                            <w:div w:id="1551068096">
                              <w:marLeft w:val="0"/>
                              <w:marRight w:val="0"/>
                              <w:marTop w:val="0"/>
                              <w:marBottom w:val="0"/>
                              <w:divBdr>
                                <w:top w:val="none" w:sz="0" w:space="0" w:color="auto"/>
                                <w:left w:val="none" w:sz="0" w:space="0" w:color="auto"/>
                                <w:bottom w:val="none" w:sz="0" w:space="0" w:color="auto"/>
                                <w:right w:val="none" w:sz="0" w:space="0" w:color="auto"/>
                              </w:divBdr>
                              <w:divsChild>
                                <w:div w:id="228275733">
                                  <w:marLeft w:val="0"/>
                                  <w:marRight w:val="0"/>
                                  <w:marTop w:val="0"/>
                                  <w:marBottom w:val="0"/>
                                  <w:divBdr>
                                    <w:top w:val="none" w:sz="0" w:space="0" w:color="auto"/>
                                    <w:left w:val="none" w:sz="0" w:space="0" w:color="auto"/>
                                    <w:bottom w:val="none" w:sz="0" w:space="0" w:color="auto"/>
                                    <w:right w:val="none" w:sz="0" w:space="0" w:color="auto"/>
                                  </w:divBdr>
                                  <w:divsChild>
                                    <w:div w:id="1997032228">
                                      <w:marLeft w:val="0"/>
                                      <w:marRight w:val="0"/>
                                      <w:marTop w:val="0"/>
                                      <w:marBottom w:val="0"/>
                                      <w:divBdr>
                                        <w:top w:val="none" w:sz="0" w:space="0" w:color="auto"/>
                                        <w:left w:val="none" w:sz="0" w:space="0" w:color="auto"/>
                                        <w:bottom w:val="none" w:sz="0" w:space="0" w:color="auto"/>
                                        <w:right w:val="none" w:sz="0" w:space="0" w:color="auto"/>
                                      </w:divBdr>
                                    </w:div>
                                    <w:div w:id="1745033468">
                                      <w:marLeft w:val="-765"/>
                                      <w:marRight w:val="0"/>
                                      <w:marTop w:val="0"/>
                                      <w:marBottom w:val="0"/>
                                      <w:divBdr>
                                        <w:top w:val="none" w:sz="0" w:space="0" w:color="auto"/>
                                        <w:left w:val="none" w:sz="0" w:space="0" w:color="auto"/>
                                        <w:bottom w:val="none" w:sz="0" w:space="0" w:color="auto"/>
                                        <w:right w:val="none" w:sz="0" w:space="0" w:color="auto"/>
                                      </w:divBdr>
                                      <w:divsChild>
                                        <w:div w:id="8074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24350">
                              <w:marLeft w:val="0"/>
                              <w:marRight w:val="0"/>
                              <w:marTop w:val="0"/>
                              <w:marBottom w:val="0"/>
                              <w:divBdr>
                                <w:top w:val="none" w:sz="0" w:space="0" w:color="auto"/>
                                <w:left w:val="none" w:sz="0" w:space="0" w:color="auto"/>
                                <w:bottom w:val="none" w:sz="0" w:space="0" w:color="auto"/>
                                <w:right w:val="none" w:sz="0" w:space="0" w:color="auto"/>
                              </w:divBdr>
                              <w:divsChild>
                                <w:div w:id="2005820303">
                                  <w:marLeft w:val="0"/>
                                  <w:marRight w:val="0"/>
                                  <w:marTop w:val="0"/>
                                  <w:marBottom w:val="0"/>
                                  <w:divBdr>
                                    <w:top w:val="none" w:sz="0" w:space="0" w:color="auto"/>
                                    <w:left w:val="none" w:sz="0" w:space="0" w:color="auto"/>
                                    <w:bottom w:val="none" w:sz="0" w:space="0" w:color="auto"/>
                                    <w:right w:val="none" w:sz="0" w:space="0" w:color="auto"/>
                                  </w:divBdr>
                                  <w:divsChild>
                                    <w:div w:id="1031804566">
                                      <w:marLeft w:val="0"/>
                                      <w:marRight w:val="0"/>
                                      <w:marTop w:val="0"/>
                                      <w:marBottom w:val="0"/>
                                      <w:divBdr>
                                        <w:top w:val="none" w:sz="0" w:space="0" w:color="auto"/>
                                        <w:left w:val="none" w:sz="0" w:space="0" w:color="auto"/>
                                        <w:bottom w:val="none" w:sz="0" w:space="0" w:color="auto"/>
                                        <w:right w:val="none" w:sz="0" w:space="0" w:color="auto"/>
                                      </w:divBdr>
                                    </w:div>
                                    <w:div w:id="1102603618">
                                      <w:marLeft w:val="-765"/>
                                      <w:marRight w:val="0"/>
                                      <w:marTop w:val="0"/>
                                      <w:marBottom w:val="0"/>
                                      <w:divBdr>
                                        <w:top w:val="none" w:sz="0" w:space="0" w:color="auto"/>
                                        <w:left w:val="none" w:sz="0" w:space="0" w:color="auto"/>
                                        <w:bottom w:val="none" w:sz="0" w:space="0" w:color="auto"/>
                                        <w:right w:val="none" w:sz="0" w:space="0" w:color="auto"/>
                                      </w:divBdr>
                                      <w:divsChild>
                                        <w:div w:id="31360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51468">
                              <w:marLeft w:val="0"/>
                              <w:marRight w:val="0"/>
                              <w:marTop w:val="0"/>
                              <w:marBottom w:val="0"/>
                              <w:divBdr>
                                <w:top w:val="none" w:sz="0" w:space="0" w:color="auto"/>
                                <w:left w:val="none" w:sz="0" w:space="0" w:color="auto"/>
                                <w:bottom w:val="none" w:sz="0" w:space="0" w:color="auto"/>
                                <w:right w:val="none" w:sz="0" w:space="0" w:color="auto"/>
                              </w:divBdr>
                              <w:divsChild>
                                <w:div w:id="1007247565">
                                  <w:marLeft w:val="0"/>
                                  <w:marRight w:val="0"/>
                                  <w:marTop w:val="0"/>
                                  <w:marBottom w:val="0"/>
                                  <w:divBdr>
                                    <w:top w:val="none" w:sz="0" w:space="0" w:color="auto"/>
                                    <w:left w:val="none" w:sz="0" w:space="0" w:color="auto"/>
                                    <w:bottom w:val="none" w:sz="0" w:space="0" w:color="auto"/>
                                    <w:right w:val="none" w:sz="0" w:space="0" w:color="auto"/>
                                  </w:divBdr>
                                  <w:divsChild>
                                    <w:div w:id="30569432">
                                      <w:marLeft w:val="0"/>
                                      <w:marRight w:val="0"/>
                                      <w:marTop w:val="0"/>
                                      <w:marBottom w:val="0"/>
                                      <w:divBdr>
                                        <w:top w:val="none" w:sz="0" w:space="0" w:color="auto"/>
                                        <w:left w:val="none" w:sz="0" w:space="0" w:color="auto"/>
                                        <w:bottom w:val="none" w:sz="0" w:space="0" w:color="auto"/>
                                        <w:right w:val="none" w:sz="0" w:space="0" w:color="auto"/>
                                      </w:divBdr>
                                    </w:div>
                                    <w:div w:id="955331039">
                                      <w:marLeft w:val="-765"/>
                                      <w:marRight w:val="0"/>
                                      <w:marTop w:val="0"/>
                                      <w:marBottom w:val="0"/>
                                      <w:divBdr>
                                        <w:top w:val="none" w:sz="0" w:space="0" w:color="auto"/>
                                        <w:left w:val="none" w:sz="0" w:space="0" w:color="auto"/>
                                        <w:bottom w:val="none" w:sz="0" w:space="0" w:color="auto"/>
                                        <w:right w:val="none" w:sz="0" w:space="0" w:color="auto"/>
                                      </w:divBdr>
                                      <w:divsChild>
                                        <w:div w:id="155936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843220">
                              <w:marLeft w:val="0"/>
                              <w:marRight w:val="0"/>
                              <w:marTop w:val="0"/>
                              <w:marBottom w:val="0"/>
                              <w:divBdr>
                                <w:top w:val="none" w:sz="0" w:space="0" w:color="auto"/>
                                <w:left w:val="none" w:sz="0" w:space="0" w:color="auto"/>
                                <w:bottom w:val="none" w:sz="0" w:space="0" w:color="auto"/>
                                <w:right w:val="none" w:sz="0" w:space="0" w:color="auto"/>
                              </w:divBdr>
                              <w:divsChild>
                                <w:div w:id="123431081">
                                  <w:marLeft w:val="0"/>
                                  <w:marRight w:val="0"/>
                                  <w:marTop w:val="0"/>
                                  <w:marBottom w:val="0"/>
                                  <w:divBdr>
                                    <w:top w:val="none" w:sz="0" w:space="0" w:color="auto"/>
                                    <w:left w:val="none" w:sz="0" w:space="0" w:color="auto"/>
                                    <w:bottom w:val="none" w:sz="0" w:space="0" w:color="auto"/>
                                    <w:right w:val="none" w:sz="0" w:space="0" w:color="auto"/>
                                  </w:divBdr>
                                  <w:divsChild>
                                    <w:div w:id="1099569552">
                                      <w:marLeft w:val="0"/>
                                      <w:marRight w:val="0"/>
                                      <w:marTop w:val="0"/>
                                      <w:marBottom w:val="0"/>
                                      <w:divBdr>
                                        <w:top w:val="none" w:sz="0" w:space="0" w:color="auto"/>
                                        <w:left w:val="none" w:sz="0" w:space="0" w:color="auto"/>
                                        <w:bottom w:val="none" w:sz="0" w:space="0" w:color="auto"/>
                                        <w:right w:val="none" w:sz="0" w:space="0" w:color="auto"/>
                                      </w:divBdr>
                                    </w:div>
                                    <w:div w:id="1111166133">
                                      <w:marLeft w:val="-765"/>
                                      <w:marRight w:val="0"/>
                                      <w:marTop w:val="0"/>
                                      <w:marBottom w:val="0"/>
                                      <w:divBdr>
                                        <w:top w:val="none" w:sz="0" w:space="0" w:color="auto"/>
                                        <w:left w:val="none" w:sz="0" w:space="0" w:color="auto"/>
                                        <w:bottom w:val="none" w:sz="0" w:space="0" w:color="auto"/>
                                        <w:right w:val="none" w:sz="0" w:space="0" w:color="auto"/>
                                      </w:divBdr>
                                      <w:divsChild>
                                        <w:div w:id="114616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032723">
                          <w:marLeft w:val="-180"/>
                          <w:marRight w:val="-180"/>
                          <w:marTop w:val="0"/>
                          <w:marBottom w:val="0"/>
                          <w:divBdr>
                            <w:top w:val="none" w:sz="0" w:space="0" w:color="auto"/>
                            <w:left w:val="none" w:sz="0" w:space="0" w:color="auto"/>
                            <w:bottom w:val="none" w:sz="0" w:space="0" w:color="auto"/>
                            <w:right w:val="none" w:sz="0" w:space="0" w:color="auto"/>
                          </w:divBdr>
                          <w:divsChild>
                            <w:div w:id="1212840841">
                              <w:marLeft w:val="0"/>
                              <w:marRight w:val="0"/>
                              <w:marTop w:val="0"/>
                              <w:marBottom w:val="0"/>
                              <w:divBdr>
                                <w:top w:val="none" w:sz="0" w:space="0" w:color="auto"/>
                                <w:left w:val="none" w:sz="0" w:space="0" w:color="auto"/>
                                <w:bottom w:val="none" w:sz="0" w:space="0" w:color="auto"/>
                                <w:right w:val="none" w:sz="0" w:space="0" w:color="auto"/>
                              </w:divBdr>
                              <w:divsChild>
                                <w:div w:id="52972998">
                                  <w:marLeft w:val="-180"/>
                                  <w:marRight w:val="-180"/>
                                  <w:marTop w:val="0"/>
                                  <w:marBottom w:val="0"/>
                                  <w:divBdr>
                                    <w:top w:val="none" w:sz="0" w:space="0" w:color="auto"/>
                                    <w:left w:val="none" w:sz="0" w:space="0" w:color="auto"/>
                                    <w:bottom w:val="none" w:sz="0" w:space="0" w:color="auto"/>
                                    <w:right w:val="none" w:sz="0" w:space="0" w:color="auto"/>
                                  </w:divBdr>
                                  <w:divsChild>
                                    <w:div w:id="174236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5732">
                              <w:marLeft w:val="0"/>
                              <w:marRight w:val="0"/>
                              <w:marTop w:val="0"/>
                              <w:marBottom w:val="0"/>
                              <w:divBdr>
                                <w:top w:val="none" w:sz="0" w:space="0" w:color="auto"/>
                                <w:left w:val="none" w:sz="0" w:space="0" w:color="auto"/>
                                <w:bottom w:val="none" w:sz="0" w:space="0" w:color="auto"/>
                                <w:right w:val="none" w:sz="0" w:space="0" w:color="auto"/>
                              </w:divBdr>
                              <w:divsChild>
                                <w:div w:id="1472013204">
                                  <w:marLeft w:val="-180"/>
                                  <w:marRight w:val="-180"/>
                                  <w:marTop w:val="0"/>
                                  <w:marBottom w:val="0"/>
                                  <w:divBdr>
                                    <w:top w:val="none" w:sz="0" w:space="0" w:color="auto"/>
                                    <w:left w:val="none" w:sz="0" w:space="0" w:color="auto"/>
                                    <w:bottom w:val="none" w:sz="0" w:space="0" w:color="auto"/>
                                    <w:right w:val="none" w:sz="0" w:space="0" w:color="auto"/>
                                  </w:divBdr>
                                  <w:divsChild>
                                    <w:div w:id="177420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13913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7214112">
      <w:bodyDiv w:val="1"/>
      <w:marLeft w:val="0"/>
      <w:marRight w:val="0"/>
      <w:marTop w:val="0"/>
      <w:marBottom w:val="0"/>
      <w:divBdr>
        <w:top w:val="none" w:sz="0" w:space="0" w:color="auto"/>
        <w:left w:val="none" w:sz="0" w:space="0" w:color="auto"/>
        <w:bottom w:val="none" w:sz="0" w:space="0" w:color="auto"/>
        <w:right w:val="none" w:sz="0" w:space="0" w:color="auto"/>
      </w:divBdr>
      <w:divsChild>
        <w:div w:id="200291994">
          <w:marLeft w:val="0"/>
          <w:marRight w:val="0"/>
          <w:marTop w:val="0"/>
          <w:marBottom w:val="0"/>
          <w:divBdr>
            <w:top w:val="none" w:sz="0" w:space="0" w:color="auto"/>
            <w:left w:val="none" w:sz="0" w:space="0" w:color="auto"/>
            <w:bottom w:val="none" w:sz="0" w:space="0" w:color="auto"/>
            <w:right w:val="none" w:sz="0" w:space="0" w:color="auto"/>
          </w:divBdr>
        </w:div>
        <w:div w:id="819733216">
          <w:marLeft w:val="-180"/>
          <w:marRight w:val="-180"/>
          <w:marTop w:val="0"/>
          <w:marBottom w:val="0"/>
          <w:divBdr>
            <w:top w:val="none" w:sz="0" w:space="0" w:color="auto"/>
            <w:left w:val="none" w:sz="0" w:space="0" w:color="auto"/>
            <w:bottom w:val="none" w:sz="0" w:space="0" w:color="auto"/>
            <w:right w:val="none" w:sz="0" w:space="0" w:color="auto"/>
          </w:divBdr>
          <w:divsChild>
            <w:div w:id="977763914">
              <w:marLeft w:val="0"/>
              <w:marRight w:val="0"/>
              <w:marTop w:val="0"/>
              <w:marBottom w:val="0"/>
              <w:divBdr>
                <w:top w:val="none" w:sz="0" w:space="0" w:color="auto"/>
                <w:left w:val="none" w:sz="0" w:space="0" w:color="auto"/>
                <w:bottom w:val="none" w:sz="0" w:space="0" w:color="auto"/>
                <w:right w:val="none" w:sz="0" w:space="0" w:color="auto"/>
              </w:divBdr>
            </w:div>
            <w:div w:id="695228030">
              <w:marLeft w:val="0"/>
              <w:marRight w:val="0"/>
              <w:marTop w:val="0"/>
              <w:marBottom w:val="0"/>
              <w:divBdr>
                <w:top w:val="none" w:sz="0" w:space="0" w:color="auto"/>
                <w:left w:val="none" w:sz="0" w:space="0" w:color="auto"/>
                <w:bottom w:val="none" w:sz="0" w:space="0" w:color="auto"/>
                <w:right w:val="none" w:sz="0" w:space="0" w:color="auto"/>
              </w:divBdr>
              <w:divsChild>
                <w:div w:id="21070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ecored-tolima.github.io/000000_CF02_ANALISIS_FINANCIERO_EMPRESARIA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fipcaec.com/index.php/fipcaec/article/view/770/139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_RJ4An2HMPw" TargetMode="External"/><Relationship Id="rId5" Type="http://schemas.openxmlformats.org/officeDocument/2006/relationships/webSettings" Target="webSettings.xml"/><Relationship Id="rId15" Type="http://schemas.openxmlformats.org/officeDocument/2006/relationships/hyperlink" Target="https://pdfs.semanticscholar.org/dbb4/aee964c5afcca718a5476eb6a7bbe5f8d60c.pdf" TargetMode="External"/><Relationship Id="rId23" Type="http://schemas.openxmlformats.org/officeDocument/2006/relationships/customXml" Target="../customXml/item4.xml"/><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svg"/><Relationship Id="rId22"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D80371DF-1F29-4A77-BBE4-A242788A13CA}"/>
</file>

<file path=customXml/itemProps3.xml><?xml version="1.0" encoding="utf-8"?>
<ds:datastoreItem xmlns:ds="http://schemas.openxmlformats.org/officeDocument/2006/customXml" ds:itemID="{7E3A71F8-4489-4F26-B5BF-50E53B572E44}"/>
</file>

<file path=customXml/itemProps4.xml><?xml version="1.0" encoding="utf-8"?>
<ds:datastoreItem xmlns:ds="http://schemas.openxmlformats.org/officeDocument/2006/customXml" ds:itemID="{77B6E0FA-2646-4F9B-A4A7-9676F1A2472E}"/>
</file>

<file path=docProps/app.xml><?xml version="1.0" encoding="utf-8"?>
<Properties xmlns="http://schemas.openxmlformats.org/officeDocument/2006/extended-properties" xmlns:vt="http://schemas.openxmlformats.org/officeDocument/2006/docPropsVTypes">
  <Template>Normal</Template>
  <TotalTime>0</TotalTime>
  <Pages>1</Pages>
  <Words>11218</Words>
  <Characters>61699</Characters>
  <Application>Microsoft Office Word</Application>
  <DocSecurity>0</DocSecurity>
  <Lines>514</Lines>
  <Paragraphs>145</Paragraphs>
  <ScaleCrop>false</ScaleCrop>
  <HeadingPairs>
    <vt:vector size="2" baseType="variant">
      <vt:variant>
        <vt:lpstr>Título</vt:lpstr>
      </vt:variant>
      <vt:variant>
        <vt:i4>1</vt:i4>
      </vt:variant>
    </vt:vector>
  </HeadingPairs>
  <TitlesOfParts>
    <vt:vector size="1" baseType="lpstr">
      <vt:lpstr>Cálculo e interpretación de indicadores financieros</vt:lpstr>
    </vt:vector>
  </TitlesOfParts>
  <Company/>
  <LinksUpToDate>false</LinksUpToDate>
  <CharactersWithSpaces>72772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Cálculo e interpretación de indicadores financieros</dc:title>
  <dc:subject/>
  <dc:creator>SENA</dc:creator>
  <cp:keywords>Cálculo e interpretación de indicadores financieros</cp:keywords>
  <dc:description>Cálculo e interpretación de indicadores financieros</dc:description>
  <cp:lastModifiedBy>norma morales</cp:lastModifiedBy>
  <cp:revision>4</cp:revision>
  <cp:lastPrinted>2025-07-03T17:46:00Z</cp:lastPrinted>
  <dcterms:created xsi:type="dcterms:W3CDTF">2025-07-03T17:46:00Z</dcterms:created>
  <dcterms:modified xsi:type="dcterms:W3CDTF">2025-07-03T17:46:00Z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