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52FD" w14:textId="15C10C6F" w:rsidR="00FF7EFF" w:rsidRPr="0095335A" w:rsidRDefault="120A6BBD" w:rsidP="2EAB3562">
      <w:pPr>
        <w:spacing w:line="257" w:lineRule="auto"/>
        <w:jc w:val="center"/>
      </w:pPr>
      <w:r w:rsidRPr="2EAB3562">
        <w:rPr>
          <w:rFonts w:ascii="Arial" w:eastAsia="Arial" w:hAnsi="Arial" w:cs="Arial"/>
          <w:b/>
          <w:bCs/>
          <w:sz w:val="20"/>
          <w:szCs w:val="20"/>
          <w:lang w:val="es-ES"/>
        </w:rPr>
        <w:t>GUION INTRODUCCIÓN COMPONENTE FORMATIVO 1</w:t>
      </w:r>
    </w:p>
    <w:p w14:paraId="5540E2BC" w14:textId="36F7AB38" w:rsidR="00FF7EFF" w:rsidRPr="0095335A" w:rsidRDefault="120A6BBD" w:rsidP="2EAB3562">
      <w:pPr>
        <w:spacing w:line="257" w:lineRule="auto"/>
        <w:jc w:val="both"/>
      </w:pPr>
      <w:r w:rsidRPr="2EAB3562">
        <w:rPr>
          <w:rFonts w:ascii="Arial" w:eastAsia="Arial" w:hAnsi="Arial" w:cs="Arial"/>
          <w:sz w:val="20"/>
          <w:szCs w:val="20"/>
          <w:lang w:val="es-ES"/>
        </w:rPr>
        <w:t>Título del video:</w:t>
      </w:r>
      <w:r w:rsidRPr="2EAB3562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 </w:t>
      </w:r>
      <w:r w:rsidR="005F1B25" w:rsidRPr="005F1B25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s-ES"/>
        </w:rPr>
        <w:t>Diagnóstico de liquidez en organizaciones solidarias</w:t>
      </w:r>
    </w:p>
    <w:p w14:paraId="35AC3804" w14:textId="75F13403" w:rsidR="004645EE" w:rsidRPr="004645EE" w:rsidRDefault="004645EE" w:rsidP="004645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>E</w:t>
      </w:r>
      <w:r w:rsidRPr="004645EE">
        <w:rPr>
          <w:rFonts w:ascii="Arial" w:eastAsia="Times New Roman" w:hAnsi="Arial" w:cs="Arial"/>
          <w:sz w:val="20"/>
          <w:szCs w:val="20"/>
          <w:lang w:eastAsia="es-CO"/>
        </w:rPr>
        <w:t xml:space="preserve">ste componente formativo acerca a los participantes al mundo de la </w:t>
      </w:r>
      <w:r w:rsidRPr="004645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economía solidaria</w:t>
      </w:r>
      <w:r w:rsidRPr="004645EE">
        <w:rPr>
          <w:rFonts w:ascii="Arial" w:eastAsia="Times New Roman" w:hAnsi="Arial" w:cs="Arial"/>
          <w:sz w:val="20"/>
          <w:szCs w:val="20"/>
          <w:lang w:eastAsia="es-CO"/>
        </w:rPr>
        <w:t xml:space="preserve">, mostrando cómo surge, qué la define y cuál es el marco legal que la regula en Colombia. Se explican </w:t>
      </w:r>
      <w:r w:rsidRPr="004645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los principios y valores que la orientan</w:t>
      </w:r>
      <w:r w:rsidRPr="004645EE">
        <w:rPr>
          <w:rFonts w:ascii="Arial" w:eastAsia="Times New Roman" w:hAnsi="Arial" w:cs="Arial"/>
          <w:sz w:val="20"/>
          <w:szCs w:val="20"/>
          <w:lang w:eastAsia="es-CO"/>
        </w:rPr>
        <w:t xml:space="preserve">, resaltando su papel en la construcción de </w:t>
      </w:r>
      <w:r w:rsidRPr="004645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comunidades más justas y colaborativas</w:t>
      </w:r>
      <w:r w:rsidRPr="004645EE">
        <w:rPr>
          <w:rFonts w:ascii="Arial" w:eastAsia="Times New Roman" w:hAnsi="Arial" w:cs="Arial"/>
          <w:sz w:val="20"/>
          <w:szCs w:val="20"/>
          <w:lang w:eastAsia="es-CO"/>
        </w:rPr>
        <w:t>.</w:t>
      </w:r>
    </w:p>
    <w:p w14:paraId="2AEDC91F" w14:textId="77777777" w:rsidR="004645EE" w:rsidRPr="004645EE" w:rsidRDefault="004645EE" w:rsidP="004645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4645EE">
        <w:rPr>
          <w:rFonts w:ascii="Arial" w:eastAsia="Times New Roman" w:hAnsi="Arial" w:cs="Arial"/>
          <w:sz w:val="20"/>
          <w:szCs w:val="20"/>
          <w:lang w:eastAsia="es-CO"/>
        </w:rPr>
        <w:t xml:space="preserve">A partir de estas bases, se guía al aprendiz en la comprensión de la </w:t>
      </w:r>
      <w:r w:rsidRPr="004645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estructura financiera de las organizaciones solidarias</w:t>
      </w:r>
      <w:r w:rsidRPr="004645EE">
        <w:rPr>
          <w:rFonts w:ascii="Arial" w:eastAsia="Times New Roman" w:hAnsi="Arial" w:cs="Arial"/>
          <w:sz w:val="20"/>
          <w:szCs w:val="20"/>
          <w:lang w:eastAsia="es-CO"/>
        </w:rPr>
        <w:t xml:space="preserve">. Allí se reconoce la diversidad de empresas que hacen parte de este sector, la manera en que se organizan y las políticas contables que sostienen su funcionamiento. También se enfatiza la </w:t>
      </w:r>
      <w:r w:rsidRPr="004645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importancia de la documentación y los soportes financieros</w:t>
      </w:r>
      <w:r w:rsidRPr="004645EE">
        <w:rPr>
          <w:rFonts w:ascii="Arial" w:eastAsia="Times New Roman" w:hAnsi="Arial" w:cs="Arial"/>
          <w:sz w:val="20"/>
          <w:szCs w:val="20"/>
          <w:lang w:eastAsia="es-CO"/>
        </w:rPr>
        <w:t xml:space="preserve"> como garantía de confianza y transparencia.</w:t>
      </w:r>
    </w:p>
    <w:p w14:paraId="7F4971AA" w14:textId="77777777" w:rsidR="004645EE" w:rsidRPr="004645EE" w:rsidRDefault="004645EE" w:rsidP="004645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4645EE">
        <w:rPr>
          <w:rFonts w:ascii="Arial" w:eastAsia="Times New Roman" w:hAnsi="Arial" w:cs="Arial"/>
          <w:sz w:val="20"/>
          <w:szCs w:val="20"/>
          <w:lang w:eastAsia="es-CO"/>
        </w:rPr>
        <w:t xml:space="preserve">El recorrido continúa con el </w:t>
      </w:r>
      <w:r w:rsidRPr="004645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flujo de caja</w:t>
      </w:r>
      <w:r w:rsidRPr="004645EE">
        <w:rPr>
          <w:rFonts w:ascii="Arial" w:eastAsia="Times New Roman" w:hAnsi="Arial" w:cs="Arial"/>
          <w:sz w:val="20"/>
          <w:szCs w:val="20"/>
          <w:lang w:eastAsia="es-CO"/>
        </w:rPr>
        <w:t xml:space="preserve">, entendido como una herramienta clave para </w:t>
      </w:r>
      <w:r w:rsidRPr="004645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identificar los movimientos de recursos</w:t>
      </w:r>
      <w:r w:rsidRPr="004645EE">
        <w:rPr>
          <w:rFonts w:ascii="Arial" w:eastAsia="Times New Roman" w:hAnsi="Arial" w:cs="Arial"/>
          <w:sz w:val="20"/>
          <w:szCs w:val="20"/>
          <w:lang w:eastAsia="es-CO"/>
        </w:rPr>
        <w:t>. Se explican sus tipos y la forma de clasificar ingresos, egresos y excedentes, integrando técnicas sencillas para interpretar la información y apoyar la toma de decisiones.</w:t>
      </w:r>
    </w:p>
    <w:p w14:paraId="3F9A8AEF" w14:textId="77777777" w:rsidR="004645EE" w:rsidRPr="004645EE" w:rsidRDefault="004645EE" w:rsidP="004645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4645EE">
        <w:rPr>
          <w:rFonts w:ascii="Arial" w:eastAsia="Times New Roman" w:hAnsi="Arial" w:cs="Arial"/>
          <w:sz w:val="20"/>
          <w:szCs w:val="20"/>
          <w:lang w:eastAsia="es-CO"/>
        </w:rPr>
        <w:t xml:space="preserve">Finalmente, se aborda la </w:t>
      </w:r>
      <w:r w:rsidRPr="004645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liquidez financiera</w:t>
      </w:r>
      <w:r w:rsidRPr="004645EE">
        <w:rPr>
          <w:rFonts w:ascii="Arial" w:eastAsia="Times New Roman" w:hAnsi="Arial" w:cs="Arial"/>
          <w:sz w:val="20"/>
          <w:szCs w:val="20"/>
          <w:lang w:eastAsia="es-CO"/>
        </w:rPr>
        <w:t xml:space="preserve">, destacando su importancia para medir la </w:t>
      </w:r>
      <w:r w:rsidRPr="004645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capacidad de pago en el corto plazo</w:t>
      </w:r>
      <w:r w:rsidRPr="004645EE">
        <w:rPr>
          <w:rFonts w:ascii="Arial" w:eastAsia="Times New Roman" w:hAnsi="Arial" w:cs="Arial"/>
          <w:sz w:val="20"/>
          <w:szCs w:val="20"/>
          <w:lang w:eastAsia="es-CO"/>
        </w:rPr>
        <w:t xml:space="preserve">. Se presentan los estados financieros asociados, los indicadores más relevantes y los métodos de análisis que permiten un </w:t>
      </w:r>
      <w:r w:rsidRPr="004645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diagnóstico claro y oportuno</w:t>
      </w:r>
      <w:r w:rsidRPr="004645EE">
        <w:rPr>
          <w:rFonts w:ascii="Arial" w:eastAsia="Times New Roman" w:hAnsi="Arial" w:cs="Arial"/>
          <w:sz w:val="20"/>
          <w:szCs w:val="20"/>
          <w:lang w:eastAsia="es-CO"/>
        </w:rPr>
        <w:t>.</w:t>
      </w:r>
    </w:p>
    <w:p w14:paraId="26D0B630" w14:textId="77777777" w:rsidR="004645EE" w:rsidRPr="004645EE" w:rsidRDefault="004645EE" w:rsidP="004645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4645EE">
        <w:rPr>
          <w:rFonts w:ascii="Arial" w:eastAsia="Times New Roman" w:hAnsi="Arial" w:cs="Arial"/>
          <w:sz w:val="20"/>
          <w:szCs w:val="20"/>
          <w:lang w:eastAsia="es-CO"/>
        </w:rPr>
        <w:t xml:space="preserve">Con este aprendizaje, los participantes adquieren </w:t>
      </w:r>
      <w:r w:rsidRPr="004645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herramientas prácticas</w:t>
      </w:r>
      <w:r w:rsidRPr="004645EE">
        <w:rPr>
          <w:rFonts w:ascii="Arial" w:eastAsia="Times New Roman" w:hAnsi="Arial" w:cs="Arial"/>
          <w:sz w:val="20"/>
          <w:szCs w:val="20"/>
          <w:lang w:eastAsia="es-CO"/>
        </w:rPr>
        <w:t xml:space="preserve"> que combinan la rigurosidad contable con los principios solidarios, fortaleciendo así la sostenibilidad financiera y el </w:t>
      </w:r>
      <w:r w:rsidRPr="004645EE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bienestar colectivo</w:t>
      </w:r>
      <w:r w:rsidRPr="004645EE">
        <w:rPr>
          <w:rFonts w:ascii="Arial" w:eastAsia="Times New Roman" w:hAnsi="Arial" w:cs="Arial"/>
          <w:sz w:val="20"/>
          <w:szCs w:val="20"/>
          <w:lang w:eastAsia="es-CO"/>
        </w:rPr>
        <w:t>.</w:t>
      </w:r>
    </w:p>
    <w:p w14:paraId="4747139A" w14:textId="13CBE19F" w:rsidR="00FF7EFF" w:rsidRPr="0095335A" w:rsidRDefault="120A6BBD" w:rsidP="2EAB3562">
      <w:pPr>
        <w:jc w:val="both"/>
      </w:pPr>
      <w:r w:rsidRPr="2EAB3562">
        <w:rPr>
          <w:rFonts w:ascii="Arial" w:eastAsia="Arial" w:hAnsi="Arial" w:cs="Arial"/>
          <w:sz w:val="20"/>
          <w:szCs w:val="20"/>
          <w:lang w:val="es-ES"/>
        </w:rPr>
        <w:t xml:space="preserve"> </w:t>
      </w:r>
    </w:p>
    <w:p w14:paraId="29A3B899" w14:textId="31D010E2" w:rsidR="00FF7EFF" w:rsidRPr="0095335A" w:rsidRDefault="120A6BBD" w:rsidP="2EAB3562">
      <w:pPr>
        <w:jc w:val="both"/>
      </w:pPr>
      <w:r w:rsidRPr="2EAB3562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TOTAL PALABRAS: </w:t>
      </w:r>
      <w:r w:rsidR="003E0874">
        <w:rPr>
          <w:rFonts w:ascii="Arial" w:eastAsia="Arial" w:hAnsi="Arial" w:cs="Arial"/>
          <w:b/>
          <w:bCs/>
          <w:sz w:val="20"/>
          <w:szCs w:val="20"/>
          <w:lang w:val="es-ES"/>
        </w:rPr>
        <w:t>228</w:t>
      </w:r>
    </w:p>
    <w:p w14:paraId="49336A8E" w14:textId="5C511567" w:rsidR="00FF7EFF" w:rsidRPr="0095335A" w:rsidRDefault="00FF7EFF" w:rsidP="2EAB3562">
      <w:pPr>
        <w:spacing w:line="257" w:lineRule="auto"/>
        <w:jc w:val="both"/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10970E01" w14:textId="6685F3D7" w:rsidR="00FF7EFF" w:rsidRPr="0095335A" w:rsidRDefault="00FF7EFF" w:rsidP="2EAB3562">
      <w:pPr>
        <w:jc w:val="both"/>
        <w:rPr>
          <w:rFonts w:ascii="Arial" w:hAnsi="Arial" w:cs="Arial"/>
          <w:sz w:val="20"/>
          <w:szCs w:val="20"/>
          <w:lang w:val="es-ES"/>
        </w:rPr>
      </w:pPr>
    </w:p>
    <w:sectPr w:rsidR="00FF7EFF" w:rsidRPr="009533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031192"/>
    <w:rsid w:val="000E1175"/>
    <w:rsid w:val="00101A68"/>
    <w:rsid w:val="00122354"/>
    <w:rsid w:val="0014090D"/>
    <w:rsid w:val="00181E46"/>
    <w:rsid w:val="001A32F7"/>
    <w:rsid w:val="001B7431"/>
    <w:rsid w:val="001E0849"/>
    <w:rsid w:val="00204218"/>
    <w:rsid w:val="00241A0E"/>
    <w:rsid w:val="00242B75"/>
    <w:rsid w:val="00262B28"/>
    <w:rsid w:val="00277964"/>
    <w:rsid w:val="00283CBE"/>
    <w:rsid w:val="002865F0"/>
    <w:rsid w:val="002F68D8"/>
    <w:rsid w:val="00325FB5"/>
    <w:rsid w:val="0033584F"/>
    <w:rsid w:val="0034187D"/>
    <w:rsid w:val="00386732"/>
    <w:rsid w:val="003A1DFD"/>
    <w:rsid w:val="003D4269"/>
    <w:rsid w:val="003E0874"/>
    <w:rsid w:val="003F4564"/>
    <w:rsid w:val="00422835"/>
    <w:rsid w:val="004645EE"/>
    <w:rsid w:val="00475DC3"/>
    <w:rsid w:val="00487091"/>
    <w:rsid w:val="0055721D"/>
    <w:rsid w:val="005B5967"/>
    <w:rsid w:val="005F1B25"/>
    <w:rsid w:val="006353EE"/>
    <w:rsid w:val="00666672"/>
    <w:rsid w:val="00713224"/>
    <w:rsid w:val="00716C95"/>
    <w:rsid w:val="007419FB"/>
    <w:rsid w:val="00750864"/>
    <w:rsid w:val="007767C2"/>
    <w:rsid w:val="00776ED2"/>
    <w:rsid w:val="0077777A"/>
    <w:rsid w:val="007B608A"/>
    <w:rsid w:val="00814543"/>
    <w:rsid w:val="00844D29"/>
    <w:rsid w:val="00847851"/>
    <w:rsid w:val="00856931"/>
    <w:rsid w:val="00870799"/>
    <w:rsid w:val="00896F06"/>
    <w:rsid w:val="008A7140"/>
    <w:rsid w:val="00906060"/>
    <w:rsid w:val="00953207"/>
    <w:rsid w:val="0095335A"/>
    <w:rsid w:val="00987D84"/>
    <w:rsid w:val="00991D28"/>
    <w:rsid w:val="009925D4"/>
    <w:rsid w:val="009D760E"/>
    <w:rsid w:val="00A93F57"/>
    <w:rsid w:val="00AB0F5A"/>
    <w:rsid w:val="00AB68BC"/>
    <w:rsid w:val="00B37054"/>
    <w:rsid w:val="00B76F52"/>
    <w:rsid w:val="00B823BC"/>
    <w:rsid w:val="00BD5271"/>
    <w:rsid w:val="00BD7BF1"/>
    <w:rsid w:val="00BF6410"/>
    <w:rsid w:val="00C009FD"/>
    <w:rsid w:val="00C75EF4"/>
    <w:rsid w:val="00CA7AA0"/>
    <w:rsid w:val="00CB0677"/>
    <w:rsid w:val="00D2797B"/>
    <w:rsid w:val="00D7435E"/>
    <w:rsid w:val="00D81B87"/>
    <w:rsid w:val="00DD2A4C"/>
    <w:rsid w:val="00E14988"/>
    <w:rsid w:val="00E165E1"/>
    <w:rsid w:val="00E91C80"/>
    <w:rsid w:val="00EC505C"/>
    <w:rsid w:val="00ED0679"/>
    <w:rsid w:val="00ED2886"/>
    <w:rsid w:val="00F8680C"/>
    <w:rsid w:val="00FA7096"/>
    <w:rsid w:val="00FF7EFF"/>
    <w:rsid w:val="0D07F5A2"/>
    <w:rsid w:val="120A6BBD"/>
    <w:rsid w:val="1839B09C"/>
    <w:rsid w:val="18739BB1"/>
    <w:rsid w:val="2467C599"/>
    <w:rsid w:val="2EAB3562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5335A"/>
    <w:rPr>
      <w:b/>
      <w:bCs/>
    </w:rPr>
  </w:style>
  <w:style w:type="character" w:styleId="nfasis">
    <w:name w:val="Emphasis"/>
    <w:basedOn w:val="Fuentedeprrafopredeter"/>
    <w:uiPriority w:val="20"/>
    <w:qFormat/>
    <w:rsid w:val="000E11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531872C7CE554584EF00C37E403D8B" ma:contentTypeVersion="11" ma:contentTypeDescription="Crear nuevo documento." ma:contentTypeScope="" ma:versionID="524590e4425367f1d713ab8e501490bd">
  <xsd:schema xmlns:xsd="http://www.w3.org/2001/XMLSchema" xmlns:xs="http://www.w3.org/2001/XMLSchema" xmlns:p="http://schemas.microsoft.com/office/2006/metadata/properties" xmlns:ns2="2b6b437a-5846-4934-ac66-7de06297595b" xmlns:ns3="2c0ff4f8-6664-4eb8-8bb0-965f2536cb1b" targetNamespace="http://schemas.microsoft.com/office/2006/metadata/properties" ma:root="true" ma:fieldsID="8abf30de0900198c15000067d854456b" ns2:_="" ns3:_="">
    <xsd:import namespace="2b6b437a-5846-4934-ac66-7de06297595b"/>
    <xsd:import namespace="2c0ff4f8-6664-4eb8-8bb0-965f2536c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b437a-5846-4934-ac66-7de062975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ff4f8-6664-4eb8-8bb0-965f2536cb1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1b51f16-9315-4d91-a842-b6a7513aaa38}" ma:internalName="TaxCatchAll" ma:showField="CatchAllData" ma:web="2c0ff4f8-6664-4eb8-8bb0-965f2536cb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0ff4f8-6664-4eb8-8bb0-965f2536cb1b" xsi:nil="true"/>
    <lcf76f155ced4ddcb4097134ff3c332f xmlns="2b6b437a-5846-4934-ac66-7de06297595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1F8974-423B-4684-B7F8-F42BEDBE3326}"/>
</file>

<file path=customXml/itemProps2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254</Words>
  <Characters>1398</Characters>
  <Application>Microsoft Office Word</Application>
  <DocSecurity>0</DocSecurity>
  <Lines>11</Lines>
  <Paragraphs>3</Paragraphs>
  <ScaleCrop>false</ScaleCrop>
  <Company>InKulpado666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Andrés Felipe Velandia Espitia</cp:lastModifiedBy>
  <cp:revision>19</cp:revision>
  <dcterms:created xsi:type="dcterms:W3CDTF">2025-06-16T19:40:00Z</dcterms:created>
  <dcterms:modified xsi:type="dcterms:W3CDTF">2025-09-13T04:24:00Z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0x010100FD531872C7CE554584EF00C37E403D8B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