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41FD1A5E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 xml:space="preserve">GUION INTRODUCCIÓN </w:t>
      </w:r>
      <w:r w:rsidR="00FE67F8">
        <w:rPr>
          <w:rFonts w:ascii="Arial" w:hAnsi="Arial" w:cs="Arial"/>
          <w:b/>
          <w:lang w:val="es-ES"/>
        </w:rPr>
        <w:t xml:space="preserve">VIDEO </w:t>
      </w:r>
      <w:r w:rsidRPr="004C00F3">
        <w:rPr>
          <w:rFonts w:ascii="Arial" w:hAnsi="Arial" w:cs="Arial"/>
          <w:b/>
          <w:lang w:val="es-ES"/>
        </w:rPr>
        <w:t>COMPONENTE FORMATIVO 0</w:t>
      </w:r>
      <w:r w:rsidR="006371AE">
        <w:rPr>
          <w:rFonts w:ascii="Arial" w:hAnsi="Arial" w:cs="Arial"/>
          <w:b/>
          <w:lang w:val="es-ES"/>
        </w:rPr>
        <w:t>2</w:t>
      </w:r>
    </w:p>
    <w:p w14:paraId="61C7C1FC" w14:textId="40B55BE4" w:rsidR="002A7653" w:rsidRDefault="007B608A" w:rsidP="006711B4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</w:t>
      </w:r>
    </w:p>
    <w:p w14:paraId="145614A4" w14:textId="235728DF" w:rsidR="006711B4" w:rsidRDefault="002A7653" w:rsidP="006711B4">
      <w:pPr>
        <w:jc w:val="center"/>
        <w:rPr>
          <w:rFonts w:ascii="Arial" w:hAnsi="Arial" w:cs="Arial"/>
        </w:rPr>
      </w:pPr>
      <w:r w:rsidRPr="002A7653">
        <w:rPr>
          <w:rFonts w:ascii="Arial" w:hAnsi="Arial" w:cs="Arial"/>
          <w:b/>
        </w:rPr>
        <w:t>Evaluación integral y plan de mejora del proyecto</w:t>
      </w:r>
    </w:p>
    <w:p w14:paraId="5CB4360D" w14:textId="77777777" w:rsidR="00B55E05" w:rsidRDefault="00B55E05" w:rsidP="001A53EA">
      <w:pPr>
        <w:rPr>
          <w:rFonts w:ascii="Arial" w:hAnsi="Arial" w:cs="Arial"/>
          <w:color w:val="C00000"/>
        </w:rPr>
      </w:pPr>
    </w:p>
    <w:p w14:paraId="1A2ED53A" w14:textId="77777777" w:rsidR="00203889" w:rsidRPr="00203889" w:rsidRDefault="00203889" w:rsidP="00203889">
      <w:pPr>
        <w:rPr>
          <w:rFonts w:ascii="Arial" w:hAnsi="Arial" w:cs="Arial"/>
        </w:rPr>
      </w:pPr>
      <w:r w:rsidRPr="00203889">
        <w:rPr>
          <w:rFonts w:ascii="Arial" w:hAnsi="Arial" w:cs="Arial"/>
          <w:b/>
          <w:bCs/>
        </w:rPr>
        <w:t>Evaluar un proyecto</w:t>
      </w:r>
      <w:r w:rsidRPr="00203889">
        <w:rPr>
          <w:rFonts w:ascii="Arial" w:hAnsi="Arial" w:cs="Arial"/>
        </w:rPr>
        <w:t xml:space="preserve"> no consiste únicamente en revisar cifras o aplicar fórmulas financieras. Implica </w:t>
      </w:r>
      <w:r w:rsidRPr="00203889">
        <w:rPr>
          <w:rFonts w:ascii="Arial" w:hAnsi="Arial" w:cs="Arial"/>
          <w:b/>
          <w:bCs/>
        </w:rPr>
        <w:t>analizar</w:t>
      </w:r>
      <w:r w:rsidRPr="00203889">
        <w:rPr>
          <w:rFonts w:ascii="Arial" w:hAnsi="Arial" w:cs="Arial"/>
        </w:rPr>
        <w:t xml:space="preserve"> de manera </w:t>
      </w:r>
      <w:r w:rsidRPr="00203889">
        <w:rPr>
          <w:rFonts w:ascii="Arial" w:hAnsi="Arial" w:cs="Arial"/>
          <w:b/>
          <w:bCs/>
        </w:rPr>
        <w:t>integral</w:t>
      </w:r>
      <w:r w:rsidRPr="00203889">
        <w:rPr>
          <w:rFonts w:ascii="Arial" w:hAnsi="Arial" w:cs="Arial"/>
        </w:rPr>
        <w:t xml:space="preserve"> la información obtenida durante su formulación para determinar si la iniciativa es </w:t>
      </w:r>
      <w:r w:rsidRPr="00203889">
        <w:rPr>
          <w:rFonts w:ascii="Arial" w:hAnsi="Arial" w:cs="Arial"/>
          <w:b/>
          <w:bCs/>
        </w:rPr>
        <w:t>viable</w:t>
      </w:r>
      <w:r w:rsidRPr="00203889">
        <w:rPr>
          <w:rFonts w:ascii="Arial" w:hAnsi="Arial" w:cs="Arial"/>
        </w:rPr>
        <w:t xml:space="preserve">, </w:t>
      </w:r>
      <w:r w:rsidRPr="00203889">
        <w:rPr>
          <w:rFonts w:ascii="Arial" w:hAnsi="Arial" w:cs="Arial"/>
          <w:b/>
          <w:bCs/>
        </w:rPr>
        <w:t>sostenible</w:t>
      </w:r>
      <w:r w:rsidRPr="00203889">
        <w:rPr>
          <w:rFonts w:ascii="Arial" w:hAnsi="Arial" w:cs="Arial"/>
        </w:rPr>
        <w:t xml:space="preserve"> y </w:t>
      </w:r>
      <w:r w:rsidRPr="00203889">
        <w:rPr>
          <w:rFonts w:ascii="Arial" w:hAnsi="Arial" w:cs="Arial"/>
          <w:b/>
          <w:bCs/>
        </w:rPr>
        <w:t>coherente</w:t>
      </w:r>
      <w:r w:rsidRPr="00203889">
        <w:rPr>
          <w:rFonts w:ascii="Arial" w:hAnsi="Arial" w:cs="Arial"/>
        </w:rPr>
        <w:t xml:space="preserve"> con las condiciones del entorno.</w:t>
      </w:r>
    </w:p>
    <w:p w14:paraId="11B6CBD8" w14:textId="637D8D49" w:rsidR="00203889" w:rsidRPr="00203889" w:rsidRDefault="00203889" w:rsidP="00203889">
      <w:pPr>
        <w:rPr>
          <w:rFonts w:ascii="Arial" w:hAnsi="Arial" w:cs="Arial"/>
        </w:rPr>
      </w:pPr>
      <w:r w:rsidRPr="00203889">
        <w:rPr>
          <w:rFonts w:ascii="Arial" w:hAnsi="Arial" w:cs="Arial"/>
        </w:rPr>
        <w:t xml:space="preserve">En este componente formativo se profundiza en la </w:t>
      </w:r>
      <w:r w:rsidRPr="00203889">
        <w:rPr>
          <w:rFonts w:ascii="Arial" w:hAnsi="Arial" w:cs="Arial"/>
          <w:b/>
          <w:bCs/>
        </w:rPr>
        <w:t>evaluación financiera</w:t>
      </w:r>
      <w:r w:rsidRPr="00203889">
        <w:rPr>
          <w:rFonts w:ascii="Arial" w:hAnsi="Arial" w:cs="Arial"/>
        </w:rPr>
        <w:t xml:space="preserve"> mediante herramientas como el </w:t>
      </w:r>
      <w:r w:rsidRPr="00203889">
        <w:rPr>
          <w:rFonts w:ascii="Arial" w:hAnsi="Arial" w:cs="Arial"/>
          <w:b/>
          <w:bCs/>
        </w:rPr>
        <w:t>Valor Presente Neto (VPN)</w:t>
      </w:r>
      <w:r w:rsidRPr="00203889">
        <w:rPr>
          <w:rFonts w:ascii="Arial" w:hAnsi="Arial" w:cs="Arial"/>
        </w:rPr>
        <w:t xml:space="preserve">, la </w:t>
      </w:r>
      <w:r w:rsidRPr="00203889">
        <w:rPr>
          <w:rFonts w:ascii="Arial" w:hAnsi="Arial" w:cs="Arial"/>
          <w:b/>
          <w:bCs/>
        </w:rPr>
        <w:t>Tasa Interna de Retorno (TIR)</w:t>
      </w:r>
      <w:r w:rsidRPr="00203889">
        <w:rPr>
          <w:rFonts w:ascii="Arial" w:hAnsi="Arial" w:cs="Arial"/>
        </w:rPr>
        <w:t xml:space="preserve">, la </w:t>
      </w:r>
      <w:r w:rsidR="00B00EB7">
        <w:rPr>
          <w:rFonts w:ascii="Arial" w:hAnsi="Arial" w:cs="Arial"/>
          <w:b/>
          <w:bCs/>
        </w:rPr>
        <w:t xml:space="preserve">relación </w:t>
      </w:r>
      <w:r w:rsidR="00B00EB7" w:rsidRPr="00203889">
        <w:rPr>
          <w:rFonts w:ascii="Arial" w:hAnsi="Arial" w:cs="Arial"/>
          <w:b/>
          <w:bCs/>
        </w:rPr>
        <w:t>beneficio</w:t>
      </w:r>
      <w:r w:rsidRPr="00203889">
        <w:rPr>
          <w:rFonts w:ascii="Arial" w:hAnsi="Arial" w:cs="Arial"/>
          <w:b/>
          <w:bCs/>
        </w:rPr>
        <w:t>–costo</w:t>
      </w:r>
      <w:r w:rsidRPr="00203889">
        <w:rPr>
          <w:rFonts w:ascii="Arial" w:hAnsi="Arial" w:cs="Arial"/>
        </w:rPr>
        <w:t xml:space="preserve"> y el </w:t>
      </w:r>
      <w:r w:rsidRPr="00203889">
        <w:rPr>
          <w:rFonts w:ascii="Arial" w:hAnsi="Arial" w:cs="Arial"/>
          <w:b/>
          <w:bCs/>
        </w:rPr>
        <w:t>costo de capital</w:t>
      </w:r>
      <w:r w:rsidRPr="00203889">
        <w:rPr>
          <w:rFonts w:ascii="Arial" w:hAnsi="Arial" w:cs="Arial"/>
        </w:rPr>
        <w:t xml:space="preserve">. Estos indicadores permiten interpretar los </w:t>
      </w:r>
      <w:r w:rsidRPr="00203889">
        <w:rPr>
          <w:rFonts w:ascii="Arial" w:hAnsi="Arial" w:cs="Arial"/>
          <w:b/>
          <w:bCs/>
        </w:rPr>
        <w:t>flujos de caja proyectados</w:t>
      </w:r>
      <w:r w:rsidRPr="00203889">
        <w:rPr>
          <w:rFonts w:ascii="Arial" w:hAnsi="Arial" w:cs="Arial"/>
        </w:rPr>
        <w:t xml:space="preserve">, estimar la </w:t>
      </w:r>
      <w:r w:rsidRPr="00203889">
        <w:rPr>
          <w:rFonts w:ascii="Arial" w:hAnsi="Arial" w:cs="Arial"/>
          <w:b/>
          <w:bCs/>
        </w:rPr>
        <w:t>rentabilidad</w:t>
      </w:r>
      <w:r w:rsidRPr="00203889">
        <w:rPr>
          <w:rFonts w:ascii="Arial" w:hAnsi="Arial" w:cs="Arial"/>
        </w:rPr>
        <w:t xml:space="preserve"> y sustentar </w:t>
      </w:r>
      <w:r w:rsidRPr="00203889">
        <w:rPr>
          <w:rFonts w:ascii="Arial" w:hAnsi="Arial" w:cs="Arial"/>
          <w:b/>
          <w:bCs/>
        </w:rPr>
        <w:t>decisiones técnicas</w:t>
      </w:r>
      <w:r w:rsidRPr="00203889">
        <w:rPr>
          <w:rFonts w:ascii="Arial" w:hAnsi="Arial" w:cs="Arial"/>
        </w:rPr>
        <w:t xml:space="preserve"> con criterios objetivos.</w:t>
      </w:r>
    </w:p>
    <w:p w14:paraId="2CB6D2AB" w14:textId="0D4E0298" w:rsidR="00203889" w:rsidRPr="00203889" w:rsidRDefault="00203889" w:rsidP="00203889">
      <w:pPr>
        <w:rPr>
          <w:rFonts w:ascii="Arial" w:hAnsi="Arial" w:cs="Arial"/>
        </w:rPr>
      </w:pPr>
      <w:r w:rsidRPr="00203889">
        <w:rPr>
          <w:rFonts w:ascii="Arial" w:hAnsi="Arial" w:cs="Arial"/>
        </w:rPr>
        <w:t xml:space="preserve">De igual manera, se integran la </w:t>
      </w:r>
      <w:r w:rsidRPr="00203889">
        <w:rPr>
          <w:rFonts w:ascii="Arial" w:hAnsi="Arial" w:cs="Arial"/>
          <w:b/>
          <w:bCs/>
        </w:rPr>
        <w:t>evaluación económica</w:t>
      </w:r>
      <w:r w:rsidRPr="00203889">
        <w:rPr>
          <w:rFonts w:ascii="Arial" w:hAnsi="Arial" w:cs="Arial"/>
        </w:rPr>
        <w:t xml:space="preserve">, </w:t>
      </w:r>
      <w:r w:rsidRPr="00203889">
        <w:rPr>
          <w:rFonts w:ascii="Arial" w:hAnsi="Arial" w:cs="Arial"/>
          <w:b/>
          <w:bCs/>
        </w:rPr>
        <w:t>social</w:t>
      </w:r>
      <w:r w:rsidRPr="00203889">
        <w:rPr>
          <w:rFonts w:ascii="Arial" w:hAnsi="Arial" w:cs="Arial"/>
        </w:rPr>
        <w:t xml:space="preserve"> y </w:t>
      </w:r>
      <w:r w:rsidRPr="00203889">
        <w:rPr>
          <w:rFonts w:ascii="Arial" w:hAnsi="Arial" w:cs="Arial"/>
          <w:b/>
          <w:bCs/>
        </w:rPr>
        <w:t>ambiental</w:t>
      </w:r>
      <w:r w:rsidRPr="00203889">
        <w:rPr>
          <w:rFonts w:ascii="Arial" w:hAnsi="Arial" w:cs="Arial"/>
        </w:rPr>
        <w:t xml:space="preserve">, reconociendo que </w:t>
      </w:r>
      <w:r w:rsidRPr="00203889">
        <w:rPr>
          <w:rFonts w:ascii="Arial" w:hAnsi="Arial" w:cs="Arial"/>
          <w:b/>
          <w:bCs/>
        </w:rPr>
        <w:t>un proyecto</w:t>
      </w:r>
      <w:r w:rsidRPr="00203889">
        <w:rPr>
          <w:rFonts w:ascii="Arial" w:hAnsi="Arial" w:cs="Arial"/>
        </w:rPr>
        <w:t xml:space="preserve"> no solo debe </w:t>
      </w:r>
      <w:r w:rsidRPr="00203889">
        <w:rPr>
          <w:rFonts w:ascii="Arial" w:hAnsi="Arial" w:cs="Arial"/>
          <w:b/>
          <w:bCs/>
        </w:rPr>
        <w:t>ser rentable</w:t>
      </w:r>
      <w:r w:rsidRPr="00203889">
        <w:rPr>
          <w:rFonts w:ascii="Arial" w:hAnsi="Arial" w:cs="Arial"/>
        </w:rPr>
        <w:t xml:space="preserve">, sino </w:t>
      </w:r>
      <w:r w:rsidRPr="00203889">
        <w:rPr>
          <w:rFonts w:ascii="Arial" w:hAnsi="Arial" w:cs="Arial"/>
          <w:b/>
          <w:bCs/>
        </w:rPr>
        <w:t>generar impacto positivo</w:t>
      </w:r>
      <w:r w:rsidRPr="00203889">
        <w:rPr>
          <w:rFonts w:ascii="Arial" w:hAnsi="Arial" w:cs="Arial"/>
        </w:rPr>
        <w:t xml:space="preserve"> en la comunidad y cumplir con la </w:t>
      </w:r>
      <w:r w:rsidRPr="00203889">
        <w:rPr>
          <w:rFonts w:ascii="Arial" w:hAnsi="Arial" w:cs="Arial"/>
          <w:b/>
          <w:bCs/>
        </w:rPr>
        <w:t>normativa vigente</w:t>
      </w:r>
      <w:r w:rsidRPr="00203889">
        <w:rPr>
          <w:rFonts w:ascii="Arial" w:hAnsi="Arial" w:cs="Arial"/>
        </w:rPr>
        <w:t xml:space="preserve">. Este enfoque fortalece una visión orientada al </w:t>
      </w:r>
      <w:r w:rsidRPr="00203889">
        <w:rPr>
          <w:rFonts w:ascii="Arial" w:hAnsi="Arial" w:cs="Arial"/>
          <w:b/>
          <w:bCs/>
        </w:rPr>
        <w:t>desarrollo responsable</w:t>
      </w:r>
      <w:r w:rsidRPr="00203889">
        <w:rPr>
          <w:rFonts w:ascii="Arial" w:hAnsi="Arial" w:cs="Arial"/>
        </w:rPr>
        <w:t xml:space="preserve"> y a la </w:t>
      </w:r>
      <w:r w:rsidRPr="00203889">
        <w:rPr>
          <w:rFonts w:ascii="Arial" w:hAnsi="Arial" w:cs="Arial"/>
          <w:b/>
          <w:bCs/>
        </w:rPr>
        <w:t>sostenibilidad</w:t>
      </w:r>
      <w:r w:rsidR="00B00EB7">
        <w:rPr>
          <w:rFonts w:ascii="Arial" w:hAnsi="Arial" w:cs="Arial"/>
        </w:rPr>
        <w:t xml:space="preserve"> del </w:t>
      </w:r>
      <w:r w:rsidR="00FB1294">
        <w:rPr>
          <w:rFonts w:ascii="Arial" w:hAnsi="Arial" w:cs="Arial"/>
        </w:rPr>
        <w:t xml:space="preserve">proyecto en el tiempo </w:t>
      </w:r>
      <w:r w:rsidR="00F34E28">
        <w:rPr>
          <w:rFonts w:ascii="Arial" w:hAnsi="Arial" w:cs="Arial"/>
        </w:rPr>
        <w:t>y su</w:t>
      </w:r>
      <w:r w:rsidR="00FB1294">
        <w:rPr>
          <w:rFonts w:ascii="Arial" w:hAnsi="Arial" w:cs="Arial"/>
        </w:rPr>
        <w:t xml:space="preserve"> entorno.</w:t>
      </w:r>
    </w:p>
    <w:p w14:paraId="7D0ECEA8" w14:textId="3DA1B379" w:rsidR="0077672E" w:rsidRPr="0077672E" w:rsidRDefault="00EB0593" w:rsidP="00203889">
      <w:pPr>
        <w:rPr>
          <w:rFonts w:ascii="Arial" w:hAnsi="Arial" w:cs="Arial"/>
        </w:rPr>
      </w:pPr>
      <w:r>
        <w:rPr>
          <w:rFonts w:ascii="Arial" w:hAnsi="Arial" w:cs="Arial"/>
        </w:rPr>
        <w:t>En este sentido</w:t>
      </w:r>
      <w:r w:rsidR="00203889" w:rsidRPr="00203889">
        <w:rPr>
          <w:rFonts w:ascii="Arial" w:hAnsi="Arial" w:cs="Arial"/>
        </w:rPr>
        <w:t xml:space="preserve">, se analiza el </w:t>
      </w:r>
      <w:r w:rsidR="00203889" w:rsidRPr="00203889">
        <w:rPr>
          <w:rFonts w:ascii="Arial" w:hAnsi="Arial" w:cs="Arial"/>
          <w:b/>
          <w:bCs/>
        </w:rPr>
        <w:t>estudio de escenarios</w:t>
      </w:r>
      <w:r w:rsidR="00203889" w:rsidRPr="00203889">
        <w:rPr>
          <w:rFonts w:ascii="Arial" w:hAnsi="Arial" w:cs="Arial"/>
        </w:rPr>
        <w:t xml:space="preserve"> y la </w:t>
      </w:r>
      <w:r w:rsidR="00203889" w:rsidRPr="00203889">
        <w:rPr>
          <w:rFonts w:ascii="Arial" w:hAnsi="Arial" w:cs="Arial"/>
          <w:b/>
          <w:bCs/>
        </w:rPr>
        <w:t>sensibilidad</w:t>
      </w:r>
      <w:r w:rsidR="00203889" w:rsidRPr="00203889">
        <w:rPr>
          <w:rFonts w:ascii="Arial" w:hAnsi="Arial" w:cs="Arial"/>
        </w:rPr>
        <w:t xml:space="preserve"> frente a cambios en variables </w:t>
      </w:r>
      <w:r w:rsidR="00DF2CF3" w:rsidRPr="00CA6F49">
        <w:rPr>
          <w:rFonts w:ascii="Arial" w:hAnsi="Arial" w:cs="Arial"/>
        </w:rPr>
        <w:t>financieras y operativas,</w:t>
      </w:r>
      <w:r w:rsidR="00DF2CF3">
        <w:rPr>
          <w:rFonts w:ascii="Arial" w:hAnsi="Arial" w:cs="Arial"/>
        </w:rPr>
        <w:t xml:space="preserve"> como </w:t>
      </w:r>
      <w:r w:rsidR="00DF2CF3" w:rsidRPr="00CA6F49">
        <w:rPr>
          <w:rFonts w:ascii="Arial" w:hAnsi="Arial" w:cs="Arial"/>
          <w:b/>
          <w:bCs/>
        </w:rPr>
        <w:t>ventas</w:t>
      </w:r>
      <w:r w:rsidR="00DF2CF3">
        <w:rPr>
          <w:rFonts w:ascii="Arial" w:hAnsi="Arial" w:cs="Arial"/>
        </w:rPr>
        <w:t xml:space="preserve">, </w:t>
      </w:r>
      <w:r w:rsidR="00DF2CF3" w:rsidRPr="00CA6F49">
        <w:rPr>
          <w:rFonts w:ascii="Arial" w:hAnsi="Arial" w:cs="Arial"/>
          <w:b/>
          <w:bCs/>
        </w:rPr>
        <w:t xml:space="preserve">costos </w:t>
      </w:r>
      <w:r w:rsidR="00DF2CF3">
        <w:rPr>
          <w:rFonts w:ascii="Arial" w:hAnsi="Arial" w:cs="Arial"/>
        </w:rPr>
        <w:t xml:space="preserve">y </w:t>
      </w:r>
      <w:r w:rsidR="00DF2CF3" w:rsidRPr="00CA6F49">
        <w:rPr>
          <w:rFonts w:ascii="Arial" w:hAnsi="Arial" w:cs="Arial"/>
          <w:b/>
          <w:bCs/>
        </w:rPr>
        <w:t>tasas de interés</w:t>
      </w:r>
      <w:r w:rsidR="00DF2CF3">
        <w:rPr>
          <w:rFonts w:ascii="Arial" w:hAnsi="Arial" w:cs="Arial"/>
        </w:rPr>
        <w:t>,</w:t>
      </w:r>
      <w:r w:rsidR="00203889" w:rsidRPr="00203889">
        <w:rPr>
          <w:rFonts w:ascii="Arial" w:hAnsi="Arial" w:cs="Arial"/>
        </w:rPr>
        <w:t xml:space="preserve"> </w:t>
      </w:r>
      <w:r w:rsidR="0077672E" w:rsidRPr="0077672E">
        <w:rPr>
          <w:rFonts w:ascii="Arial" w:hAnsi="Arial" w:cs="Arial"/>
        </w:rPr>
        <w:t>permitiendo anticipar</w:t>
      </w:r>
      <w:r w:rsidR="00414023">
        <w:rPr>
          <w:rFonts w:ascii="Arial" w:hAnsi="Arial" w:cs="Arial"/>
        </w:rPr>
        <w:t xml:space="preserve"> </w:t>
      </w:r>
      <w:r w:rsidR="0077672E" w:rsidRPr="0077672E">
        <w:rPr>
          <w:rFonts w:ascii="Arial" w:hAnsi="Arial" w:cs="Arial"/>
        </w:rPr>
        <w:t xml:space="preserve">riesgos y </w:t>
      </w:r>
      <w:r w:rsidR="0077672E" w:rsidRPr="00CA6F49">
        <w:rPr>
          <w:rFonts w:ascii="Arial" w:hAnsi="Arial" w:cs="Arial"/>
          <w:b/>
          <w:bCs/>
        </w:rPr>
        <w:t>evaluar la estabilidad</w:t>
      </w:r>
      <w:r w:rsidR="0077672E" w:rsidRPr="0077672E">
        <w:rPr>
          <w:rFonts w:ascii="Arial" w:hAnsi="Arial" w:cs="Arial"/>
        </w:rPr>
        <w:t xml:space="preserve"> del proyecto en </w:t>
      </w:r>
      <w:r w:rsidR="0077672E" w:rsidRPr="002308A2">
        <w:rPr>
          <w:rFonts w:ascii="Arial" w:hAnsi="Arial" w:cs="Arial"/>
          <w:b/>
          <w:bCs/>
        </w:rPr>
        <w:t>contextos dinámicos</w:t>
      </w:r>
      <w:r w:rsidR="0077672E" w:rsidRPr="0077672E">
        <w:rPr>
          <w:rFonts w:ascii="Arial" w:hAnsi="Arial" w:cs="Arial"/>
        </w:rPr>
        <w:t>.</w:t>
      </w:r>
    </w:p>
    <w:p w14:paraId="7082C85D" w14:textId="415DEC84" w:rsidR="00203889" w:rsidRPr="00203889" w:rsidRDefault="00203889" w:rsidP="00203889">
      <w:pPr>
        <w:rPr>
          <w:rFonts w:ascii="Arial" w:hAnsi="Arial" w:cs="Arial"/>
        </w:rPr>
      </w:pPr>
      <w:r w:rsidRPr="00203889">
        <w:rPr>
          <w:rFonts w:ascii="Arial" w:hAnsi="Arial" w:cs="Arial"/>
        </w:rPr>
        <w:t xml:space="preserve">Finalmente, el componente orienta </w:t>
      </w:r>
      <w:r w:rsidR="00AA3D40">
        <w:rPr>
          <w:rFonts w:ascii="Arial" w:hAnsi="Arial" w:cs="Arial"/>
        </w:rPr>
        <w:t xml:space="preserve">a </w:t>
      </w:r>
      <w:r w:rsidRPr="00203889">
        <w:rPr>
          <w:rFonts w:ascii="Arial" w:hAnsi="Arial" w:cs="Arial"/>
        </w:rPr>
        <w:t xml:space="preserve">la formulación del </w:t>
      </w:r>
      <w:r w:rsidRPr="00203889">
        <w:rPr>
          <w:rFonts w:ascii="Arial" w:hAnsi="Arial" w:cs="Arial"/>
          <w:b/>
          <w:bCs/>
        </w:rPr>
        <w:t>plan de mejora</w:t>
      </w:r>
      <w:r w:rsidRPr="00203889">
        <w:rPr>
          <w:rFonts w:ascii="Arial" w:hAnsi="Arial" w:cs="Arial"/>
        </w:rPr>
        <w:t xml:space="preserve">, mediante la identificación de </w:t>
      </w:r>
      <w:r w:rsidRPr="00203889">
        <w:rPr>
          <w:rFonts w:ascii="Arial" w:hAnsi="Arial" w:cs="Arial"/>
          <w:b/>
          <w:bCs/>
        </w:rPr>
        <w:t>desviaciones</w:t>
      </w:r>
      <w:r w:rsidR="00511556">
        <w:rPr>
          <w:rFonts w:ascii="Arial" w:hAnsi="Arial" w:cs="Arial"/>
          <w:b/>
          <w:bCs/>
        </w:rPr>
        <w:t xml:space="preserve"> </w:t>
      </w:r>
      <w:r w:rsidR="00511556" w:rsidRPr="00511556">
        <w:rPr>
          <w:rFonts w:ascii="Arial" w:hAnsi="Arial" w:cs="Arial"/>
        </w:rPr>
        <w:t>en los resultados financieros</w:t>
      </w:r>
      <w:r w:rsidRPr="00203889">
        <w:rPr>
          <w:rFonts w:ascii="Arial" w:hAnsi="Arial" w:cs="Arial"/>
        </w:rPr>
        <w:t xml:space="preserve">, </w:t>
      </w:r>
      <w:r w:rsidR="00C50B8A">
        <w:rPr>
          <w:rFonts w:ascii="Arial" w:hAnsi="Arial" w:cs="Arial"/>
        </w:rPr>
        <w:t>operativos y sociales, la definición de acciones</w:t>
      </w:r>
      <w:r w:rsidRPr="00203889">
        <w:rPr>
          <w:rFonts w:ascii="Arial" w:hAnsi="Arial" w:cs="Arial"/>
          <w:b/>
          <w:bCs/>
        </w:rPr>
        <w:t xml:space="preserve"> correctivas</w:t>
      </w:r>
      <w:r w:rsidRPr="00203889">
        <w:rPr>
          <w:rFonts w:ascii="Arial" w:hAnsi="Arial" w:cs="Arial"/>
        </w:rPr>
        <w:t xml:space="preserve"> y el establecimiento de </w:t>
      </w:r>
      <w:r w:rsidRPr="00203889">
        <w:rPr>
          <w:rFonts w:ascii="Arial" w:hAnsi="Arial" w:cs="Arial"/>
          <w:b/>
          <w:bCs/>
        </w:rPr>
        <w:t>mecanismos de seguimiento</w:t>
      </w:r>
      <w:r w:rsidR="00911F13">
        <w:rPr>
          <w:rFonts w:ascii="Arial" w:hAnsi="Arial" w:cs="Arial"/>
        </w:rPr>
        <w:t xml:space="preserve"> </w:t>
      </w:r>
      <w:r w:rsidR="006679FE">
        <w:rPr>
          <w:rFonts w:ascii="Arial" w:hAnsi="Arial" w:cs="Arial"/>
        </w:rPr>
        <w:t xml:space="preserve">con </w:t>
      </w:r>
      <w:r w:rsidR="006679FE" w:rsidRPr="00911F13">
        <w:rPr>
          <w:rFonts w:ascii="Arial" w:hAnsi="Arial" w:cs="Arial"/>
        </w:rPr>
        <w:t>indicadores</w:t>
      </w:r>
      <w:r w:rsidR="00911F13" w:rsidRPr="002F1E77">
        <w:rPr>
          <w:rFonts w:ascii="Arial" w:hAnsi="Arial" w:cs="Arial"/>
          <w:b/>
          <w:bCs/>
        </w:rPr>
        <w:t xml:space="preserve"> de desempeño</w:t>
      </w:r>
      <w:r w:rsidR="00911F13" w:rsidRPr="00911F13">
        <w:rPr>
          <w:rFonts w:ascii="Arial" w:hAnsi="Arial" w:cs="Arial"/>
        </w:rPr>
        <w:t xml:space="preserve">, consolidando la </w:t>
      </w:r>
      <w:r w:rsidR="00911F13" w:rsidRPr="00911F13">
        <w:rPr>
          <w:rFonts w:ascii="Arial" w:hAnsi="Arial" w:cs="Arial"/>
          <w:b/>
          <w:bCs/>
        </w:rPr>
        <w:t>evaluación</w:t>
      </w:r>
      <w:r w:rsidR="00911F13" w:rsidRPr="00911F13">
        <w:rPr>
          <w:rFonts w:ascii="Arial" w:hAnsi="Arial" w:cs="Arial"/>
        </w:rPr>
        <w:t xml:space="preserve"> como una </w:t>
      </w:r>
      <w:r w:rsidR="00911F13" w:rsidRPr="00911F13">
        <w:rPr>
          <w:rFonts w:ascii="Arial" w:hAnsi="Arial" w:cs="Arial"/>
          <w:b/>
          <w:bCs/>
        </w:rPr>
        <w:t>herramienta estratégica</w:t>
      </w:r>
      <w:r w:rsidR="00911F13" w:rsidRPr="00911F13">
        <w:rPr>
          <w:rFonts w:ascii="Arial" w:hAnsi="Arial" w:cs="Arial"/>
        </w:rPr>
        <w:t xml:space="preserve"> para la gestión eficiente y la </w:t>
      </w:r>
      <w:r w:rsidR="00911F13" w:rsidRPr="00911F13">
        <w:rPr>
          <w:rFonts w:ascii="Arial" w:hAnsi="Arial" w:cs="Arial"/>
          <w:b/>
          <w:bCs/>
        </w:rPr>
        <w:t>mejora continua</w:t>
      </w:r>
      <w:r w:rsidR="00911F13" w:rsidRPr="00911F13">
        <w:rPr>
          <w:rFonts w:ascii="Arial" w:hAnsi="Arial" w:cs="Arial"/>
        </w:rPr>
        <w:t>.</w:t>
      </w:r>
    </w:p>
    <w:p w14:paraId="56F7E798" w14:textId="77777777" w:rsidR="00717C93" w:rsidRPr="00203889" w:rsidRDefault="00717C93" w:rsidP="001A53EA">
      <w:pPr>
        <w:rPr>
          <w:rFonts w:ascii="Arial" w:hAnsi="Arial" w:cs="Arial"/>
        </w:rPr>
      </w:pPr>
    </w:p>
    <w:p w14:paraId="6E8F9D03" w14:textId="77777777" w:rsidR="002C3673" w:rsidRPr="00717C93" w:rsidRDefault="002C3673" w:rsidP="001A53EA">
      <w:pPr>
        <w:rPr>
          <w:rFonts w:ascii="Arial" w:hAnsi="Arial" w:cs="Arial"/>
          <w:color w:val="EE0000"/>
        </w:rPr>
      </w:pPr>
    </w:p>
    <w:p w14:paraId="0B881103" w14:textId="21CBD1DF" w:rsidR="00755B71" w:rsidRPr="0048506D" w:rsidRDefault="000B14E0" w:rsidP="00755B71">
      <w:pPr>
        <w:pStyle w:val="font-claude-response-body"/>
        <w:rPr>
          <w:rFonts w:ascii="Arial" w:hAnsi="Arial" w:cs="Arial"/>
          <w:b/>
          <w:bCs/>
          <w:color w:val="2E74B5" w:themeColor="accent1" w:themeShade="BF"/>
          <w:sz w:val="22"/>
          <w:szCs w:val="22"/>
        </w:rPr>
      </w:pPr>
      <w:r w:rsidRPr="0048506D">
        <w:rPr>
          <w:rStyle w:val="Fuerte"/>
          <w:rFonts w:ascii="Arial" w:hAnsi="Arial" w:cs="Arial"/>
          <w:b w:val="0"/>
          <w:bCs w:val="0"/>
          <w:color w:val="2E74B5" w:themeColor="accent1" w:themeShade="BF"/>
          <w:sz w:val="22"/>
          <w:szCs w:val="22"/>
        </w:rPr>
        <w:t>T</w:t>
      </w:r>
      <w:r>
        <w:rPr>
          <w:rStyle w:val="Fuerte"/>
          <w:rFonts w:ascii="Arial" w:hAnsi="Arial" w:cs="Arial"/>
          <w:b w:val="0"/>
          <w:bCs w:val="0"/>
          <w:color w:val="2E74B5" w:themeColor="accent1" w:themeShade="BF"/>
          <w:sz w:val="22"/>
          <w:szCs w:val="22"/>
        </w:rPr>
        <w:t>otal,</w:t>
      </w:r>
      <w:r w:rsidR="0048506D">
        <w:rPr>
          <w:rStyle w:val="Fuerte"/>
          <w:rFonts w:ascii="Arial" w:hAnsi="Arial" w:cs="Arial"/>
          <w:b w:val="0"/>
          <w:bCs w:val="0"/>
          <w:color w:val="2E74B5" w:themeColor="accent1" w:themeShade="BF"/>
          <w:sz w:val="22"/>
          <w:szCs w:val="22"/>
        </w:rPr>
        <w:t xml:space="preserve"> palabras:</w:t>
      </w:r>
      <w:r w:rsidR="00755B71" w:rsidRPr="0048506D">
        <w:rPr>
          <w:rStyle w:val="Fuerte"/>
          <w:rFonts w:ascii="Arial" w:hAnsi="Arial" w:cs="Arial"/>
          <w:b w:val="0"/>
          <w:bCs w:val="0"/>
          <w:color w:val="2E74B5" w:themeColor="accent1" w:themeShade="BF"/>
          <w:sz w:val="22"/>
          <w:szCs w:val="22"/>
        </w:rPr>
        <w:t xml:space="preserve"> 2</w:t>
      </w:r>
      <w:r w:rsidR="001E1D8C" w:rsidRPr="0048506D">
        <w:rPr>
          <w:rStyle w:val="Fuerte"/>
          <w:rFonts w:ascii="Arial" w:hAnsi="Arial" w:cs="Arial"/>
          <w:b w:val="0"/>
          <w:bCs w:val="0"/>
          <w:color w:val="2E74B5" w:themeColor="accent1" w:themeShade="BF"/>
          <w:sz w:val="22"/>
          <w:szCs w:val="22"/>
        </w:rPr>
        <w:t>35</w:t>
      </w:r>
    </w:p>
    <w:p w14:paraId="1DA72FD2" w14:textId="7881BED9" w:rsidR="0034187D" w:rsidRPr="004C00F3" w:rsidRDefault="0034187D" w:rsidP="00B13AAA">
      <w:pPr>
        <w:rPr>
          <w:rFonts w:ascii="Arial" w:hAnsi="Arial" w:cs="Arial"/>
        </w:rPr>
      </w:pP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4EA1"/>
    <w:rsid w:val="000A032F"/>
    <w:rsid w:val="000A2204"/>
    <w:rsid w:val="000B14E0"/>
    <w:rsid w:val="000B5069"/>
    <w:rsid w:val="000D15A6"/>
    <w:rsid w:val="00103092"/>
    <w:rsid w:val="00122354"/>
    <w:rsid w:val="0015231C"/>
    <w:rsid w:val="00160347"/>
    <w:rsid w:val="00192FD9"/>
    <w:rsid w:val="001A53EA"/>
    <w:rsid w:val="001E0849"/>
    <w:rsid w:val="001E1D8C"/>
    <w:rsid w:val="00203889"/>
    <w:rsid w:val="00220B3D"/>
    <w:rsid w:val="002308A2"/>
    <w:rsid w:val="00241A0E"/>
    <w:rsid w:val="00242B75"/>
    <w:rsid w:val="002456CE"/>
    <w:rsid w:val="00263273"/>
    <w:rsid w:val="00263EA5"/>
    <w:rsid w:val="00277964"/>
    <w:rsid w:val="002865F0"/>
    <w:rsid w:val="002A114A"/>
    <w:rsid w:val="002A7653"/>
    <w:rsid w:val="002C3673"/>
    <w:rsid w:val="002F1E77"/>
    <w:rsid w:val="002F68D8"/>
    <w:rsid w:val="003006AD"/>
    <w:rsid w:val="00310A1F"/>
    <w:rsid w:val="00325FB5"/>
    <w:rsid w:val="0034187D"/>
    <w:rsid w:val="00352B3A"/>
    <w:rsid w:val="003824D8"/>
    <w:rsid w:val="00386732"/>
    <w:rsid w:val="00395D69"/>
    <w:rsid w:val="003B594B"/>
    <w:rsid w:val="003F0B40"/>
    <w:rsid w:val="00414023"/>
    <w:rsid w:val="00422835"/>
    <w:rsid w:val="004512AC"/>
    <w:rsid w:val="00452992"/>
    <w:rsid w:val="00475DC3"/>
    <w:rsid w:val="0048506D"/>
    <w:rsid w:val="004C00F3"/>
    <w:rsid w:val="004D15A9"/>
    <w:rsid w:val="00511556"/>
    <w:rsid w:val="00523ABB"/>
    <w:rsid w:val="00550D97"/>
    <w:rsid w:val="00573BDE"/>
    <w:rsid w:val="0057787B"/>
    <w:rsid w:val="00590D97"/>
    <w:rsid w:val="00593A5B"/>
    <w:rsid w:val="005A01CC"/>
    <w:rsid w:val="005B5967"/>
    <w:rsid w:val="005E049F"/>
    <w:rsid w:val="006132D6"/>
    <w:rsid w:val="0061407B"/>
    <w:rsid w:val="006353EE"/>
    <w:rsid w:val="006371AE"/>
    <w:rsid w:val="00666672"/>
    <w:rsid w:val="006679FE"/>
    <w:rsid w:val="006711B4"/>
    <w:rsid w:val="00713224"/>
    <w:rsid w:val="00717C93"/>
    <w:rsid w:val="00727B47"/>
    <w:rsid w:val="00750864"/>
    <w:rsid w:val="00755B71"/>
    <w:rsid w:val="0077672E"/>
    <w:rsid w:val="007767C2"/>
    <w:rsid w:val="00776ED2"/>
    <w:rsid w:val="0077777A"/>
    <w:rsid w:val="00790513"/>
    <w:rsid w:val="007A4279"/>
    <w:rsid w:val="007B608A"/>
    <w:rsid w:val="007C13A9"/>
    <w:rsid w:val="0080726A"/>
    <w:rsid w:val="00814543"/>
    <w:rsid w:val="008214F4"/>
    <w:rsid w:val="00827B49"/>
    <w:rsid w:val="008436F8"/>
    <w:rsid w:val="00844D29"/>
    <w:rsid w:val="00850F7F"/>
    <w:rsid w:val="00856931"/>
    <w:rsid w:val="00864813"/>
    <w:rsid w:val="00896F06"/>
    <w:rsid w:val="008D6DE5"/>
    <w:rsid w:val="008E0ADB"/>
    <w:rsid w:val="008F5429"/>
    <w:rsid w:val="00906060"/>
    <w:rsid w:val="00911F13"/>
    <w:rsid w:val="00913ECA"/>
    <w:rsid w:val="00936CBB"/>
    <w:rsid w:val="00975239"/>
    <w:rsid w:val="00987D84"/>
    <w:rsid w:val="00991D28"/>
    <w:rsid w:val="009925D4"/>
    <w:rsid w:val="009D5673"/>
    <w:rsid w:val="009D760E"/>
    <w:rsid w:val="00A02D94"/>
    <w:rsid w:val="00A90A59"/>
    <w:rsid w:val="00A9199E"/>
    <w:rsid w:val="00AA3D40"/>
    <w:rsid w:val="00AB68BC"/>
    <w:rsid w:val="00AD19E6"/>
    <w:rsid w:val="00AD7724"/>
    <w:rsid w:val="00AF36BA"/>
    <w:rsid w:val="00B00EB7"/>
    <w:rsid w:val="00B13AAA"/>
    <w:rsid w:val="00B313AE"/>
    <w:rsid w:val="00B37054"/>
    <w:rsid w:val="00B55E05"/>
    <w:rsid w:val="00B7651B"/>
    <w:rsid w:val="00B76F52"/>
    <w:rsid w:val="00B87676"/>
    <w:rsid w:val="00BA61B0"/>
    <w:rsid w:val="00BD5271"/>
    <w:rsid w:val="00BD7BF1"/>
    <w:rsid w:val="00BE1783"/>
    <w:rsid w:val="00BE19A7"/>
    <w:rsid w:val="00C009FD"/>
    <w:rsid w:val="00C06BD2"/>
    <w:rsid w:val="00C15412"/>
    <w:rsid w:val="00C27E7C"/>
    <w:rsid w:val="00C50B8A"/>
    <w:rsid w:val="00C60903"/>
    <w:rsid w:val="00C75EF4"/>
    <w:rsid w:val="00C8699F"/>
    <w:rsid w:val="00CA29CD"/>
    <w:rsid w:val="00CA6F49"/>
    <w:rsid w:val="00CA7AA0"/>
    <w:rsid w:val="00CB0677"/>
    <w:rsid w:val="00CD413A"/>
    <w:rsid w:val="00D05EF7"/>
    <w:rsid w:val="00D22D28"/>
    <w:rsid w:val="00D25CA3"/>
    <w:rsid w:val="00D2797B"/>
    <w:rsid w:val="00D47F5A"/>
    <w:rsid w:val="00D77D79"/>
    <w:rsid w:val="00DA4B31"/>
    <w:rsid w:val="00DB5190"/>
    <w:rsid w:val="00DD2A4C"/>
    <w:rsid w:val="00DE79C2"/>
    <w:rsid w:val="00DF2CF3"/>
    <w:rsid w:val="00E07169"/>
    <w:rsid w:val="00E14988"/>
    <w:rsid w:val="00E165E1"/>
    <w:rsid w:val="00E61E06"/>
    <w:rsid w:val="00E65E24"/>
    <w:rsid w:val="00E81A67"/>
    <w:rsid w:val="00EB0593"/>
    <w:rsid w:val="00EC5E9A"/>
    <w:rsid w:val="00ED0679"/>
    <w:rsid w:val="00ED2E91"/>
    <w:rsid w:val="00ED40A0"/>
    <w:rsid w:val="00EF5756"/>
    <w:rsid w:val="00F1505C"/>
    <w:rsid w:val="00F34E28"/>
    <w:rsid w:val="00F34F6E"/>
    <w:rsid w:val="00F507B8"/>
    <w:rsid w:val="00F8680C"/>
    <w:rsid w:val="00FA7096"/>
    <w:rsid w:val="00FB1294"/>
    <w:rsid w:val="00FD12D9"/>
    <w:rsid w:val="00FE67F8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F9E017-854A-4236-A9B8-DEF564AFB7BD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252</Words>
  <Characters>1527</Characters>
  <Application>Microsoft Office Word</Application>
  <DocSecurity>0</DocSecurity>
  <Lines>39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133</cp:revision>
  <dcterms:created xsi:type="dcterms:W3CDTF">2024-08-06T13:31:00Z</dcterms:created>
  <dcterms:modified xsi:type="dcterms:W3CDTF">2026-03-03T20:43:00Z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