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8362" w14:textId="0645D542" w:rsidR="7282E8D1" w:rsidRPr="00CB3819" w:rsidRDefault="7282E8D1" w:rsidP="52CF4B43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b/>
          <w:bCs/>
          <w:sz w:val="20"/>
          <w:szCs w:val="20"/>
        </w:rPr>
        <w:t>GUIÓN INTRODUCCIÓN COMPONENTE FORMATIVO 0</w:t>
      </w:r>
      <w:r w:rsidR="00B11466">
        <w:rPr>
          <w:rFonts w:ascii="Arial" w:eastAsia="Aptos" w:hAnsi="Arial" w:cs="Arial"/>
          <w:b/>
          <w:bCs/>
          <w:sz w:val="20"/>
          <w:szCs w:val="20"/>
        </w:rPr>
        <w:t>2</w:t>
      </w:r>
    </w:p>
    <w:p w14:paraId="7D9B6722" w14:textId="7B166976" w:rsidR="52CF4B43" w:rsidRPr="000F653B" w:rsidRDefault="7282E8D1" w:rsidP="000F653B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sz w:val="20"/>
          <w:szCs w:val="20"/>
        </w:rPr>
        <w:t xml:space="preserve">Título del video: </w:t>
      </w:r>
      <w:r w:rsidR="00B11466" w:rsidRPr="00B11466">
        <w:rPr>
          <w:rFonts w:ascii="Arial" w:eastAsia="Aptos" w:hAnsi="Arial" w:cs="Arial"/>
          <w:b/>
          <w:bCs/>
          <w:sz w:val="20"/>
          <w:szCs w:val="20"/>
        </w:rPr>
        <w:t>Indicadores de gestión y planes de contingencia para la gestión del talento humano</w:t>
      </w:r>
    </w:p>
    <w:p w14:paraId="1F55327F" w14:textId="77777777" w:rsidR="009839EB" w:rsidRPr="009839EB" w:rsidRDefault="009839EB" w:rsidP="009839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las organizaciones, tomar buenas decisiones requiere contar con información que permita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comprender lo que está ocurriendo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reconocer avances y advertir situaciones que pueden afectar el desempeño. En este contexto, la gestión del talento humano necesita superar una visión centrada únicamente en las actividades realizadas y avanzar hacia una perspectiva que valore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resultados, capacidades y efectos sobre la organización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227EF606" w14:textId="77777777" w:rsidR="009839EB" w:rsidRPr="009839EB" w:rsidRDefault="009839EB" w:rsidP="009839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Medir permite obtener información, pero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medir por sí solo no es suficiente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. Los datos adquieren valor cuando pueden interpretarse, relacionarse con los objetivos y utilizarse para comprender situaciones que requieren atención. Por ello, la gestión orientada a resultados implica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analizar el desempeño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, reconocer desviaciones, comprender sus posibles causas y utilizar la evidencia como fundamento para actuar.</w:t>
      </w:r>
    </w:p>
    <w:p w14:paraId="7BB10D62" w14:textId="77777777" w:rsidR="009839EB" w:rsidRPr="009839EB" w:rsidRDefault="009839EB" w:rsidP="009839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Esta perspectiva también permite entender que las personas, los procesos y la organización están estrechamente relacionados. Una dificultad en el desempeño no siempre se resuelve mediante una única acción; puede estar vinculada con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competencias, recursos, procesos, condiciones de trabajo, liderazgo o cambios del entorno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 Comprender estas relaciones favorece respuestas más pertinentes y sostenibles.</w:t>
      </w:r>
    </w:p>
    <w:p w14:paraId="525B5433" w14:textId="77777777" w:rsidR="009839EB" w:rsidRPr="009839EB" w:rsidRDefault="009839EB" w:rsidP="009839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De esta manera, la gestión del talento humano se concibe como un proceso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dinámico, preventivo y orientado al aprendizaje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, en el que la información obtenida permite revisar decisiones, fortalecer capacidades y generar nuevas oportunidades de mejora.</w:t>
      </w:r>
    </w:p>
    <w:p w14:paraId="14B9FC13" w14:textId="77777777" w:rsidR="009839EB" w:rsidRPr="009839EB" w:rsidRDefault="009839EB" w:rsidP="009839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este componente formativo, esta mirada integral permite reconocer que </w:t>
      </w: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medir, evaluar, actuar y aprender</w:t>
      </w:r>
      <w:r w:rsidRPr="009839EB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hacen parte de un mismo proceso para fortalecer el desempeño y contribuir al desarrollo de las organizaciones.</w:t>
      </w:r>
    </w:p>
    <w:p w14:paraId="3E082CAF" w14:textId="77777777" w:rsidR="009839EB" w:rsidRPr="009839EB" w:rsidRDefault="009839EB" w:rsidP="009839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9839EB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¡Convierta la información en oportunidades para mejorar la gestión del talento humano!</w:t>
      </w:r>
    </w:p>
    <w:p w14:paraId="2E3A2280" w14:textId="78345160" w:rsidR="52CF4B43" w:rsidRPr="00CB3819" w:rsidRDefault="52CF4B43" w:rsidP="52CF4B43">
      <w:pPr>
        <w:spacing w:line="257" w:lineRule="auto"/>
        <w:rPr>
          <w:rFonts w:ascii="Arial" w:eastAsia="Calibri" w:hAnsi="Arial" w:cs="Arial"/>
          <w:sz w:val="20"/>
          <w:szCs w:val="20"/>
        </w:rPr>
      </w:pPr>
    </w:p>
    <w:p w14:paraId="7727F494" w14:textId="607B74CC" w:rsidR="04AB7E7E" w:rsidRPr="00CB3819" w:rsidRDefault="04AB7E7E" w:rsidP="52CF4B43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eastAsia="Calibri" w:hAnsi="Arial" w:cs="Arial"/>
          <w:sz w:val="20"/>
          <w:szCs w:val="20"/>
        </w:rPr>
        <w:t xml:space="preserve">TOTAL PALABRAS: </w:t>
      </w:r>
      <w:r w:rsidR="000F653B">
        <w:rPr>
          <w:rFonts w:ascii="Arial" w:eastAsia="Calibri" w:hAnsi="Arial" w:cs="Arial"/>
          <w:sz w:val="20"/>
          <w:szCs w:val="20"/>
        </w:rPr>
        <w:t>2</w:t>
      </w:r>
      <w:r w:rsidR="009839EB">
        <w:rPr>
          <w:rFonts w:ascii="Arial" w:eastAsia="Calibri" w:hAnsi="Arial" w:cs="Arial"/>
          <w:sz w:val="20"/>
          <w:szCs w:val="20"/>
        </w:rPr>
        <w:t>48</w:t>
      </w:r>
    </w:p>
    <w:p w14:paraId="4C35AE91" w14:textId="25220F9B" w:rsidR="52CF4B43" w:rsidRPr="00CB3819" w:rsidRDefault="52CF4B43" w:rsidP="52CF4B43">
      <w:pPr>
        <w:rPr>
          <w:rFonts w:ascii="Arial" w:eastAsia="Aptos" w:hAnsi="Arial" w:cs="Arial"/>
          <w:sz w:val="20"/>
          <w:szCs w:val="20"/>
        </w:rPr>
      </w:pPr>
    </w:p>
    <w:p w14:paraId="1DA8B259" w14:textId="42B42F81" w:rsidR="52CF4B43" w:rsidRPr="00CB3819" w:rsidRDefault="52CF4B43">
      <w:pPr>
        <w:rPr>
          <w:rFonts w:ascii="Arial" w:hAnsi="Arial" w:cs="Arial"/>
          <w:sz w:val="20"/>
          <w:szCs w:val="20"/>
        </w:rPr>
      </w:pPr>
    </w:p>
    <w:sectPr w:rsidR="52CF4B43" w:rsidRPr="00CB3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1615F9"/>
    <w:rsid w:val="002E521B"/>
    <w:rsid w:val="003339EB"/>
    <w:rsid w:val="003E0A21"/>
    <w:rsid w:val="00644CDD"/>
    <w:rsid w:val="009839EB"/>
    <w:rsid w:val="00B11466"/>
    <w:rsid w:val="00B20EEF"/>
    <w:rsid w:val="00C27B6E"/>
    <w:rsid w:val="00C77A4D"/>
    <w:rsid w:val="00CB3819"/>
    <w:rsid w:val="00F04FC7"/>
    <w:rsid w:val="04AB7E7E"/>
    <w:rsid w:val="2624603D"/>
    <w:rsid w:val="447BC848"/>
    <w:rsid w:val="4671557F"/>
    <w:rsid w:val="52CF4B43"/>
    <w:rsid w:val="6F7F9E84"/>
    <w:rsid w:val="7282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pdq2pgselectionanchorcontainer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24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4D0BEE-AD32-429E-9C4A-80E152F8D77E}"/>
</file>

<file path=customXml/itemProps2.xml><?xml version="1.0" encoding="utf-8"?>
<ds:datastoreItem xmlns:ds="http://schemas.openxmlformats.org/officeDocument/2006/customXml" ds:itemID="{A01BDBC2-4478-4157-8ADC-58A945E9DCDF}"/>
</file>

<file path=customXml/itemProps3.xml><?xml version="1.0" encoding="utf-8"?>
<ds:datastoreItem xmlns:ds="http://schemas.openxmlformats.org/officeDocument/2006/customXml" ds:itemID="{AD856B6C-4698-4220-B2CA-53AE214E7A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Andrés Felipe Velandia Espitia</cp:lastModifiedBy>
  <cp:revision>12</cp:revision>
  <dcterms:created xsi:type="dcterms:W3CDTF">2026-06-02T21:00:00Z</dcterms:created>
  <dcterms:modified xsi:type="dcterms:W3CDTF">2026-08-18T04:51:00Z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</Properties>
</file>