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39DDDAD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01</w:t>
      </w:r>
    </w:p>
    <w:p w14:paraId="5CB4360D" w14:textId="22217768" w:rsidR="00B55E05" w:rsidRDefault="007B608A" w:rsidP="00155DF1">
      <w:pPr>
        <w:jc w:val="center"/>
        <w:rPr>
          <w:rFonts w:ascii="Arial" w:hAnsi="Arial" w:cs="Arial"/>
          <w:b/>
          <w:bCs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155DF1" w:rsidRPr="00155DF1">
        <w:rPr>
          <w:rFonts w:ascii="Arial" w:hAnsi="Arial" w:cs="Arial"/>
          <w:b/>
          <w:bCs/>
        </w:rPr>
        <w:t>Fundamentos del SARLAFT</w:t>
      </w:r>
    </w:p>
    <w:p w14:paraId="5DA3DC15" w14:textId="77777777" w:rsidR="002244E0" w:rsidRDefault="002244E0" w:rsidP="0007490C">
      <w:pPr>
        <w:rPr>
          <w:rFonts w:ascii="Arial" w:hAnsi="Arial" w:cs="Arial"/>
          <w:color w:val="000000" w:themeColor="text1"/>
        </w:rPr>
      </w:pPr>
    </w:p>
    <w:p w14:paraId="3249C551" w14:textId="77777777" w:rsidR="00AF60CA" w:rsidRPr="00AF60CA" w:rsidRDefault="00AF60CA" w:rsidP="00AF60CA">
      <w:pPr>
        <w:rPr>
          <w:rFonts w:ascii="Arial" w:hAnsi="Arial" w:cs="Arial"/>
          <w:color w:val="000000" w:themeColor="text1"/>
        </w:rPr>
      </w:pPr>
      <w:r w:rsidRPr="00AF60CA">
        <w:rPr>
          <w:rFonts w:ascii="Arial" w:hAnsi="Arial" w:cs="Arial"/>
          <w:color w:val="000000" w:themeColor="text1"/>
        </w:rPr>
        <w:t xml:space="preserve">El sistema </w:t>
      </w:r>
      <w:r w:rsidRPr="00AF60CA">
        <w:rPr>
          <w:rFonts w:ascii="Arial" w:hAnsi="Arial" w:cs="Arial"/>
          <w:b/>
          <w:bCs/>
          <w:color w:val="000000" w:themeColor="text1"/>
        </w:rPr>
        <w:t>financiero colombiano</w:t>
      </w:r>
      <w:r w:rsidRPr="00AF60CA">
        <w:rPr>
          <w:rFonts w:ascii="Arial" w:hAnsi="Arial" w:cs="Arial"/>
          <w:color w:val="000000" w:themeColor="text1"/>
        </w:rPr>
        <w:t xml:space="preserve"> y el de muchos </w:t>
      </w:r>
      <w:r w:rsidRPr="00AF60CA">
        <w:rPr>
          <w:rFonts w:ascii="Arial" w:hAnsi="Arial" w:cs="Arial"/>
          <w:b/>
          <w:bCs/>
          <w:color w:val="000000" w:themeColor="text1"/>
        </w:rPr>
        <w:t>países del mundo</w:t>
      </w:r>
      <w:r w:rsidRPr="00AF60CA">
        <w:rPr>
          <w:rFonts w:ascii="Arial" w:hAnsi="Arial" w:cs="Arial"/>
          <w:color w:val="000000" w:themeColor="text1"/>
        </w:rPr>
        <w:t xml:space="preserve"> se encuentran </w:t>
      </w:r>
      <w:r w:rsidRPr="00AF60CA">
        <w:rPr>
          <w:rFonts w:ascii="Arial" w:hAnsi="Arial" w:cs="Arial"/>
          <w:b/>
          <w:bCs/>
          <w:color w:val="000000" w:themeColor="text1"/>
        </w:rPr>
        <w:t>expuestos</w:t>
      </w:r>
      <w:r w:rsidRPr="00AF60CA">
        <w:rPr>
          <w:rFonts w:ascii="Arial" w:hAnsi="Arial" w:cs="Arial"/>
          <w:color w:val="000000" w:themeColor="text1"/>
        </w:rPr>
        <w:t xml:space="preserve"> a </w:t>
      </w:r>
      <w:r w:rsidRPr="00AF60CA">
        <w:rPr>
          <w:rFonts w:ascii="Arial" w:hAnsi="Arial" w:cs="Arial"/>
          <w:b/>
          <w:bCs/>
          <w:color w:val="000000" w:themeColor="text1"/>
        </w:rPr>
        <w:t>amenazas</w:t>
      </w:r>
      <w:r w:rsidRPr="00AF60CA">
        <w:rPr>
          <w:rFonts w:ascii="Arial" w:hAnsi="Arial" w:cs="Arial"/>
          <w:color w:val="000000" w:themeColor="text1"/>
        </w:rPr>
        <w:t xml:space="preserve"> que comprometen su integridad y la confianza de quienes participan en ellos. Entre estas amenazas, el </w:t>
      </w:r>
      <w:r w:rsidRPr="00AF60CA">
        <w:rPr>
          <w:rFonts w:ascii="Arial" w:hAnsi="Arial" w:cs="Arial"/>
          <w:b/>
          <w:bCs/>
          <w:color w:val="000000" w:themeColor="text1"/>
        </w:rPr>
        <w:t>lavado de activos</w:t>
      </w:r>
      <w:r w:rsidRPr="00AF60CA">
        <w:rPr>
          <w:rFonts w:ascii="Arial" w:hAnsi="Arial" w:cs="Arial"/>
          <w:color w:val="000000" w:themeColor="text1"/>
        </w:rPr>
        <w:t xml:space="preserve"> y la </w:t>
      </w:r>
      <w:r w:rsidRPr="00AF60CA">
        <w:rPr>
          <w:rFonts w:ascii="Arial" w:hAnsi="Arial" w:cs="Arial"/>
          <w:b/>
          <w:bCs/>
          <w:color w:val="000000" w:themeColor="text1"/>
        </w:rPr>
        <w:t>financiación del terrorismo</w:t>
      </w:r>
      <w:r w:rsidRPr="00AF60CA">
        <w:rPr>
          <w:rFonts w:ascii="Arial" w:hAnsi="Arial" w:cs="Arial"/>
          <w:color w:val="000000" w:themeColor="text1"/>
        </w:rPr>
        <w:t xml:space="preserve"> se destacan por su </w:t>
      </w:r>
      <w:r w:rsidRPr="00AF60CA">
        <w:rPr>
          <w:rFonts w:ascii="Arial" w:hAnsi="Arial" w:cs="Arial"/>
          <w:b/>
          <w:bCs/>
          <w:color w:val="000000" w:themeColor="text1"/>
        </w:rPr>
        <w:t xml:space="preserve">capacidad para infiltrarse </w:t>
      </w:r>
      <w:r w:rsidRPr="00AF60CA">
        <w:rPr>
          <w:rFonts w:ascii="Arial" w:hAnsi="Arial" w:cs="Arial"/>
          <w:color w:val="000000" w:themeColor="text1"/>
        </w:rPr>
        <w:t xml:space="preserve">en los </w:t>
      </w:r>
      <w:r w:rsidRPr="00AF60CA">
        <w:rPr>
          <w:rFonts w:ascii="Arial" w:hAnsi="Arial" w:cs="Arial"/>
          <w:b/>
          <w:bCs/>
        </w:rPr>
        <w:t>procesos internos</w:t>
      </w:r>
      <w:r w:rsidRPr="00AF60CA">
        <w:rPr>
          <w:rFonts w:ascii="Arial" w:hAnsi="Arial" w:cs="Arial"/>
          <w:color w:val="000000" w:themeColor="text1"/>
        </w:rPr>
        <w:t xml:space="preserve"> de las organizaciones, distorsionar los mercados y </w:t>
      </w:r>
      <w:r w:rsidRPr="00AF60CA">
        <w:rPr>
          <w:rFonts w:ascii="Arial" w:hAnsi="Arial" w:cs="Arial"/>
          <w:b/>
          <w:bCs/>
          <w:color w:val="000000" w:themeColor="text1"/>
        </w:rPr>
        <w:t>fortalecer estructuras criminales</w:t>
      </w:r>
      <w:r w:rsidRPr="00AF60CA">
        <w:rPr>
          <w:rFonts w:ascii="Arial" w:hAnsi="Arial" w:cs="Arial"/>
          <w:color w:val="000000" w:themeColor="text1"/>
        </w:rPr>
        <w:t xml:space="preserve"> que operan sin fronteras a nivel </w:t>
      </w:r>
      <w:r w:rsidRPr="00AF60CA">
        <w:rPr>
          <w:rFonts w:ascii="Arial" w:hAnsi="Arial" w:cs="Arial"/>
          <w:b/>
          <w:bCs/>
          <w:color w:val="000000" w:themeColor="text1"/>
        </w:rPr>
        <w:t>nacional e internacional</w:t>
      </w:r>
      <w:r w:rsidRPr="00AF60CA">
        <w:rPr>
          <w:rFonts w:ascii="Arial" w:hAnsi="Arial" w:cs="Arial"/>
          <w:color w:val="000000" w:themeColor="text1"/>
        </w:rPr>
        <w:t>.</w:t>
      </w:r>
    </w:p>
    <w:p w14:paraId="53238C3E" w14:textId="39169304" w:rsidR="00AF60CA" w:rsidRPr="00AF60CA" w:rsidRDefault="00AF60CA" w:rsidP="00AF60CA">
      <w:pPr>
        <w:rPr>
          <w:rFonts w:ascii="Arial" w:hAnsi="Arial" w:cs="Arial"/>
          <w:color w:val="000000" w:themeColor="text1"/>
        </w:rPr>
      </w:pPr>
      <w:r w:rsidRPr="00AF60CA">
        <w:rPr>
          <w:rFonts w:ascii="Arial" w:hAnsi="Arial" w:cs="Arial"/>
          <w:color w:val="000000" w:themeColor="text1"/>
        </w:rPr>
        <w:t xml:space="preserve">Este componente formativo aborda los fundamentos del </w:t>
      </w:r>
      <w:r w:rsidRPr="00AF60CA">
        <w:rPr>
          <w:rFonts w:ascii="Arial" w:hAnsi="Arial" w:cs="Arial"/>
          <w:b/>
          <w:bCs/>
          <w:color w:val="000000" w:themeColor="text1"/>
        </w:rPr>
        <w:t>Sistema de Administración del Riesgo de Lavado de Activos y Financiación del Terrorismo</w:t>
      </w:r>
      <w:r w:rsidRPr="00AF60CA">
        <w:rPr>
          <w:rFonts w:ascii="Arial" w:hAnsi="Arial" w:cs="Arial"/>
          <w:color w:val="000000" w:themeColor="text1"/>
        </w:rPr>
        <w:t xml:space="preserve">, conocido como </w:t>
      </w:r>
      <w:r w:rsidRPr="00AF60CA">
        <w:rPr>
          <w:rFonts w:ascii="Arial" w:hAnsi="Arial" w:cs="Arial"/>
          <w:b/>
          <w:bCs/>
          <w:color w:val="000000" w:themeColor="text1"/>
        </w:rPr>
        <w:t>SARLAFT</w:t>
      </w:r>
      <w:r w:rsidRPr="00AF60CA">
        <w:rPr>
          <w:rFonts w:ascii="Arial" w:hAnsi="Arial" w:cs="Arial"/>
          <w:color w:val="000000" w:themeColor="text1"/>
        </w:rPr>
        <w:t xml:space="preserve">, partiendo de los conceptos esenciales sobre estos delitos, la </w:t>
      </w:r>
      <w:r w:rsidRPr="00AF60CA">
        <w:rPr>
          <w:rFonts w:ascii="Arial" w:hAnsi="Arial" w:cs="Arial"/>
          <w:b/>
          <w:bCs/>
          <w:color w:val="000000" w:themeColor="text1"/>
        </w:rPr>
        <w:t xml:space="preserve">normatividad nacional e internacional </w:t>
      </w:r>
      <w:r w:rsidRPr="00AF60CA">
        <w:rPr>
          <w:rFonts w:ascii="Arial" w:hAnsi="Arial" w:cs="Arial"/>
          <w:color w:val="000000" w:themeColor="text1"/>
        </w:rPr>
        <w:t xml:space="preserve">que los regula y los mecanismos de </w:t>
      </w:r>
      <w:r w:rsidRPr="00AF60CA">
        <w:rPr>
          <w:rFonts w:ascii="Arial" w:hAnsi="Arial" w:cs="Arial"/>
          <w:b/>
          <w:bCs/>
          <w:color w:val="000000" w:themeColor="text1"/>
        </w:rPr>
        <w:t>prevención y control</w:t>
      </w:r>
      <w:r w:rsidRPr="00AF60CA">
        <w:rPr>
          <w:rFonts w:ascii="Arial" w:hAnsi="Arial" w:cs="Arial"/>
          <w:color w:val="000000" w:themeColor="text1"/>
        </w:rPr>
        <w:t xml:space="preserve"> aplicables en las organizaciones, en coherencia con los estándares definidos por el Grupo de Acción Financiera Internacional</w:t>
      </w:r>
      <w:r w:rsidR="00EB5CE5">
        <w:rPr>
          <w:rFonts w:ascii="Arial" w:hAnsi="Arial" w:cs="Arial"/>
          <w:color w:val="000000" w:themeColor="text1"/>
        </w:rPr>
        <w:t>.</w:t>
      </w:r>
    </w:p>
    <w:p w14:paraId="6C9BC6CB" w14:textId="3C623AC3" w:rsidR="00382BF9" w:rsidRPr="00AF60CA" w:rsidRDefault="00382BF9" w:rsidP="00AF60CA">
      <w:pPr>
        <w:rPr>
          <w:rFonts w:ascii="Arial" w:hAnsi="Arial" w:cs="Arial"/>
          <w:color w:val="000000" w:themeColor="text1"/>
        </w:rPr>
      </w:pPr>
      <w:r w:rsidRPr="00382BF9">
        <w:rPr>
          <w:rFonts w:ascii="Arial" w:hAnsi="Arial" w:cs="Arial"/>
          <w:color w:val="000000" w:themeColor="text1"/>
        </w:rPr>
        <w:t xml:space="preserve">A partir de estos conceptos, se </w:t>
      </w:r>
      <w:r w:rsidRPr="00EB6F90">
        <w:rPr>
          <w:rFonts w:ascii="Arial" w:hAnsi="Arial" w:cs="Arial"/>
          <w:b/>
          <w:bCs/>
          <w:color w:val="000000" w:themeColor="text1"/>
        </w:rPr>
        <w:t>identifican los tipos de riesgo</w:t>
      </w:r>
      <w:r w:rsidRPr="00382BF9">
        <w:rPr>
          <w:rFonts w:ascii="Arial" w:hAnsi="Arial" w:cs="Arial"/>
          <w:color w:val="000000" w:themeColor="text1"/>
        </w:rPr>
        <w:t xml:space="preserve"> a los que se exponen las organizaciones cuando no cuentan con controles adecuados: el </w:t>
      </w:r>
      <w:r w:rsidRPr="00382BF9">
        <w:rPr>
          <w:rFonts w:ascii="Arial" w:hAnsi="Arial" w:cs="Arial"/>
          <w:b/>
          <w:bCs/>
          <w:color w:val="000000" w:themeColor="text1"/>
        </w:rPr>
        <w:t>riesgo reputacional</w:t>
      </w:r>
      <w:r w:rsidRPr="00382BF9">
        <w:rPr>
          <w:rFonts w:ascii="Arial" w:hAnsi="Arial" w:cs="Arial"/>
          <w:color w:val="000000" w:themeColor="text1"/>
        </w:rPr>
        <w:t xml:space="preserve">, el </w:t>
      </w:r>
      <w:r w:rsidRPr="00382BF9">
        <w:rPr>
          <w:rFonts w:ascii="Arial" w:hAnsi="Arial" w:cs="Arial"/>
          <w:b/>
          <w:bCs/>
          <w:color w:val="000000" w:themeColor="text1"/>
        </w:rPr>
        <w:t>riesgo legal</w:t>
      </w:r>
      <w:r w:rsidRPr="00382BF9">
        <w:rPr>
          <w:rFonts w:ascii="Arial" w:hAnsi="Arial" w:cs="Arial"/>
          <w:color w:val="000000" w:themeColor="text1"/>
        </w:rPr>
        <w:t xml:space="preserve">, el </w:t>
      </w:r>
      <w:r w:rsidRPr="00382BF9">
        <w:rPr>
          <w:rFonts w:ascii="Arial" w:hAnsi="Arial" w:cs="Arial"/>
          <w:b/>
          <w:bCs/>
          <w:color w:val="000000" w:themeColor="text1"/>
        </w:rPr>
        <w:t>riesgo operativo</w:t>
      </w:r>
      <w:r w:rsidRPr="00382BF9">
        <w:rPr>
          <w:rFonts w:ascii="Arial" w:hAnsi="Arial" w:cs="Arial"/>
          <w:color w:val="000000" w:themeColor="text1"/>
        </w:rPr>
        <w:t xml:space="preserve"> y el </w:t>
      </w:r>
      <w:r w:rsidRPr="00382BF9">
        <w:rPr>
          <w:rFonts w:ascii="Arial" w:hAnsi="Arial" w:cs="Arial"/>
          <w:b/>
          <w:bCs/>
          <w:color w:val="000000" w:themeColor="text1"/>
        </w:rPr>
        <w:t>riesgo de contagio</w:t>
      </w:r>
      <w:r w:rsidRPr="00382BF9">
        <w:rPr>
          <w:rFonts w:ascii="Arial" w:hAnsi="Arial" w:cs="Arial"/>
          <w:color w:val="000000" w:themeColor="text1"/>
        </w:rPr>
        <w:t xml:space="preserve">. Del mismo modo, se presentan los elementos fundamentales del sistema SARLAFT: las </w:t>
      </w:r>
      <w:r w:rsidRPr="00382BF9">
        <w:rPr>
          <w:rFonts w:ascii="Arial" w:hAnsi="Arial" w:cs="Arial"/>
          <w:b/>
          <w:bCs/>
          <w:color w:val="000000" w:themeColor="text1"/>
        </w:rPr>
        <w:t>políticas</w:t>
      </w:r>
      <w:r w:rsidRPr="00382BF9">
        <w:rPr>
          <w:rFonts w:ascii="Arial" w:hAnsi="Arial" w:cs="Arial"/>
          <w:color w:val="000000" w:themeColor="text1"/>
        </w:rPr>
        <w:t>, los</w:t>
      </w:r>
      <w:r w:rsidRPr="00382BF9">
        <w:rPr>
          <w:rFonts w:ascii="Arial" w:hAnsi="Arial" w:cs="Arial"/>
          <w:b/>
          <w:bCs/>
          <w:color w:val="000000" w:themeColor="text1"/>
        </w:rPr>
        <w:t xml:space="preserve"> procedimientos de control</w:t>
      </w:r>
      <w:r w:rsidRPr="00382BF9">
        <w:rPr>
          <w:rFonts w:ascii="Arial" w:hAnsi="Arial" w:cs="Arial"/>
          <w:color w:val="000000" w:themeColor="text1"/>
        </w:rPr>
        <w:t xml:space="preserve">, la </w:t>
      </w:r>
      <w:r w:rsidRPr="00382BF9">
        <w:rPr>
          <w:rFonts w:ascii="Arial" w:hAnsi="Arial" w:cs="Arial"/>
          <w:b/>
          <w:bCs/>
          <w:color w:val="000000" w:themeColor="text1"/>
        </w:rPr>
        <w:t>infraestructura tecnológica</w:t>
      </w:r>
      <w:r w:rsidRPr="00382BF9">
        <w:rPr>
          <w:rFonts w:ascii="Arial" w:hAnsi="Arial" w:cs="Arial"/>
          <w:color w:val="000000" w:themeColor="text1"/>
        </w:rPr>
        <w:t xml:space="preserve">, la </w:t>
      </w:r>
      <w:r w:rsidRPr="00382BF9">
        <w:rPr>
          <w:rFonts w:ascii="Arial" w:hAnsi="Arial" w:cs="Arial"/>
          <w:b/>
          <w:bCs/>
          <w:color w:val="000000" w:themeColor="text1"/>
        </w:rPr>
        <w:t>estructura organizacional</w:t>
      </w:r>
      <w:r w:rsidRPr="00382BF9">
        <w:rPr>
          <w:rFonts w:ascii="Arial" w:hAnsi="Arial" w:cs="Arial"/>
          <w:color w:val="000000" w:themeColor="text1"/>
        </w:rPr>
        <w:t xml:space="preserve">, la </w:t>
      </w:r>
      <w:r w:rsidRPr="00F545E1">
        <w:rPr>
          <w:rFonts w:ascii="Arial" w:hAnsi="Arial" w:cs="Arial"/>
          <w:b/>
          <w:bCs/>
          <w:color w:val="000000" w:themeColor="text1"/>
        </w:rPr>
        <w:t>divulgación de la información</w:t>
      </w:r>
      <w:r w:rsidRPr="00382BF9">
        <w:rPr>
          <w:rFonts w:ascii="Arial" w:hAnsi="Arial" w:cs="Arial"/>
          <w:color w:val="000000" w:themeColor="text1"/>
        </w:rPr>
        <w:t xml:space="preserve"> y la </w:t>
      </w:r>
      <w:r w:rsidRPr="00F545E1">
        <w:rPr>
          <w:rFonts w:ascii="Arial" w:hAnsi="Arial" w:cs="Arial"/>
          <w:b/>
          <w:bCs/>
          <w:color w:val="000000" w:themeColor="text1"/>
        </w:rPr>
        <w:t>capacitación del personal</w:t>
      </w:r>
      <w:r w:rsidRPr="00382BF9">
        <w:rPr>
          <w:rFonts w:ascii="Arial" w:hAnsi="Arial" w:cs="Arial"/>
          <w:color w:val="000000" w:themeColor="text1"/>
        </w:rPr>
        <w:t>.</w:t>
      </w:r>
    </w:p>
    <w:p w14:paraId="6E8F9D03" w14:textId="42E3DA72" w:rsidR="002C3673" w:rsidRPr="00DE79F8" w:rsidRDefault="00EA1971" w:rsidP="001A53EA">
      <w:pPr>
        <w:rPr>
          <w:rFonts w:ascii="Arial" w:hAnsi="Arial" w:cs="Arial"/>
          <w:color w:val="000000" w:themeColor="text1"/>
        </w:rPr>
      </w:pPr>
      <w:r w:rsidRPr="00EA1971">
        <w:rPr>
          <w:rFonts w:ascii="Arial" w:hAnsi="Arial" w:cs="Arial"/>
          <w:color w:val="000000" w:themeColor="text1"/>
        </w:rPr>
        <w:t xml:space="preserve">El estudio de estos fundamentos permite </w:t>
      </w:r>
      <w:r w:rsidRPr="00EA1971">
        <w:rPr>
          <w:rFonts w:ascii="Arial" w:hAnsi="Arial" w:cs="Arial"/>
          <w:b/>
          <w:bCs/>
          <w:color w:val="000000" w:themeColor="text1"/>
        </w:rPr>
        <w:t>identificar situaciones de riesgo</w:t>
      </w:r>
      <w:r w:rsidRPr="00EA1971">
        <w:rPr>
          <w:rFonts w:ascii="Arial" w:hAnsi="Arial" w:cs="Arial"/>
          <w:color w:val="000000" w:themeColor="text1"/>
        </w:rPr>
        <w:t xml:space="preserve">, </w:t>
      </w:r>
      <w:r w:rsidRPr="00EA1971">
        <w:rPr>
          <w:rFonts w:ascii="Arial" w:hAnsi="Arial" w:cs="Arial"/>
          <w:b/>
          <w:bCs/>
          <w:color w:val="000000" w:themeColor="text1"/>
        </w:rPr>
        <w:t>aplicar mecanismos de control</w:t>
      </w:r>
      <w:r w:rsidRPr="00EA1971">
        <w:rPr>
          <w:rFonts w:ascii="Arial" w:hAnsi="Arial" w:cs="Arial"/>
          <w:color w:val="000000" w:themeColor="text1"/>
        </w:rPr>
        <w:t xml:space="preserve"> de manera oportuna y tomar </w:t>
      </w:r>
      <w:r w:rsidRPr="00EA1971">
        <w:rPr>
          <w:rFonts w:ascii="Arial" w:hAnsi="Arial" w:cs="Arial"/>
          <w:b/>
          <w:bCs/>
          <w:color w:val="000000" w:themeColor="text1"/>
        </w:rPr>
        <w:t>decisiones institucionales</w:t>
      </w:r>
      <w:r w:rsidRPr="00EA1971">
        <w:rPr>
          <w:rFonts w:ascii="Arial" w:hAnsi="Arial" w:cs="Arial"/>
          <w:color w:val="000000" w:themeColor="text1"/>
        </w:rPr>
        <w:t xml:space="preserve"> bien fundamentadas. De este modo, </w:t>
      </w:r>
      <w:r w:rsidRPr="00C748F8">
        <w:rPr>
          <w:rFonts w:ascii="Arial" w:hAnsi="Arial" w:cs="Arial"/>
          <w:b/>
          <w:bCs/>
          <w:color w:val="000000" w:themeColor="text1"/>
        </w:rPr>
        <w:t xml:space="preserve">la formación contribuye </w:t>
      </w:r>
      <w:r w:rsidRPr="00EA1971">
        <w:rPr>
          <w:rFonts w:ascii="Arial" w:hAnsi="Arial" w:cs="Arial"/>
          <w:color w:val="000000" w:themeColor="text1"/>
        </w:rPr>
        <w:t xml:space="preserve">al fortalecimiento de una cultura organizacional sustentada en la </w:t>
      </w:r>
      <w:r w:rsidRPr="00E157A2">
        <w:rPr>
          <w:rFonts w:ascii="Arial" w:hAnsi="Arial" w:cs="Arial"/>
          <w:b/>
          <w:bCs/>
          <w:color w:val="000000" w:themeColor="text1"/>
        </w:rPr>
        <w:t>transparencia</w:t>
      </w:r>
      <w:r w:rsidRPr="00EA1971">
        <w:rPr>
          <w:rFonts w:ascii="Arial" w:hAnsi="Arial" w:cs="Arial"/>
          <w:color w:val="000000" w:themeColor="text1"/>
        </w:rPr>
        <w:t xml:space="preserve">, el cumplimiento normativo y la </w:t>
      </w:r>
      <w:r w:rsidRPr="00EA1971">
        <w:rPr>
          <w:rFonts w:ascii="Arial" w:hAnsi="Arial" w:cs="Arial"/>
          <w:b/>
          <w:bCs/>
          <w:color w:val="000000" w:themeColor="text1"/>
        </w:rPr>
        <w:t>responsabilidad ética</w:t>
      </w:r>
      <w:r w:rsidRPr="00EA1971">
        <w:rPr>
          <w:rFonts w:ascii="Arial" w:hAnsi="Arial" w:cs="Arial"/>
          <w:color w:val="000000" w:themeColor="text1"/>
        </w:rPr>
        <w:t xml:space="preserve"> frente al </w:t>
      </w:r>
      <w:r w:rsidRPr="00DE79F8">
        <w:rPr>
          <w:rFonts w:ascii="Arial" w:hAnsi="Arial" w:cs="Arial"/>
          <w:b/>
          <w:bCs/>
          <w:color w:val="000000" w:themeColor="text1"/>
        </w:rPr>
        <w:t>sistema económico global</w:t>
      </w:r>
      <w:r w:rsidRPr="00EA1971">
        <w:rPr>
          <w:rFonts w:ascii="Arial" w:hAnsi="Arial" w:cs="Arial"/>
          <w:color w:val="000000" w:themeColor="text1"/>
        </w:rPr>
        <w:t>.</w:t>
      </w:r>
    </w:p>
    <w:p w14:paraId="0B881103" w14:textId="7288D8E5" w:rsidR="00755B71" w:rsidRPr="00D22D28" w:rsidRDefault="00A90A59" w:rsidP="00755B71">
      <w:pPr>
        <w:pStyle w:val="font-claude-response-body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TOTAL,</w:t>
      </w:r>
      <w:r w:rsidR="00755B71"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PALABRAS: </w:t>
      </w:r>
      <w:r w:rsidR="00AF60CA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220</w:t>
      </w:r>
    </w:p>
    <w:p w14:paraId="1DA72FD2" w14:textId="7881BED9" w:rsidR="0034187D" w:rsidRPr="004C00F3" w:rsidRDefault="0034187D" w:rsidP="00B13AAA">
      <w:pPr>
        <w:rPr>
          <w:rFonts w:ascii="Arial" w:hAnsi="Arial" w:cs="Arial"/>
        </w:rPr>
      </w:pP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7490C"/>
    <w:rsid w:val="000A032F"/>
    <w:rsid w:val="000A2204"/>
    <w:rsid w:val="000B5069"/>
    <w:rsid w:val="00103092"/>
    <w:rsid w:val="00122354"/>
    <w:rsid w:val="0015231C"/>
    <w:rsid w:val="00155DF1"/>
    <w:rsid w:val="00160347"/>
    <w:rsid w:val="00192FD9"/>
    <w:rsid w:val="001A53EA"/>
    <w:rsid w:val="001E0849"/>
    <w:rsid w:val="00220B3D"/>
    <w:rsid w:val="002244E0"/>
    <w:rsid w:val="00241A0E"/>
    <w:rsid w:val="00242B75"/>
    <w:rsid w:val="002456CE"/>
    <w:rsid w:val="00263EA5"/>
    <w:rsid w:val="00270492"/>
    <w:rsid w:val="00277657"/>
    <w:rsid w:val="00277964"/>
    <w:rsid w:val="00282254"/>
    <w:rsid w:val="002865F0"/>
    <w:rsid w:val="002A114A"/>
    <w:rsid w:val="002C3673"/>
    <w:rsid w:val="002F68D8"/>
    <w:rsid w:val="003006AD"/>
    <w:rsid w:val="00310A1F"/>
    <w:rsid w:val="00321909"/>
    <w:rsid w:val="00325FB5"/>
    <w:rsid w:val="0034187D"/>
    <w:rsid w:val="00352B3A"/>
    <w:rsid w:val="003824D8"/>
    <w:rsid w:val="00382BF9"/>
    <w:rsid w:val="00386732"/>
    <w:rsid w:val="00395D69"/>
    <w:rsid w:val="003B594B"/>
    <w:rsid w:val="003F0B40"/>
    <w:rsid w:val="00422835"/>
    <w:rsid w:val="004512AC"/>
    <w:rsid w:val="00475DC3"/>
    <w:rsid w:val="004C00F3"/>
    <w:rsid w:val="004D15A9"/>
    <w:rsid w:val="004F26B6"/>
    <w:rsid w:val="00523ABB"/>
    <w:rsid w:val="00550D97"/>
    <w:rsid w:val="00573BDE"/>
    <w:rsid w:val="0057787B"/>
    <w:rsid w:val="00585448"/>
    <w:rsid w:val="00590D97"/>
    <w:rsid w:val="00593A5B"/>
    <w:rsid w:val="005A01CC"/>
    <w:rsid w:val="005B5967"/>
    <w:rsid w:val="005E049F"/>
    <w:rsid w:val="006132D6"/>
    <w:rsid w:val="0061407B"/>
    <w:rsid w:val="00616C58"/>
    <w:rsid w:val="006353EE"/>
    <w:rsid w:val="00655FB5"/>
    <w:rsid w:val="00666672"/>
    <w:rsid w:val="006711B4"/>
    <w:rsid w:val="006F0C71"/>
    <w:rsid w:val="00713224"/>
    <w:rsid w:val="00727B47"/>
    <w:rsid w:val="00750864"/>
    <w:rsid w:val="00755A14"/>
    <w:rsid w:val="00755B71"/>
    <w:rsid w:val="007767C2"/>
    <w:rsid w:val="00776ED2"/>
    <w:rsid w:val="0077777A"/>
    <w:rsid w:val="00790513"/>
    <w:rsid w:val="007A4279"/>
    <w:rsid w:val="007B608A"/>
    <w:rsid w:val="007C13A9"/>
    <w:rsid w:val="0080726A"/>
    <w:rsid w:val="00814543"/>
    <w:rsid w:val="008214F4"/>
    <w:rsid w:val="00827B49"/>
    <w:rsid w:val="00835766"/>
    <w:rsid w:val="00844D29"/>
    <w:rsid w:val="00856931"/>
    <w:rsid w:val="00896F06"/>
    <w:rsid w:val="008E0ADB"/>
    <w:rsid w:val="008F5429"/>
    <w:rsid w:val="00906060"/>
    <w:rsid w:val="00913ECA"/>
    <w:rsid w:val="00936CBB"/>
    <w:rsid w:val="00975239"/>
    <w:rsid w:val="00987D84"/>
    <w:rsid w:val="00991D28"/>
    <w:rsid w:val="009925D4"/>
    <w:rsid w:val="009C50CC"/>
    <w:rsid w:val="009D5673"/>
    <w:rsid w:val="009D760E"/>
    <w:rsid w:val="00A02D94"/>
    <w:rsid w:val="00A90A59"/>
    <w:rsid w:val="00A9199E"/>
    <w:rsid w:val="00AB68BC"/>
    <w:rsid w:val="00AD19E6"/>
    <w:rsid w:val="00AD7724"/>
    <w:rsid w:val="00AF60CA"/>
    <w:rsid w:val="00B13AAA"/>
    <w:rsid w:val="00B313AE"/>
    <w:rsid w:val="00B37054"/>
    <w:rsid w:val="00B55E05"/>
    <w:rsid w:val="00B7651B"/>
    <w:rsid w:val="00B76F52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748F8"/>
    <w:rsid w:val="00C75EF4"/>
    <w:rsid w:val="00C8699F"/>
    <w:rsid w:val="00CA29CD"/>
    <w:rsid w:val="00CA7AA0"/>
    <w:rsid w:val="00CB0677"/>
    <w:rsid w:val="00CD413A"/>
    <w:rsid w:val="00D05EF7"/>
    <w:rsid w:val="00D22D28"/>
    <w:rsid w:val="00D25CA3"/>
    <w:rsid w:val="00D2797B"/>
    <w:rsid w:val="00D47F5A"/>
    <w:rsid w:val="00DA4B31"/>
    <w:rsid w:val="00DB5190"/>
    <w:rsid w:val="00DD2A4C"/>
    <w:rsid w:val="00DE79C2"/>
    <w:rsid w:val="00DE79F8"/>
    <w:rsid w:val="00E14988"/>
    <w:rsid w:val="00E157A2"/>
    <w:rsid w:val="00E165E1"/>
    <w:rsid w:val="00E61E06"/>
    <w:rsid w:val="00E65E24"/>
    <w:rsid w:val="00E81A67"/>
    <w:rsid w:val="00EA1971"/>
    <w:rsid w:val="00EB5CE5"/>
    <w:rsid w:val="00EB6F90"/>
    <w:rsid w:val="00EC5E9A"/>
    <w:rsid w:val="00ED0679"/>
    <w:rsid w:val="00EF5756"/>
    <w:rsid w:val="00F1505C"/>
    <w:rsid w:val="00F22226"/>
    <w:rsid w:val="00F34F6E"/>
    <w:rsid w:val="00F507B8"/>
    <w:rsid w:val="00F545E1"/>
    <w:rsid w:val="00F8680C"/>
    <w:rsid w:val="00FA7096"/>
    <w:rsid w:val="00FB293D"/>
    <w:rsid w:val="00FC197E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CC8EFB-489C-4C3E-8AC1-DF08FA7FDEA1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267</Words>
  <Characters>1633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120</cp:revision>
  <dcterms:created xsi:type="dcterms:W3CDTF">2024-08-06T13:31:00Z</dcterms:created>
  <dcterms:modified xsi:type="dcterms:W3CDTF">2026-04-20T01:11:00Z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