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B968" w14:textId="77777777" w:rsidR="002056C5" w:rsidRPr="0007033F" w:rsidRDefault="002056C5" w:rsidP="0007033F">
      <w:pPr>
        <w:pStyle w:val="Normal0"/>
        <w:tabs>
          <w:tab w:val="left" w:pos="3224"/>
        </w:tabs>
        <w:jc w:val="center"/>
        <w:rPr>
          <w:b/>
          <w:sz w:val="20"/>
          <w:szCs w:val="20"/>
        </w:rPr>
      </w:pPr>
    </w:p>
    <w:p w14:paraId="00000002" w14:textId="7D2DE596" w:rsidR="00AD17D4" w:rsidRPr="0007033F" w:rsidRDefault="00C55557" w:rsidP="0007033F">
      <w:pPr>
        <w:pStyle w:val="Normal0"/>
        <w:tabs>
          <w:tab w:val="left" w:pos="3224"/>
        </w:tabs>
        <w:jc w:val="center"/>
        <w:rPr>
          <w:b/>
          <w:sz w:val="20"/>
          <w:szCs w:val="20"/>
        </w:rPr>
      </w:pPr>
      <w:r w:rsidRPr="0007033F">
        <w:rPr>
          <w:b/>
          <w:sz w:val="20"/>
          <w:szCs w:val="20"/>
        </w:rPr>
        <w:t>ANEXO FORMATO COMPONENTE FORMATIVO</w:t>
      </w:r>
    </w:p>
    <w:p w14:paraId="55E91FFA" w14:textId="77777777" w:rsidR="00C55557" w:rsidRPr="0007033F" w:rsidRDefault="00C55557" w:rsidP="0007033F">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7033F" w14:paraId="57121341" w14:textId="77777777" w:rsidTr="00C55557">
        <w:trPr>
          <w:trHeight w:val="340"/>
        </w:trPr>
        <w:tc>
          <w:tcPr>
            <w:tcW w:w="3397" w:type="dxa"/>
            <w:shd w:val="clear" w:color="auto" w:fill="auto"/>
            <w:vAlign w:val="center"/>
          </w:tcPr>
          <w:p w14:paraId="00000003" w14:textId="77777777" w:rsidR="00AD17D4" w:rsidRPr="0007033F" w:rsidRDefault="00025888" w:rsidP="0007033F">
            <w:pPr>
              <w:pStyle w:val="Normal0"/>
              <w:rPr>
                <w:sz w:val="20"/>
                <w:szCs w:val="20"/>
              </w:rPr>
            </w:pPr>
            <w:r w:rsidRPr="0007033F">
              <w:rPr>
                <w:sz w:val="20"/>
                <w:szCs w:val="20"/>
              </w:rPr>
              <w:t>PROGRAMA DE FORMACIÓN</w:t>
            </w:r>
          </w:p>
        </w:tc>
        <w:tc>
          <w:tcPr>
            <w:tcW w:w="6565" w:type="dxa"/>
            <w:shd w:val="clear" w:color="auto" w:fill="auto"/>
            <w:vAlign w:val="center"/>
          </w:tcPr>
          <w:p w14:paraId="632C3730" w14:textId="25A053E5" w:rsidR="001554DC" w:rsidRPr="001554DC" w:rsidRDefault="001554DC" w:rsidP="001554DC">
            <w:pPr>
              <w:pStyle w:val="Normal0"/>
              <w:rPr>
                <w:b w:val="0"/>
                <w:bCs/>
                <w:sz w:val="20"/>
                <w:szCs w:val="20"/>
              </w:rPr>
            </w:pPr>
            <w:r w:rsidRPr="001554DC">
              <w:rPr>
                <w:b w:val="0"/>
                <w:bCs/>
                <w:sz w:val="20"/>
                <w:szCs w:val="20"/>
              </w:rPr>
              <w:t xml:space="preserve">Análisis </w:t>
            </w:r>
            <w:r>
              <w:rPr>
                <w:b w:val="0"/>
                <w:bCs/>
                <w:sz w:val="20"/>
                <w:szCs w:val="20"/>
              </w:rPr>
              <w:t>d</w:t>
            </w:r>
            <w:r w:rsidRPr="001554DC">
              <w:rPr>
                <w:b w:val="0"/>
                <w:bCs/>
                <w:sz w:val="20"/>
                <w:szCs w:val="20"/>
              </w:rPr>
              <w:t xml:space="preserve">el Sistema </w:t>
            </w:r>
            <w:r>
              <w:rPr>
                <w:b w:val="0"/>
                <w:bCs/>
                <w:sz w:val="20"/>
                <w:szCs w:val="20"/>
              </w:rPr>
              <w:t>d</w:t>
            </w:r>
            <w:r w:rsidRPr="001554DC">
              <w:rPr>
                <w:b w:val="0"/>
                <w:bCs/>
                <w:sz w:val="20"/>
                <w:szCs w:val="20"/>
              </w:rPr>
              <w:t xml:space="preserve">e Administración </w:t>
            </w:r>
            <w:r>
              <w:rPr>
                <w:b w:val="0"/>
                <w:bCs/>
                <w:sz w:val="20"/>
                <w:szCs w:val="20"/>
              </w:rPr>
              <w:t>d</w:t>
            </w:r>
            <w:r w:rsidRPr="001554DC">
              <w:rPr>
                <w:b w:val="0"/>
                <w:bCs/>
                <w:sz w:val="20"/>
                <w:szCs w:val="20"/>
              </w:rPr>
              <w:t xml:space="preserve">el Riesgo </w:t>
            </w:r>
            <w:r>
              <w:rPr>
                <w:b w:val="0"/>
                <w:bCs/>
                <w:sz w:val="20"/>
                <w:szCs w:val="20"/>
              </w:rPr>
              <w:t>y</w:t>
            </w:r>
            <w:r w:rsidRPr="001554DC">
              <w:rPr>
                <w:b w:val="0"/>
                <w:bCs/>
                <w:sz w:val="20"/>
                <w:szCs w:val="20"/>
              </w:rPr>
              <w:t xml:space="preserve"> Lavado </w:t>
            </w:r>
            <w:r>
              <w:rPr>
                <w:b w:val="0"/>
                <w:bCs/>
                <w:sz w:val="20"/>
                <w:szCs w:val="20"/>
              </w:rPr>
              <w:t>d</w:t>
            </w:r>
            <w:r w:rsidRPr="001554DC">
              <w:rPr>
                <w:b w:val="0"/>
                <w:bCs/>
                <w:sz w:val="20"/>
                <w:szCs w:val="20"/>
              </w:rPr>
              <w:t>e Activos</w:t>
            </w:r>
          </w:p>
          <w:p w14:paraId="00000004" w14:textId="01A38CD6" w:rsidR="00AD17D4" w:rsidRPr="0007033F" w:rsidRDefault="001554DC" w:rsidP="001554DC">
            <w:pPr>
              <w:pStyle w:val="Normal0"/>
              <w:rPr>
                <w:b w:val="0"/>
                <w:sz w:val="20"/>
                <w:szCs w:val="20"/>
              </w:rPr>
            </w:pPr>
            <w:r>
              <w:rPr>
                <w:b w:val="0"/>
                <w:bCs/>
                <w:sz w:val="20"/>
                <w:szCs w:val="20"/>
              </w:rPr>
              <w:t>y</w:t>
            </w:r>
            <w:r w:rsidRPr="001554DC">
              <w:rPr>
                <w:b w:val="0"/>
                <w:bCs/>
                <w:sz w:val="20"/>
                <w:szCs w:val="20"/>
              </w:rPr>
              <w:t xml:space="preserve"> Financiación </w:t>
            </w:r>
            <w:r>
              <w:rPr>
                <w:b w:val="0"/>
                <w:bCs/>
                <w:sz w:val="20"/>
                <w:szCs w:val="20"/>
              </w:rPr>
              <w:t>d</w:t>
            </w:r>
            <w:r w:rsidRPr="001554DC">
              <w:rPr>
                <w:b w:val="0"/>
                <w:bCs/>
                <w:sz w:val="20"/>
                <w:szCs w:val="20"/>
              </w:rPr>
              <w:t>el Terrorismo - S</w:t>
            </w:r>
            <w:r>
              <w:rPr>
                <w:b w:val="0"/>
                <w:bCs/>
                <w:sz w:val="20"/>
                <w:szCs w:val="20"/>
              </w:rPr>
              <w:t>ARLAFT</w:t>
            </w:r>
          </w:p>
        </w:tc>
      </w:tr>
    </w:tbl>
    <w:p w14:paraId="00000005" w14:textId="77777777" w:rsidR="00AD17D4" w:rsidRPr="0007033F" w:rsidRDefault="00AD17D4" w:rsidP="0007033F">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07033F" w14:paraId="3DB511B9" w14:textId="77777777" w:rsidTr="00C55557">
        <w:trPr>
          <w:trHeight w:val="340"/>
        </w:trPr>
        <w:tc>
          <w:tcPr>
            <w:tcW w:w="1838" w:type="dxa"/>
            <w:shd w:val="clear" w:color="auto" w:fill="auto"/>
            <w:vAlign w:val="center"/>
          </w:tcPr>
          <w:p w14:paraId="00000006" w14:textId="77777777" w:rsidR="00AD17D4" w:rsidRPr="0007033F" w:rsidRDefault="00025888" w:rsidP="0007033F">
            <w:pPr>
              <w:pStyle w:val="Normal0"/>
              <w:rPr>
                <w:sz w:val="20"/>
                <w:szCs w:val="20"/>
              </w:rPr>
            </w:pPr>
            <w:r w:rsidRPr="0007033F">
              <w:rPr>
                <w:sz w:val="20"/>
                <w:szCs w:val="20"/>
              </w:rPr>
              <w:t>COMPETENCIA</w:t>
            </w:r>
          </w:p>
        </w:tc>
        <w:tc>
          <w:tcPr>
            <w:tcW w:w="2835" w:type="dxa"/>
            <w:shd w:val="clear" w:color="auto" w:fill="auto"/>
            <w:vAlign w:val="center"/>
          </w:tcPr>
          <w:p w14:paraId="00000007" w14:textId="5A167D15" w:rsidR="00AD17D4" w:rsidRPr="00D8745B" w:rsidRDefault="003A7689" w:rsidP="0007033F">
            <w:pPr>
              <w:pStyle w:val="Normal0"/>
              <w:rPr>
                <w:sz w:val="20"/>
                <w:szCs w:val="20"/>
              </w:rPr>
            </w:pPr>
            <w:r w:rsidRPr="0007033F">
              <w:rPr>
                <w:sz w:val="20"/>
                <w:szCs w:val="20"/>
              </w:rPr>
              <w:t>210301002</w:t>
            </w:r>
            <w:r w:rsidR="00D8745B">
              <w:rPr>
                <w:sz w:val="20"/>
                <w:szCs w:val="20"/>
              </w:rPr>
              <w:t xml:space="preserve">. </w:t>
            </w:r>
            <w:r w:rsidRPr="0007033F">
              <w:rPr>
                <w:b w:val="0"/>
                <w:sz w:val="20"/>
                <w:szCs w:val="20"/>
              </w:rPr>
              <w:t>Dar asesoría comercial y financiera que conduzca a la satisfacción de las expectativas y necesidades reales del cliente.</w:t>
            </w:r>
          </w:p>
        </w:tc>
        <w:tc>
          <w:tcPr>
            <w:tcW w:w="2126" w:type="dxa"/>
            <w:shd w:val="clear" w:color="auto" w:fill="auto"/>
            <w:vAlign w:val="center"/>
          </w:tcPr>
          <w:p w14:paraId="00000008" w14:textId="77777777" w:rsidR="00AD17D4" w:rsidRPr="0007033F" w:rsidRDefault="00025888" w:rsidP="0007033F">
            <w:pPr>
              <w:pStyle w:val="Normal0"/>
              <w:rPr>
                <w:sz w:val="20"/>
                <w:szCs w:val="20"/>
              </w:rPr>
            </w:pPr>
            <w:r w:rsidRPr="0007033F">
              <w:rPr>
                <w:sz w:val="20"/>
                <w:szCs w:val="20"/>
              </w:rPr>
              <w:t>RESULTADOS DE APRENDIZAJE</w:t>
            </w:r>
          </w:p>
        </w:tc>
        <w:tc>
          <w:tcPr>
            <w:tcW w:w="3163" w:type="dxa"/>
            <w:shd w:val="clear" w:color="auto" w:fill="auto"/>
            <w:vAlign w:val="center"/>
          </w:tcPr>
          <w:p w14:paraId="00000009" w14:textId="69401687" w:rsidR="003A7689" w:rsidRPr="0007033F" w:rsidRDefault="0050514F" w:rsidP="0007033F">
            <w:pPr>
              <w:pStyle w:val="Normal0"/>
              <w:ind w:left="66"/>
              <w:rPr>
                <w:b w:val="0"/>
                <w:sz w:val="20"/>
                <w:szCs w:val="20"/>
              </w:rPr>
            </w:pPr>
            <w:r w:rsidRPr="0007033F">
              <w:rPr>
                <w:sz w:val="20"/>
                <w:szCs w:val="20"/>
              </w:rPr>
              <w:t>210301002-03.</w:t>
            </w:r>
            <w:r w:rsidRPr="0007033F">
              <w:rPr>
                <w:b w:val="0"/>
                <w:sz w:val="20"/>
                <w:szCs w:val="20"/>
              </w:rPr>
              <w:t xml:space="preserve"> Analizar la importancia de las normas legales vigentes en lo referente a lavado de activos y financiación del terrorismo, acorde a normas vigentes.  </w:t>
            </w:r>
          </w:p>
        </w:tc>
      </w:tr>
    </w:tbl>
    <w:p w14:paraId="6E5288D5" w14:textId="4C8E3BD5" w:rsidR="00AD17D4" w:rsidRPr="0007033F" w:rsidRDefault="00AD17D4" w:rsidP="0007033F">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856182" w:rsidRPr="0007033F" w14:paraId="49D4BFBB" w14:textId="77777777" w:rsidTr="00C55557">
        <w:trPr>
          <w:trHeight w:val="340"/>
        </w:trPr>
        <w:tc>
          <w:tcPr>
            <w:tcW w:w="3397" w:type="dxa"/>
            <w:shd w:val="clear" w:color="auto" w:fill="auto"/>
            <w:vAlign w:val="center"/>
          </w:tcPr>
          <w:p w14:paraId="0000000C" w14:textId="77777777" w:rsidR="00AD17D4" w:rsidRPr="0007033F" w:rsidRDefault="00025888" w:rsidP="0007033F">
            <w:pPr>
              <w:pStyle w:val="Normal0"/>
              <w:rPr>
                <w:sz w:val="20"/>
                <w:szCs w:val="20"/>
              </w:rPr>
            </w:pPr>
            <w:r w:rsidRPr="0007033F">
              <w:rPr>
                <w:sz w:val="20"/>
                <w:szCs w:val="20"/>
              </w:rPr>
              <w:t>NÚMERO DEL COMPONENTE FORMATIVO</w:t>
            </w:r>
          </w:p>
        </w:tc>
        <w:tc>
          <w:tcPr>
            <w:tcW w:w="6565" w:type="dxa"/>
            <w:shd w:val="clear" w:color="auto" w:fill="auto"/>
            <w:vAlign w:val="center"/>
          </w:tcPr>
          <w:p w14:paraId="0000000D" w14:textId="3EEF1053" w:rsidR="00AD17D4" w:rsidRPr="0007033F" w:rsidRDefault="00025888" w:rsidP="0007033F">
            <w:pPr>
              <w:pStyle w:val="Normal0"/>
              <w:rPr>
                <w:b w:val="0"/>
                <w:sz w:val="20"/>
                <w:szCs w:val="20"/>
              </w:rPr>
            </w:pPr>
            <w:r w:rsidRPr="0007033F">
              <w:rPr>
                <w:b w:val="0"/>
                <w:sz w:val="20"/>
                <w:szCs w:val="20"/>
              </w:rPr>
              <w:t>0</w:t>
            </w:r>
            <w:r w:rsidR="0050514F" w:rsidRPr="0007033F">
              <w:rPr>
                <w:b w:val="0"/>
                <w:sz w:val="20"/>
                <w:szCs w:val="20"/>
              </w:rPr>
              <w:t>2</w:t>
            </w:r>
          </w:p>
        </w:tc>
      </w:tr>
      <w:tr w:rsidR="00856182" w:rsidRPr="0007033F" w14:paraId="5196225A" w14:textId="77777777" w:rsidTr="00C55557">
        <w:trPr>
          <w:trHeight w:val="340"/>
        </w:trPr>
        <w:tc>
          <w:tcPr>
            <w:tcW w:w="3397" w:type="dxa"/>
            <w:shd w:val="clear" w:color="auto" w:fill="auto"/>
            <w:vAlign w:val="center"/>
          </w:tcPr>
          <w:p w14:paraId="0000000E" w14:textId="77777777" w:rsidR="00AD17D4" w:rsidRPr="0007033F" w:rsidRDefault="00025888" w:rsidP="0007033F">
            <w:pPr>
              <w:pStyle w:val="Normal0"/>
              <w:rPr>
                <w:sz w:val="20"/>
                <w:szCs w:val="20"/>
              </w:rPr>
            </w:pPr>
            <w:r w:rsidRPr="0007033F">
              <w:rPr>
                <w:sz w:val="20"/>
                <w:szCs w:val="20"/>
              </w:rPr>
              <w:t>NOMBRE DEL COMPONENTE FORMATIVO</w:t>
            </w:r>
          </w:p>
        </w:tc>
        <w:tc>
          <w:tcPr>
            <w:tcW w:w="6565" w:type="dxa"/>
            <w:shd w:val="clear" w:color="auto" w:fill="auto"/>
            <w:vAlign w:val="center"/>
          </w:tcPr>
          <w:p w14:paraId="0000000F" w14:textId="6076F19F" w:rsidR="00AD17D4" w:rsidRPr="0007033F" w:rsidRDefault="0050514F" w:rsidP="0007033F">
            <w:pPr>
              <w:pStyle w:val="Normal0"/>
              <w:rPr>
                <w:b w:val="0"/>
                <w:sz w:val="20"/>
                <w:szCs w:val="20"/>
              </w:rPr>
            </w:pPr>
            <w:r w:rsidRPr="0007033F">
              <w:rPr>
                <w:b w:val="0"/>
                <w:sz w:val="20"/>
                <w:szCs w:val="20"/>
              </w:rPr>
              <w:t>Aplicación del sistema</w:t>
            </w:r>
            <w:r w:rsidR="003A7689" w:rsidRPr="0007033F">
              <w:rPr>
                <w:b w:val="0"/>
                <w:sz w:val="20"/>
                <w:szCs w:val="20"/>
              </w:rPr>
              <w:t xml:space="preserve"> SARLAFT</w:t>
            </w:r>
            <w:r w:rsidR="00AC5EF5">
              <w:rPr>
                <w:b w:val="0"/>
                <w:sz w:val="20"/>
                <w:szCs w:val="20"/>
              </w:rPr>
              <w:t>.</w:t>
            </w:r>
          </w:p>
        </w:tc>
      </w:tr>
      <w:tr w:rsidR="00856182" w:rsidRPr="0007033F" w14:paraId="323364CF" w14:textId="77777777" w:rsidTr="00C55557">
        <w:trPr>
          <w:trHeight w:val="340"/>
        </w:trPr>
        <w:tc>
          <w:tcPr>
            <w:tcW w:w="3397" w:type="dxa"/>
            <w:shd w:val="clear" w:color="auto" w:fill="auto"/>
            <w:vAlign w:val="center"/>
          </w:tcPr>
          <w:p w14:paraId="00000010" w14:textId="77777777" w:rsidR="00AD17D4" w:rsidRPr="0007033F" w:rsidRDefault="00025888" w:rsidP="0007033F">
            <w:pPr>
              <w:pStyle w:val="Normal0"/>
              <w:rPr>
                <w:sz w:val="20"/>
                <w:szCs w:val="20"/>
              </w:rPr>
            </w:pPr>
            <w:r w:rsidRPr="0007033F">
              <w:rPr>
                <w:sz w:val="20"/>
                <w:szCs w:val="20"/>
              </w:rPr>
              <w:t>BREVE DESCRIPCIÓN</w:t>
            </w:r>
          </w:p>
        </w:tc>
        <w:tc>
          <w:tcPr>
            <w:tcW w:w="6565" w:type="dxa"/>
            <w:shd w:val="clear" w:color="auto" w:fill="auto"/>
            <w:vAlign w:val="center"/>
          </w:tcPr>
          <w:p w14:paraId="00000011" w14:textId="55984BDE" w:rsidR="00515DAE" w:rsidRPr="00565109" w:rsidRDefault="002B07F2" w:rsidP="0007033F">
            <w:pPr>
              <w:spacing w:before="100" w:beforeAutospacing="1" w:after="100" w:afterAutospacing="1"/>
              <w:rPr>
                <w:rFonts w:eastAsia="Times New Roman"/>
                <w:b w:val="0"/>
                <w:sz w:val="20"/>
                <w:szCs w:val="20"/>
                <w:highlight w:val="yellow"/>
                <w:lang w:eastAsia="es-CO"/>
              </w:rPr>
            </w:pPr>
            <w:r w:rsidRPr="005564B9">
              <w:rPr>
                <w:b w:val="0"/>
                <w:sz w:val="20"/>
                <w:szCs w:val="20"/>
              </w:rPr>
              <w:t>Este componente formativo aborda la aplicación práctica del sistema SARLAFT dentro de las organizaciones, mediante el análisis de los procesos de conocimiento del cliente, identificación de operaciones financieras, sistemas de reporte y funciones de los organismos de control. Asimismo, permite comprender la importancia del cumplimiento normativo, la gestión de la información y los mecanismos de prevención orientados a evitar el lavado de activos y la financiación del terrorismo.</w:t>
            </w:r>
          </w:p>
        </w:tc>
      </w:tr>
      <w:tr w:rsidR="00AD17D4" w:rsidRPr="0007033F" w14:paraId="4789F7AB" w14:textId="77777777" w:rsidTr="00C55557">
        <w:trPr>
          <w:trHeight w:val="340"/>
        </w:trPr>
        <w:tc>
          <w:tcPr>
            <w:tcW w:w="3397" w:type="dxa"/>
            <w:shd w:val="clear" w:color="auto" w:fill="auto"/>
            <w:vAlign w:val="center"/>
          </w:tcPr>
          <w:p w14:paraId="00000012" w14:textId="77777777" w:rsidR="00AD17D4" w:rsidRPr="0007033F" w:rsidRDefault="00025888" w:rsidP="0007033F">
            <w:pPr>
              <w:pStyle w:val="Normal0"/>
              <w:rPr>
                <w:sz w:val="20"/>
                <w:szCs w:val="20"/>
              </w:rPr>
            </w:pPr>
            <w:r w:rsidRPr="0007033F">
              <w:rPr>
                <w:sz w:val="20"/>
                <w:szCs w:val="20"/>
              </w:rPr>
              <w:t>PALABRAS CLAVE</w:t>
            </w:r>
          </w:p>
        </w:tc>
        <w:tc>
          <w:tcPr>
            <w:tcW w:w="6565" w:type="dxa"/>
            <w:shd w:val="clear" w:color="auto" w:fill="auto"/>
            <w:vAlign w:val="center"/>
          </w:tcPr>
          <w:p w14:paraId="00000013" w14:textId="31634102" w:rsidR="00AD17D4" w:rsidRPr="00B9579A" w:rsidRDefault="002B07F2" w:rsidP="0007033F">
            <w:pPr>
              <w:spacing w:before="100" w:beforeAutospacing="1" w:after="100" w:afterAutospacing="1"/>
              <w:rPr>
                <w:rFonts w:eastAsia="Times New Roman"/>
                <w:b w:val="0"/>
                <w:sz w:val="20"/>
                <w:szCs w:val="20"/>
                <w:lang w:eastAsia="es-CO"/>
              </w:rPr>
            </w:pPr>
            <w:r w:rsidRPr="00B9579A">
              <w:rPr>
                <w:b w:val="0"/>
                <w:sz w:val="20"/>
                <w:szCs w:val="20"/>
              </w:rPr>
              <w:t>Conocimiento del cliente</w:t>
            </w:r>
            <w:r w:rsidR="00B9579A">
              <w:rPr>
                <w:b w:val="0"/>
                <w:sz w:val="20"/>
                <w:szCs w:val="20"/>
              </w:rPr>
              <w:t>, o</w:t>
            </w:r>
            <w:r w:rsidRPr="00B9579A">
              <w:rPr>
                <w:b w:val="0"/>
                <w:sz w:val="20"/>
                <w:szCs w:val="20"/>
              </w:rPr>
              <w:t>peraciones sospechosas</w:t>
            </w:r>
            <w:r w:rsidR="00B9579A">
              <w:rPr>
                <w:b w:val="0"/>
                <w:sz w:val="20"/>
                <w:szCs w:val="20"/>
              </w:rPr>
              <w:t>, r</w:t>
            </w:r>
            <w:r w:rsidRPr="00B9579A">
              <w:rPr>
                <w:b w:val="0"/>
                <w:sz w:val="20"/>
                <w:szCs w:val="20"/>
              </w:rPr>
              <w:t>eporte de información</w:t>
            </w:r>
            <w:r w:rsidR="00B9579A">
              <w:rPr>
                <w:b w:val="0"/>
                <w:sz w:val="20"/>
                <w:szCs w:val="20"/>
              </w:rPr>
              <w:t>, o</w:t>
            </w:r>
            <w:r w:rsidRPr="00B9579A">
              <w:rPr>
                <w:b w:val="0"/>
                <w:sz w:val="20"/>
                <w:szCs w:val="20"/>
              </w:rPr>
              <w:t>rganismos de control</w:t>
            </w:r>
            <w:r w:rsidR="00B9579A">
              <w:rPr>
                <w:b w:val="0"/>
                <w:sz w:val="20"/>
                <w:szCs w:val="20"/>
              </w:rPr>
              <w:t>, c</w:t>
            </w:r>
            <w:r w:rsidRPr="00B9579A">
              <w:rPr>
                <w:b w:val="0"/>
                <w:sz w:val="20"/>
                <w:szCs w:val="20"/>
              </w:rPr>
              <w:t>umplimiento normativo</w:t>
            </w:r>
            <w:r w:rsidR="00B9579A">
              <w:rPr>
                <w:b w:val="0"/>
                <w:sz w:val="20"/>
                <w:szCs w:val="20"/>
              </w:rPr>
              <w:t>.</w:t>
            </w:r>
          </w:p>
        </w:tc>
      </w:tr>
    </w:tbl>
    <w:p w14:paraId="00000014" w14:textId="77777777" w:rsidR="00AD17D4" w:rsidRPr="0007033F" w:rsidRDefault="00AD17D4" w:rsidP="0007033F">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856182" w:rsidRPr="0007033F" w14:paraId="4F59971A" w14:textId="77777777" w:rsidTr="00C55557">
        <w:trPr>
          <w:trHeight w:val="340"/>
        </w:trPr>
        <w:tc>
          <w:tcPr>
            <w:tcW w:w="3397" w:type="dxa"/>
            <w:shd w:val="clear" w:color="auto" w:fill="auto"/>
            <w:vAlign w:val="center"/>
          </w:tcPr>
          <w:p w14:paraId="00000015" w14:textId="77777777" w:rsidR="00AD17D4" w:rsidRPr="0007033F" w:rsidRDefault="00025888" w:rsidP="0007033F">
            <w:pPr>
              <w:pStyle w:val="Normal0"/>
              <w:rPr>
                <w:sz w:val="20"/>
                <w:szCs w:val="20"/>
              </w:rPr>
            </w:pPr>
            <w:r w:rsidRPr="0007033F">
              <w:rPr>
                <w:sz w:val="20"/>
                <w:szCs w:val="20"/>
              </w:rPr>
              <w:t>ÁREA OCUPACIONAL</w:t>
            </w:r>
          </w:p>
        </w:tc>
        <w:tc>
          <w:tcPr>
            <w:tcW w:w="6565" w:type="dxa"/>
            <w:shd w:val="clear" w:color="auto" w:fill="auto"/>
            <w:vAlign w:val="center"/>
          </w:tcPr>
          <w:p w14:paraId="00000020" w14:textId="0A5AAEAE" w:rsidR="00AD17D4" w:rsidRPr="0007033F" w:rsidRDefault="002A71D5" w:rsidP="0007033F">
            <w:pPr>
              <w:pStyle w:val="Normal0"/>
              <w:rPr>
                <w:b w:val="0"/>
                <w:sz w:val="20"/>
                <w:szCs w:val="20"/>
              </w:rPr>
            </w:pPr>
            <w:r w:rsidRPr="0007033F">
              <w:rPr>
                <w:b w:val="0"/>
                <w:bCs/>
                <w:sz w:val="20"/>
                <w:szCs w:val="20"/>
              </w:rPr>
              <w:t>A</w:t>
            </w:r>
            <w:r w:rsidR="008E687D" w:rsidRPr="0007033F">
              <w:rPr>
                <w:b w:val="0"/>
                <w:bCs/>
                <w:sz w:val="20"/>
                <w:szCs w:val="20"/>
              </w:rPr>
              <w:t>dministración</w:t>
            </w:r>
            <w:r w:rsidR="003A7689" w:rsidRPr="0007033F">
              <w:rPr>
                <w:b w:val="0"/>
                <w:bCs/>
                <w:sz w:val="20"/>
                <w:szCs w:val="20"/>
              </w:rPr>
              <w:t xml:space="preserve"> y Finanzas</w:t>
            </w:r>
          </w:p>
        </w:tc>
      </w:tr>
      <w:tr w:rsidR="00AD17D4" w:rsidRPr="0007033F" w14:paraId="6E9ED268" w14:textId="77777777" w:rsidTr="00C55557">
        <w:trPr>
          <w:trHeight w:val="465"/>
        </w:trPr>
        <w:tc>
          <w:tcPr>
            <w:tcW w:w="3397" w:type="dxa"/>
            <w:shd w:val="clear" w:color="auto" w:fill="auto"/>
            <w:vAlign w:val="center"/>
          </w:tcPr>
          <w:p w14:paraId="00000021" w14:textId="77777777" w:rsidR="00AD17D4" w:rsidRPr="0007033F" w:rsidRDefault="00025888" w:rsidP="0007033F">
            <w:pPr>
              <w:pStyle w:val="Normal0"/>
              <w:rPr>
                <w:sz w:val="20"/>
                <w:szCs w:val="20"/>
              </w:rPr>
            </w:pPr>
            <w:r w:rsidRPr="0007033F">
              <w:rPr>
                <w:sz w:val="20"/>
                <w:szCs w:val="20"/>
              </w:rPr>
              <w:t>IDIOMA</w:t>
            </w:r>
          </w:p>
        </w:tc>
        <w:tc>
          <w:tcPr>
            <w:tcW w:w="6565" w:type="dxa"/>
            <w:shd w:val="clear" w:color="auto" w:fill="auto"/>
            <w:vAlign w:val="center"/>
          </w:tcPr>
          <w:p w14:paraId="00000022" w14:textId="3C692FC1" w:rsidR="00AD17D4" w:rsidRPr="0007033F" w:rsidRDefault="00025888" w:rsidP="0007033F">
            <w:pPr>
              <w:pStyle w:val="Normal0"/>
              <w:rPr>
                <w:sz w:val="20"/>
                <w:szCs w:val="20"/>
              </w:rPr>
            </w:pPr>
            <w:r w:rsidRPr="0007033F">
              <w:rPr>
                <w:b w:val="0"/>
                <w:sz w:val="20"/>
                <w:szCs w:val="20"/>
              </w:rPr>
              <w:t>Español</w:t>
            </w:r>
            <w:r w:rsidR="0086737C" w:rsidRPr="0007033F">
              <w:rPr>
                <w:b w:val="0"/>
                <w:sz w:val="20"/>
                <w:szCs w:val="20"/>
              </w:rPr>
              <w:t>.</w:t>
            </w:r>
          </w:p>
        </w:tc>
      </w:tr>
    </w:tbl>
    <w:p w14:paraId="614B006F" w14:textId="155C7A98" w:rsidR="002A71D5" w:rsidRPr="0007033F" w:rsidRDefault="002A71D5" w:rsidP="0007033F">
      <w:pPr>
        <w:pStyle w:val="Normal0"/>
        <w:rPr>
          <w:b/>
          <w:sz w:val="20"/>
          <w:szCs w:val="20"/>
        </w:rPr>
      </w:pPr>
    </w:p>
    <w:p w14:paraId="23B0C543" w14:textId="4F8C52DC" w:rsidR="0050514F" w:rsidRPr="0007033F" w:rsidRDefault="0050514F" w:rsidP="0007033F">
      <w:pPr>
        <w:pStyle w:val="Normal0"/>
        <w:rPr>
          <w:b/>
          <w:sz w:val="20"/>
          <w:szCs w:val="20"/>
        </w:rPr>
      </w:pPr>
    </w:p>
    <w:p w14:paraId="504AF3DC" w14:textId="77777777" w:rsidR="00D057E5" w:rsidRPr="0007033F" w:rsidRDefault="00D057E5" w:rsidP="0007033F">
      <w:pPr>
        <w:pStyle w:val="Normal0"/>
        <w:rPr>
          <w:b/>
          <w:sz w:val="20"/>
          <w:szCs w:val="20"/>
        </w:rPr>
      </w:pPr>
    </w:p>
    <w:p w14:paraId="00000029" w14:textId="3B067132" w:rsidR="00AD17D4" w:rsidRPr="0007033F" w:rsidRDefault="00025888" w:rsidP="0007033F">
      <w:pPr>
        <w:pStyle w:val="Normal0"/>
        <w:numPr>
          <w:ilvl w:val="0"/>
          <w:numId w:val="1"/>
        </w:numPr>
        <w:ind w:left="284" w:hanging="284"/>
        <w:rPr>
          <w:b/>
          <w:sz w:val="20"/>
          <w:szCs w:val="20"/>
        </w:rPr>
      </w:pPr>
      <w:r w:rsidRPr="0007033F">
        <w:rPr>
          <w:b/>
          <w:sz w:val="20"/>
          <w:szCs w:val="20"/>
        </w:rPr>
        <w:t xml:space="preserve">TABLA DE CONTENIDO: </w:t>
      </w:r>
    </w:p>
    <w:p w14:paraId="08E7359B" w14:textId="77777777" w:rsidR="00732515" w:rsidRDefault="00732515" w:rsidP="0007033F">
      <w:pPr>
        <w:rPr>
          <w:b/>
          <w:sz w:val="20"/>
          <w:szCs w:val="20"/>
        </w:rPr>
      </w:pPr>
    </w:p>
    <w:p w14:paraId="0B2D71A6" w14:textId="48A1F956" w:rsidR="0007033F" w:rsidRDefault="005A5F3A" w:rsidP="0007033F">
      <w:pPr>
        <w:rPr>
          <w:b/>
          <w:sz w:val="20"/>
          <w:szCs w:val="20"/>
        </w:rPr>
      </w:pPr>
      <w:r w:rsidRPr="0007033F">
        <w:rPr>
          <w:b/>
          <w:sz w:val="20"/>
          <w:szCs w:val="20"/>
        </w:rPr>
        <w:t>Introducción</w:t>
      </w:r>
    </w:p>
    <w:p w14:paraId="6D94F0E1" w14:textId="17A32B07" w:rsidR="00AA3743" w:rsidRDefault="0050514F" w:rsidP="00AA3743">
      <w:pPr>
        <w:pStyle w:val="Normal0"/>
        <w:ind w:left="360" w:hanging="360"/>
        <w:rPr>
          <w:b/>
          <w:sz w:val="20"/>
          <w:szCs w:val="20"/>
        </w:rPr>
      </w:pPr>
      <w:r w:rsidRPr="0007033F">
        <w:rPr>
          <w:b/>
          <w:sz w:val="20"/>
          <w:szCs w:val="20"/>
        </w:rPr>
        <w:t xml:space="preserve">1. </w:t>
      </w:r>
      <w:r w:rsidR="00AA3743">
        <w:rPr>
          <w:b/>
          <w:sz w:val="20"/>
          <w:szCs w:val="20"/>
        </w:rPr>
        <w:t xml:space="preserve"> </w:t>
      </w:r>
      <w:r w:rsidR="00272FD2">
        <w:rPr>
          <w:b/>
          <w:sz w:val="20"/>
          <w:szCs w:val="20"/>
        </w:rPr>
        <w:t xml:space="preserve">  </w:t>
      </w:r>
      <w:r w:rsidRPr="0007033F">
        <w:rPr>
          <w:b/>
          <w:sz w:val="20"/>
          <w:szCs w:val="20"/>
        </w:rPr>
        <w:t>Conocimiento del cliente en el sistema SARLAFT</w:t>
      </w:r>
    </w:p>
    <w:p w14:paraId="4FB2950D" w14:textId="260734A9" w:rsidR="0050514F" w:rsidRPr="00C92B17" w:rsidRDefault="0050514F" w:rsidP="00A41F97">
      <w:pPr>
        <w:ind w:left="363"/>
        <w:rPr>
          <w:b/>
          <w:sz w:val="20"/>
          <w:szCs w:val="20"/>
        </w:rPr>
      </w:pPr>
      <w:r w:rsidRPr="0007033F">
        <w:rPr>
          <w:sz w:val="20"/>
          <w:szCs w:val="20"/>
        </w:rPr>
        <w:t>1.1</w:t>
      </w:r>
      <w:r w:rsidR="00272FD2">
        <w:rPr>
          <w:sz w:val="20"/>
          <w:szCs w:val="20"/>
        </w:rPr>
        <w:t>.</w:t>
      </w:r>
      <w:r w:rsidRPr="0007033F">
        <w:rPr>
          <w:sz w:val="20"/>
          <w:szCs w:val="20"/>
        </w:rPr>
        <w:t xml:space="preserve"> Concepto de conocimiento del cliente (KYC)</w:t>
      </w:r>
      <w:r w:rsidRPr="0007033F">
        <w:rPr>
          <w:sz w:val="20"/>
          <w:szCs w:val="20"/>
        </w:rPr>
        <w:br/>
        <w:t>1.2</w:t>
      </w:r>
      <w:r w:rsidR="00272FD2">
        <w:rPr>
          <w:sz w:val="20"/>
          <w:szCs w:val="20"/>
        </w:rPr>
        <w:t>.</w:t>
      </w:r>
      <w:r w:rsidRPr="0007033F">
        <w:rPr>
          <w:sz w:val="20"/>
          <w:szCs w:val="20"/>
        </w:rPr>
        <w:t xml:space="preserve"> Importancia del conocimiento del cliente en la prevención del LA/FT</w:t>
      </w:r>
      <w:r w:rsidRPr="0007033F">
        <w:rPr>
          <w:sz w:val="20"/>
          <w:szCs w:val="20"/>
        </w:rPr>
        <w:br/>
        <w:t>1.3 Información requerida para la identificación del cliente</w:t>
      </w:r>
      <w:r w:rsidRPr="0007033F">
        <w:rPr>
          <w:sz w:val="20"/>
          <w:szCs w:val="20"/>
        </w:rPr>
        <w:br/>
        <w:t>1.4</w:t>
      </w:r>
      <w:r w:rsidR="00272FD2">
        <w:rPr>
          <w:sz w:val="20"/>
          <w:szCs w:val="20"/>
        </w:rPr>
        <w:t>.</w:t>
      </w:r>
      <w:r w:rsidRPr="0007033F">
        <w:rPr>
          <w:sz w:val="20"/>
          <w:szCs w:val="20"/>
        </w:rPr>
        <w:t xml:space="preserve"> Diferencias entre cliente y usuario en el sistema financiero</w:t>
      </w:r>
    </w:p>
    <w:p w14:paraId="60F4FEDB" w14:textId="0E761E4A" w:rsidR="00C92B17" w:rsidRDefault="0050514F" w:rsidP="001A4B49">
      <w:pPr>
        <w:pStyle w:val="Normal0"/>
        <w:ind w:left="360" w:hanging="360"/>
        <w:rPr>
          <w:b/>
          <w:sz w:val="20"/>
          <w:szCs w:val="20"/>
        </w:rPr>
      </w:pPr>
      <w:r w:rsidRPr="0007033F">
        <w:rPr>
          <w:b/>
          <w:sz w:val="20"/>
          <w:szCs w:val="20"/>
        </w:rPr>
        <w:t xml:space="preserve">2. </w:t>
      </w:r>
      <w:r w:rsidR="005A011E">
        <w:rPr>
          <w:b/>
          <w:sz w:val="20"/>
          <w:szCs w:val="20"/>
        </w:rPr>
        <w:tab/>
      </w:r>
      <w:r w:rsidRPr="0007033F">
        <w:rPr>
          <w:b/>
          <w:sz w:val="20"/>
          <w:szCs w:val="20"/>
        </w:rPr>
        <w:t>Identificación y análisis de operaciones financieras</w:t>
      </w:r>
    </w:p>
    <w:p w14:paraId="3994ECE1" w14:textId="738C1B02" w:rsidR="0050514F" w:rsidRPr="001A4B49" w:rsidRDefault="0050514F" w:rsidP="001A4B49">
      <w:pPr>
        <w:pStyle w:val="Normal0"/>
        <w:ind w:left="360"/>
        <w:rPr>
          <w:bCs/>
          <w:sz w:val="20"/>
          <w:szCs w:val="20"/>
        </w:rPr>
      </w:pPr>
      <w:r w:rsidRPr="001A4B49">
        <w:rPr>
          <w:bCs/>
          <w:sz w:val="20"/>
          <w:szCs w:val="20"/>
        </w:rPr>
        <w:t>2.1 Operaciones financieras habituales</w:t>
      </w:r>
      <w:r w:rsidRPr="001A4B49">
        <w:rPr>
          <w:bCs/>
          <w:sz w:val="20"/>
          <w:szCs w:val="20"/>
        </w:rPr>
        <w:br/>
        <w:t>2.2 Operaciones inusuales</w:t>
      </w:r>
      <w:r w:rsidRPr="001A4B49">
        <w:rPr>
          <w:bCs/>
          <w:sz w:val="20"/>
          <w:szCs w:val="20"/>
        </w:rPr>
        <w:br/>
        <w:t>2.3 Operaciones sospechosas</w:t>
      </w:r>
      <w:r w:rsidRPr="001A4B49">
        <w:rPr>
          <w:bCs/>
          <w:sz w:val="20"/>
          <w:szCs w:val="20"/>
        </w:rPr>
        <w:br/>
        <w:t>2.4 Señales de alerta en las transacciones financieras</w:t>
      </w:r>
    </w:p>
    <w:p w14:paraId="21504BA2" w14:textId="6474C497" w:rsidR="0050514F" w:rsidRPr="0007033F" w:rsidRDefault="0050514F" w:rsidP="001A4B49">
      <w:pPr>
        <w:pStyle w:val="Normal0"/>
        <w:ind w:left="360" w:hanging="360"/>
        <w:rPr>
          <w:b/>
          <w:sz w:val="20"/>
          <w:szCs w:val="20"/>
        </w:rPr>
      </w:pPr>
      <w:r w:rsidRPr="0007033F">
        <w:rPr>
          <w:b/>
          <w:sz w:val="20"/>
          <w:szCs w:val="20"/>
        </w:rPr>
        <w:t xml:space="preserve">3. </w:t>
      </w:r>
      <w:r w:rsidR="005A011E">
        <w:rPr>
          <w:b/>
          <w:sz w:val="20"/>
          <w:szCs w:val="20"/>
        </w:rPr>
        <w:tab/>
      </w:r>
      <w:r w:rsidRPr="0007033F">
        <w:rPr>
          <w:b/>
          <w:sz w:val="20"/>
          <w:szCs w:val="20"/>
        </w:rPr>
        <w:t>Sistemas de reporte en la prevención del LA/FT</w:t>
      </w:r>
    </w:p>
    <w:p w14:paraId="20723BCD" w14:textId="77777777" w:rsidR="0050514F" w:rsidRPr="001A4B49" w:rsidRDefault="0050514F" w:rsidP="001A4B49">
      <w:pPr>
        <w:pStyle w:val="Normal0"/>
        <w:ind w:left="360"/>
        <w:rPr>
          <w:b/>
          <w:sz w:val="20"/>
          <w:szCs w:val="20"/>
        </w:rPr>
      </w:pPr>
      <w:r w:rsidRPr="001A4B49">
        <w:rPr>
          <w:bCs/>
          <w:sz w:val="20"/>
          <w:szCs w:val="20"/>
        </w:rPr>
        <w:lastRenderedPageBreak/>
        <w:t>3.1 Reporte de operaciones sospechosas (ROS)</w:t>
      </w:r>
      <w:r w:rsidRPr="001A4B49">
        <w:rPr>
          <w:bCs/>
          <w:sz w:val="20"/>
          <w:szCs w:val="20"/>
        </w:rPr>
        <w:br/>
        <w:t>3.2 Reporte de transacciones en efectivo</w:t>
      </w:r>
      <w:r w:rsidRPr="001A4B49">
        <w:rPr>
          <w:bCs/>
          <w:sz w:val="20"/>
          <w:szCs w:val="20"/>
        </w:rPr>
        <w:br/>
        <w:t>3.3 Reporte de operaciones múltiples</w:t>
      </w:r>
      <w:r w:rsidRPr="001A4B49">
        <w:rPr>
          <w:b/>
          <w:sz w:val="20"/>
          <w:szCs w:val="20"/>
        </w:rPr>
        <w:br/>
      </w:r>
      <w:r w:rsidRPr="001A4B49">
        <w:rPr>
          <w:bCs/>
          <w:sz w:val="20"/>
          <w:szCs w:val="20"/>
        </w:rPr>
        <w:t>3.4 Importancia de los sistemas de reporte</w:t>
      </w:r>
    </w:p>
    <w:p w14:paraId="596CF8EB" w14:textId="6EA6B3AD" w:rsidR="0050514F" w:rsidRPr="0007033F" w:rsidRDefault="0050514F" w:rsidP="001A4B49">
      <w:pPr>
        <w:pStyle w:val="Normal0"/>
        <w:ind w:left="360" w:hanging="360"/>
        <w:rPr>
          <w:b/>
          <w:sz w:val="20"/>
          <w:szCs w:val="20"/>
        </w:rPr>
      </w:pPr>
      <w:r w:rsidRPr="0007033F">
        <w:rPr>
          <w:b/>
          <w:sz w:val="20"/>
          <w:szCs w:val="20"/>
        </w:rPr>
        <w:t xml:space="preserve">4. </w:t>
      </w:r>
      <w:r w:rsidR="005A011E">
        <w:rPr>
          <w:b/>
          <w:sz w:val="20"/>
          <w:szCs w:val="20"/>
        </w:rPr>
        <w:tab/>
      </w:r>
      <w:r w:rsidRPr="0007033F">
        <w:rPr>
          <w:b/>
          <w:sz w:val="20"/>
          <w:szCs w:val="20"/>
        </w:rPr>
        <w:t>Órganos de control del sistema LA/FT</w:t>
      </w:r>
    </w:p>
    <w:p w14:paraId="44963A38" w14:textId="77777777" w:rsidR="0050514F" w:rsidRPr="001A4B49" w:rsidRDefault="0050514F" w:rsidP="001A4B49">
      <w:pPr>
        <w:pStyle w:val="Normal0"/>
        <w:ind w:left="360"/>
        <w:rPr>
          <w:bCs/>
          <w:sz w:val="20"/>
          <w:szCs w:val="20"/>
        </w:rPr>
      </w:pPr>
      <w:r w:rsidRPr="001A4B49">
        <w:rPr>
          <w:bCs/>
          <w:sz w:val="20"/>
          <w:szCs w:val="20"/>
        </w:rPr>
        <w:t>4.1 Superintendencia Financiera de Colombia</w:t>
      </w:r>
      <w:r w:rsidRPr="001A4B49">
        <w:rPr>
          <w:bCs/>
          <w:sz w:val="20"/>
          <w:szCs w:val="20"/>
        </w:rPr>
        <w:br/>
        <w:t>4.2 Fiscalía General de la Nación</w:t>
      </w:r>
      <w:r w:rsidRPr="001A4B49">
        <w:rPr>
          <w:bCs/>
          <w:sz w:val="20"/>
          <w:szCs w:val="20"/>
        </w:rPr>
        <w:br/>
        <w:t>4.3 Unidad de Información y Análisis Financiero (UIAF)</w:t>
      </w:r>
      <w:r w:rsidRPr="001A4B49">
        <w:rPr>
          <w:bCs/>
          <w:sz w:val="20"/>
          <w:szCs w:val="20"/>
        </w:rPr>
        <w:br/>
        <w:t>4.4 Funciones de los organismos de control</w:t>
      </w:r>
    </w:p>
    <w:p w14:paraId="524450EE" w14:textId="0C47DBB4" w:rsidR="0050514F" w:rsidRPr="0007033F" w:rsidRDefault="0050514F" w:rsidP="001A4B49">
      <w:pPr>
        <w:pStyle w:val="Normal0"/>
        <w:ind w:left="360" w:hanging="360"/>
        <w:rPr>
          <w:b/>
          <w:sz w:val="20"/>
          <w:szCs w:val="20"/>
        </w:rPr>
      </w:pPr>
      <w:r w:rsidRPr="0007033F">
        <w:rPr>
          <w:b/>
          <w:sz w:val="20"/>
          <w:szCs w:val="20"/>
        </w:rPr>
        <w:t xml:space="preserve">5. </w:t>
      </w:r>
      <w:r w:rsidR="005A011E">
        <w:rPr>
          <w:b/>
          <w:sz w:val="20"/>
          <w:szCs w:val="20"/>
        </w:rPr>
        <w:tab/>
      </w:r>
      <w:r w:rsidRPr="0007033F">
        <w:rPr>
          <w:b/>
          <w:sz w:val="20"/>
          <w:szCs w:val="20"/>
        </w:rPr>
        <w:t>Sanciones por incumplimiento de las normas LA/FT</w:t>
      </w:r>
    </w:p>
    <w:p w14:paraId="21E1AB74" w14:textId="77777777" w:rsidR="0050514F" w:rsidRPr="001A4B49" w:rsidRDefault="0050514F" w:rsidP="001A4B49">
      <w:pPr>
        <w:pStyle w:val="Normal0"/>
        <w:ind w:left="360"/>
        <w:rPr>
          <w:b/>
          <w:sz w:val="20"/>
          <w:szCs w:val="20"/>
        </w:rPr>
      </w:pPr>
      <w:r w:rsidRPr="001A4B49">
        <w:rPr>
          <w:bCs/>
          <w:sz w:val="20"/>
          <w:szCs w:val="20"/>
        </w:rPr>
        <w:t>5.1 Sanciones administrativas</w:t>
      </w:r>
      <w:r w:rsidRPr="001A4B49">
        <w:rPr>
          <w:bCs/>
          <w:sz w:val="20"/>
          <w:szCs w:val="20"/>
        </w:rPr>
        <w:br/>
        <w:t>5.2 Sanciones penales</w:t>
      </w:r>
      <w:r w:rsidRPr="001A4B49">
        <w:rPr>
          <w:bCs/>
          <w:sz w:val="20"/>
          <w:szCs w:val="20"/>
        </w:rPr>
        <w:br/>
        <w:t>5.3 Sanciones financieras</w:t>
      </w:r>
      <w:r w:rsidRPr="001A4B49">
        <w:rPr>
          <w:b/>
          <w:sz w:val="20"/>
          <w:szCs w:val="20"/>
        </w:rPr>
        <w:br/>
      </w:r>
      <w:r w:rsidRPr="00A8714E">
        <w:rPr>
          <w:bCs/>
          <w:sz w:val="20"/>
          <w:szCs w:val="20"/>
        </w:rPr>
        <w:t>5.4 Consecuencias para las organizaciones</w:t>
      </w:r>
    </w:p>
    <w:p w14:paraId="697B57AE" w14:textId="3BC43293" w:rsidR="0050514F" w:rsidRPr="0007033F" w:rsidRDefault="0050514F" w:rsidP="001A4B49">
      <w:pPr>
        <w:pStyle w:val="Normal0"/>
        <w:ind w:left="360" w:hanging="360"/>
        <w:rPr>
          <w:b/>
          <w:sz w:val="20"/>
          <w:szCs w:val="20"/>
        </w:rPr>
      </w:pPr>
      <w:r w:rsidRPr="0007033F">
        <w:rPr>
          <w:b/>
          <w:sz w:val="20"/>
          <w:szCs w:val="20"/>
        </w:rPr>
        <w:t xml:space="preserve">6. </w:t>
      </w:r>
      <w:r w:rsidR="005A011E">
        <w:rPr>
          <w:b/>
          <w:sz w:val="20"/>
          <w:szCs w:val="20"/>
        </w:rPr>
        <w:tab/>
      </w:r>
      <w:r w:rsidRPr="0007033F">
        <w:rPr>
          <w:b/>
          <w:sz w:val="20"/>
          <w:szCs w:val="20"/>
        </w:rPr>
        <w:t>Conservación de documentos e información</w:t>
      </w:r>
    </w:p>
    <w:p w14:paraId="33C55C85" w14:textId="20DF8E62" w:rsidR="0050514F" w:rsidRPr="001A4B49" w:rsidRDefault="0050514F" w:rsidP="001A4B49">
      <w:pPr>
        <w:pStyle w:val="Normal0"/>
        <w:ind w:left="360"/>
        <w:rPr>
          <w:bCs/>
          <w:sz w:val="20"/>
          <w:szCs w:val="20"/>
        </w:rPr>
      </w:pPr>
      <w:r w:rsidRPr="001A4B49">
        <w:rPr>
          <w:bCs/>
          <w:sz w:val="20"/>
          <w:szCs w:val="20"/>
        </w:rPr>
        <w:t>6.1 Importancia de la gestión documental</w:t>
      </w:r>
      <w:r w:rsidRPr="001A4B49">
        <w:rPr>
          <w:bCs/>
          <w:sz w:val="20"/>
          <w:szCs w:val="20"/>
        </w:rPr>
        <w:br/>
        <w:t>6.2 Protección de la información del cliente</w:t>
      </w:r>
      <w:r w:rsidRPr="001A4B49">
        <w:rPr>
          <w:bCs/>
          <w:sz w:val="20"/>
          <w:szCs w:val="20"/>
        </w:rPr>
        <w:br/>
        <w:t>6.3 Políticas de privacidad y confidencialidad</w:t>
      </w:r>
    </w:p>
    <w:p w14:paraId="0C22D10A" w14:textId="77777777" w:rsidR="0098383B" w:rsidRDefault="0098383B" w:rsidP="0007033F">
      <w:pPr>
        <w:rPr>
          <w:sz w:val="20"/>
          <w:szCs w:val="20"/>
        </w:rPr>
      </w:pPr>
    </w:p>
    <w:p w14:paraId="230AEBAD" w14:textId="77777777" w:rsidR="00B22A34" w:rsidRPr="0007033F" w:rsidRDefault="00B22A34" w:rsidP="0007033F">
      <w:pPr>
        <w:rPr>
          <w:sz w:val="20"/>
          <w:szCs w:val="20"/>
        </w:rPr>
      </w:pPr>
    </w:p>
    <w:p w14:paraId="642CDBEE" w14:textId="1CA06E7B" w:rsidR="00FC7530" w:rsidRPr="0007033F" w:rsidRDefault="00025888" w:rsidP="0007033F">
      <w:pPr>
        <w:pStyle w:val="Normal0"/>
        <w:numPr>
          <w:ilvl w:val="0"/>
          <w:numId w:val="1"/>
        </w:numPr>
        <w:ind w:left="284" w:hanging="284"/>
        <w:rPr>
          <w:b/>
          <w:sz w:val="20"/>
          <w:szCs w:val="20"/>
        </w:rPr>
      </w:pPr>
      <w:r w:rsidRPr="0007033F">
        <w:rPr>
          <w:b/>
          <w:sz w:val="20"/>
          <w:szCs w:val="20"/>
        </w:rPr>
        <w:t>INTRODUCCIÓN</w:t>
      </w:r>
    </w:p>
    <w:p w14:paraId="2F21EF5F" w14:textId="43E8D3EC" w:rsidR="00AA36A3" w:rsidRPr="0007033F" w:rsidRDefault="00AA36A3" w:rsidP="0007033F">
      <w:pPr>
        <w:pStyle w:val="Normal0"/>
        <w:rPr>
          <w:b/>
          <w:sz w:val="20"/>
          <w:szCs w:val="20"/>
        </w:rPr>
      </w:pPr>
    </w:p>
    <w:p w14:paraId="460B75CF" w14:textId="77777777" w:rsidR="002B07F2" w:rsidRPr="002B07F2" w:rsidRDefault="002B07F2" w:rsidP="002B07F2">
      <w:pPr>
        <w:spacing w:before="100" w:beforeAutospacing="1" w:after="100" w:afterAutospacing="1"/>
        <w:rPr>
          <w:rFonts w:eastAsia="Times New Roman"/>
          <w:sz w:val="20"/>
          <w:szCs w:val="20"/>
          <w:lang w:eastAsia="es-CO"/>
        </w:rPr>
      </w:pPr>
      <w:r w:rsidRPr="002B07F2">
        <w:rPr>
          <w:rFonts w:eastAsia="Times New Roman"/>
          <w:sz w:val="20"/>
          <w:szCs w:val="20"/>
          <w:lang w:eastAsia="es-CO"/>
        </w:rPr>
        <w:t>El sistema de administración del riesgo de lavado de activos y financiación del terrorismo (SARLAFT) requiere no solo el conocimiento de sus fundamentos, sino también la aplicación práctica de sus procedimientos dentro de las organizaciones. En este contexto, las entidades deben implementar mecanismos que permitan identificar, analizar y controlar las operaciones financieras con el fin de prevenir que sus servicios sean utilizados para actividades ilícitas.</w:t>
      </w:r>
    </w:p>
    <w:p w14:paraId="40B3534D" w14:textId="77777777" w:rsidR="002B07F2" w:rsidRPr="002B07F2" w:rsidRDefault="002B07F2" w:rsidP="002B07F2">
      <w:pPr>
        <w:spacing w:before="100" w:beforeAutospacing="1" w:after="100" w:afterAutospacing="1"/>
        <w:rPr>
          <w:rFonts w:eastAsia="Times New Roman"/>
          <w:sz w:val="20"/>
          <w:szCs w:val="20"/>
          <w:lang w:eastAsia="es-CO"/>
        </w:rPr>
      </w:pPr>
      <w:r w:rsidRPr="002B07F2">
        <w:rPr>
          <w:rFonts w:eastAsia="Times New Roman"/>
          <w:sz w:val="20"/>
          <w:szCs w:val="20"/>
          <w:lang w:eastAsia="es-CO"/>
        </w:rPr>
        <w:t>En este componente formativo se abordan los principales procedimientos que permiten aplicar el sistema SARLAFT en las organizaciones. Entre estos se destacan el conocimiento del cliente, la identificación y análisis de operaciones financieras, los sistemas de reporte de información y el papel de los organismos de control encargados de supervisar el cumplimiento de la normativa relacionada con la prevención del lavado de activos y la financiación del terrorismo.</w:t>
      </w:r>
    </w:p>
    <w:p w14:paraId="5639D219" w14:textId="08453FE3" w:rsidR="008C7D94" w:rsidRDefault="00802951" w:rsidP="0007033F">
      <w:pPr>
        <w:pStyle w:val="Normal0"/>
        <w:rPr>
          <w:rFonts w:eastAsia="Times New Roman"/>
          <w:sz w:val="20"/>
          <w:szCs w:val="20"/>
          <w:lang w:eastAsia="es-CO"/>
        </w:rPr>
      </w:pPr>
      <w:r w:rsidRPr="00802951">
        <w:rPr>
          <w:rFonts w:eastAsia="Times New Roman"/>
          <w:sz w:val="20"/>
          <w:szCs w:val="20"/>
          <w:lang w:eastAsia="es-CO"/>
        </w:rPr>
        <w:t>El desarrollo de los contenidos se realiza mediante un enfoque normativo y procedimental que permite comprender las consecuencias del incumplimiento de la normativa, analizar las funciones de los organismos de control y reconocer la importancia de la gestión documental y la protección de la información dentro de las organizaciones. De esta manera, se busca que el aprendiz adquiera capacidades para identificar situaciones de riesgo, aplicar los mecanismos de prevención establecidos por el sistema SARLAFT y cumplir con las disposiciones orientadas a garantizar la seguridad, la legalidad y la transparencia en las actividades financieras y empresariales.</w:t>
      </w:r>
    </w:p>
    <w:p w14:paraId="4168DFA3" w14:textId="77777777" w:rsidR="00F713B4" w:rsidRPr="0007033F" w:rsidRDefault="00F713B4" w:rsidP="0007033F">
      <w:pPr>
        <w:pStyle w:val="Normal0"/>
        <w:rPr>
          <w:b/>
          <w:sz w:val="20"/>
          <w:szCs w:val="20"/>
        </w:rPr>
      </w:pPr>
    </w:p>
    <w:p w14:paraId="6D686A10" w14:textId="53897A65" w:rsidR="009D0968" w:rsidRDefault="00500DC4" w:rsidP="0007033F">
      <w:pPr>
        <w:pStyle w:val="Normal0"/>
        <w:rPr>
          <w:sz w:val="20"/>
          <w:szCs w:val="20"/>
        </w:rPr>
      </w:pPr>
      <w:r w:rsidRPr="00500DC4">
        <w:rPr>
          <w:sz w:val="20"/>
          <w:szCs w:val="20"/>
        </w:rPr>
        <w:t>Para ampliar la comprensión de los conceptos abordados y contextualizarlos en la aplicación práctica del sistema SARLAFT, se recomienda acceder al recurso audiovisual que acompaña este componente formativo.</w:t>
      </w:r>
    </w:p>
    <w:p w14:paraId="4DCCB1B2" w14:textId="77777777" w:rsidR="00500DC4" w:rsidRPr="0007033F" w:rsidRDefault="00500DC4" w:rsidP="0007033F">
      <w:pPr>
        <w:pStyle w:val="Normal0"/>
        <w:rPr>
          <w:sz w:val="20"/>
          <w:szCs w:val="20"/>
        </w:rPr>
      </w:pPr>
    </w:p>
    <w:p w14:paraId="2DF85D62" w14:textId="77777777" w:rsidR="00AD17D4" w:rsidRPr="0007033F" w:rsidRDefault="00025888" w:rsidP="0007033F">
      <w:pPr>
        <w:pStyle w:val="Normal0"/>
        <w:jc w:val="center"/>
        <w:rPr>
          <w:sz w:val="20"/>
          <w:szCs w:val="20"/>
        </w:rPr>
      </w:pPr>
      <w:r w:rsidRPr="0007033F">
        <w:rPr>
          <w:noProof/>
          <w:sz w:val="20"/>
          <w:szCs w:val="20"/>
          <w:lang w:val="en-US" w:eastAsia="en-US"/>
        </w:rPr>
        <w:lastRenderedPageBreak/>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5841A9CE" w:rsidR="00B90167" w:rsidRDefault="00B90167">
                            <w:pPr>
                              <w:spacing w:line="275" w:lineRule="auto"/>
                              <w:jc w:val="center"/>
                              <w:rPr>
                                <w:b/>
                              </w:rPr>
                            </w:pPr>
                            <w:r>
                              <w:rPr>
                                <w:b/>
                                <w:color w:val="FFFFFF"/>
                              </w:rPr>
                              <w:t>Guion_Introduccion_Video_CF02_</w:t>
                            </w:r>
                            <w:r w:rsidRPr="003A7689">
                              <w:rPr>
                                <w:b/>
                                <w:color w:val="FFFFFF"/>
                              </w:rPr>
                              <w:t>13330034</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70993A7A" w14:textId="5841A9CE" w:rsidR="00B90167" w:rsidRDefault="00B90167">
                      <w:pPr>
                        <w:spacing w:line="275" w:lineRule="auto"/>
                        <w:jc w:val="center"/>
                        <w:rPr>
                          <w:b/>
                        </w:rPr>
                      </w:pPr>
                      <w:r>
                        <w:rPr>
                          <w:b/>
                          <w:color w:val="FFFFFF"/>
                        </w:rPr>
                        <w:t>Guion_Introduccion_Video_CF02_</w:t>
                      </w:r>
                      <w:r w:rsidRPr="003A7689">
                        <w:rPr>
                          <w:b/>
                          <w:color w:val="FFFFFF"/>
                        </w:rPr>
                        <w:t>13330034</w:t>
                      </w:r>
                    </w:p>
                  </w:txbxContent>
                </v:textbox>
                <w10:anchorlock/>
              </v:rect>
            </w:pict>
          </mc:Fallback>
        </mc:AlternateContent>
      </w:r>
    </w:p>
    <w:p w14:paraId="7DCEDDFE" w14:textId="04276073" w:rsidR="0050514F" w:rsidRPr="0007033F" w:rsidRDefault="0050514F" w:rsidP="0007033F">
      <w:pPr>
        <w:pStyle w:val="Normal0"/>
        <w:rPr>
          <w:b/>
          <w:sz w:val="20"/>
          <w:szCs w:val="20"/>
        </w:rPr>
      </w:pPr>
    </w:p>
    <w:p w14:paraId="6266572E" w14:textId="77777777" w:rsidR="0007033F" w:rsidRPr="0007033F" w:rsidRDefault="0007033F" w:rsidP="0007033F">
      <w:pPr>
        <w:pStyle w:val="Normal0"/>
        <w:rPr>
          <w:b/>
          <w:sz w:val="20"/>
          <w:szCs w:val="20"/>
        </w:rPr>
      </w:pPr>
    </w:p>
    <w:p w14:paraId="5D37803C" w14:textId="5437EC36" w:rsidR="0050514F" w:rsidRPr="0007033F" w:rsidRDefault="00025888" w:rsidP="0007033F">
      <w:pPr>
        <w:pStyle w:val="Normal0"/>
        <w:numPr>
          <w:ilvl w:val="0"/>
          <w:numId w:val="1"/>
        </w:numPr>
        <w:ind w:left="284" w:hanging="284"/>
        <w:rPr>
          <w:rFonts w:eastAsia="Times New Roman"/>
          <w:vanish/>
          <w:sz w:val="20"/>
          <w:szCs w:val="20"/>
          <w:lang w:eastAsia="es-CO"/>
        </w:rPr>
      </w:pPr>
      <w:r w:rsidRPr="0007033F">
        <w:rPr>
          <w:b/>
          <w:sz w:val="20"/>
          <w:szCs w:val="20"/>
        </w:rPr>
        <w:t>DESARROLLO DE CONTENIDOS:</w:t>
      </w:r>
      <w:r w:rsidR="0050514F" w:rsidRPr="0007033F">
        <w:rPr>
          <w:rFonts w:eastAsia="Times New Roman"/>
          <w:vanish/>
          <w:sz w:val="20"/>
          <w:szCs w:val="20"/>
          <w:lang w:eastAsia="es-CO"/>
        </w:rPr>
        <w:t xml:space="preserve"> </w:t>
      </w:r>
    </w:p>
    <w:p w14:paraId="11E9244E" w14:textId="006DB09B" w:rsidR="00825570" w:rsidRPr="0007033F" w:rsidRDefault="00825570" w:rsidP="0007033F">
      <w:pPr>
        <w:pStyle w:val="Normal0"/>
        <w:rPr>
          <w:b/>
          <w:sz w:val="20"/>
          <w:szCs w:val="20"/>
        </w:rPr>
      </w:pPr>
    </w:p>
    <w:p w14:paraId="7CB27EF7" w14:textId="77777777" w:rsidR="0050514F" w:rsidRPr="0007033F" w:rsidRDefault="0050514F" w:rsidP="0007033F">
      <w:pPr>
        <w:pStyle w:val="Ttulo3"/>
        <w:rPr>
          <w:b/>
          <w:color w:val="auto"/>
          <w:sz w:val="20"/>
          <w:szCs w:val="20"/>
        </w:rPr>
      </w:pPr>
      <w:r w:rsidRPr="0007033F">
        <w:rPr>
          <w:b/>
          <w:color w:val="auto"/>
          <w:sz w:val="20"/>
          <w:szCs w:val="20"/>
        </w:rPr>
        <w:t>1. Conocimiento del cliente en el sistema SARLAFT</w:t>
      </w:r>
    </w:p>
    <w:p w14:paraId="49EAF3B2" w14:textId="77777777" w:rsidR="0050514F" w:rsidRPr="0007033F" w:rsidRDefault="0050514F"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El conocimiento del cliente constituye uno de los pilares fundamentales dentro del Sistema de Administración del Riesgo de Lavado de Activos y Financiación del Terrorismo (SARLAFT). Este proceso permite a las organizaciones identificar adecuadamente a las personas naturales o jurídicas con las que establecen relaciones comerciales o financieras, con el fin de prevenir que sus servicios o productos sean utilizados para actividades ilícitas relacionadas con el lavado de activos o la financiación del terrorismo.</w:t>
      </w:r>
    </w:p>
    <w:p w14:paraId="5593D931" w14:textId="77777777" w:rsidR="0050514F" w:rsidRPr="0007033F" w:rsidRDefault="0050514F" w:rsidP="00063DDA">
      <w:pPr>
        <w:shd w:val="clear" w:color="auto" w:fill="B8CCE4" w:themeFill="accent1" w:themeFillTint="66"/>
        <w:spacing w:before="100" w:beforeAutospacing="1" w:after="100" w:afterAutospacing="1"/>
        <w:rPr>
          <w:rFonts w:eastAsia="Times New Roman"/>
          <w:sz w:val="20"/>
          <w:szCs w:val="20"/>
          <w:lang w:eastAsia="es-CO"/>
        </w:rPr>
      </w:pPr>
      <w:r w:rsidRPr="0007033F">
        <w:rPr>
          <w:rFonts w:eastAsia="Times New Roman"/>
          <w:sz w:val="20"/>
          <w:szCs w:val="20"/>
          <w:lang w:eastAsia="es-CO"/>
        </w:rPr>
        <w:t>En el marco del sistema SARLAFT, el conocimiento del cliente implica la recopilación, verificación y análisis de información relevante sobre la identidad, actividad económica, origen de los recursos y comportamiento financiero de los clientes. Este proceso permite a las organizaciones establecer perfiles de riesgo y monitorear las operaciones realizadas por los clientes, facilitando la detección de transacciones que puedan resultar inusuales o sospechosas.</w:t>
      </w:r>
    </w:p>
    <w:p w14:paraId="24000B5D" w14:textId="77777777" w:rsidR="0050514F" w:rsidRPr="0007033F" w:rsidRDefault="0050514F"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el conocimiento del cliente contribuye al fortalecimiento de los mecanismos de control dentro de las organizaciones, ya que permite identificar posibles riesgos asociados a las relaciones comerciales o financieras. La aplicación adecuada de este proceso facilita el cumplimiento de las disposiciones normativas establecidas por las autoridades de supervisión y promueve la transparencia en las operaciones desarrolladas dentro del sistema financiero y empresarial.</w:t>
      </w:r>
    </w:p>
    <w:p w14:paraId="7EFAC9C7" w14:textId="3C9BB568" w:rsidR="0050514F" w:rsidRPr="0007033F" w:rsidRDefault="0050514F"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A continuación, se presentan algunos aspectos fundamentales que deben ser considerados por las organizaciones en el proceso de conocimiento del cliente dentro del sistema SARLAFT.</w:t>
      </w:r>
    </w:p>
    <w:p w14:paraId="4F4CBC17" w14:textId="33E309C2" w:rsidR="0050514F" w:rsidRPr="0007033F" w:rsidRDefault="0050514F" w:rsidP="0007033F">
      <w:pPr>
        <w:pStyle w:val="Normal0"/>
        <w:rPr>
          <w:b/>
          <w:sz w:val="20"/>
          <w:szCs w:val="20"/>
        </w:rPr>
      </w:pPr>
      <w:r w:rsidRPr="0007033F">
        <w:rPr>
          <w:b/>
          <w:sz w:val="20"/>
          <w:szCs w:val="20"/>
        </w:rPr>
        <w:t>Tabla 1.</w:t>
      </w:r>
      <w:r w:rsidRPr="0007033F">
        <w:rPr>
          <w:sz w:val="20"/>
          <w:szCs w:val="20"/>
        </w:rPr>
        <w:t xml:space="preserve"> Aspectos fundamentales del conocimiento del cliente</w:t>
      </w:r>
    </w:p>
    <w:tbl>
      <w:tblPr>
        <w:tblStyle w:val="Tabladecuadrcula4"/>
        <w:tblW w:w="0" w:type="auto"/>
        <w:tblLook w:val="04A0" w:firstRow="1" w:lastRow="0" w:firstColumn="1" w:lastColumn="0" w:noHBand="0" w:noVBand="1"/>
      </w:tblPr>
      <w:tblGrid>
        <w:gridCol w:w="2483"/>
        <w:gridCol w:w="7479"/>
      </w:tblGrid>
      <w:tr w:rsidR="00856182" w:rsidRPr="0007033F" w14:paraId="3AB71D41" w14:textId="77777777" w:rsidTr="002E6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DAA53" w14:textId="77777777" w:rsidR="0050514F" w:rsidRPr="0007033F" w:rsidRDefault="0050514F" w:rsidP="0007033F">
            <w:pPr>
              <w:jc w:val="center"/>
              <w:rPr>
                <w:rFonts w:eastAsia="Times New Roman"/>
                <w:b w:val="0"/>
                <w:bCs w:val="0"/>
                <w:sz w:val="20"/>
                <w:szCs w:val="20"/>
                <w:lang w:eastAsia="es-CO"/>
              </w:rPr>
            </w:pPr>
            <w:r w:rsidRPr="0007033F">
              <w:rPr>
                <w:rFonts w:eastAsia="Times New Roman"/>
                <w:sz w:val="20"/>
                <w:szCs w:val="20"/>
                <w:lang w:eastAsia="es-CO"/>
              </w:rPr>
              <w:t>Aspecto</w:t>
            </w:r>
          </w:p>
        </w:tc>
        <w:tc>
          <w:tcPr>
            <w:tcW w:w="0" w:type="auto"/>
            <w:hideMark/>
          </w:tcPr>
          <w:p w14:paraId="002C3342" w14:textId="77777777" w:rsidR="0050514F" w:rsidRPr="0007033F" w:rsidRDefault="0050514F" w:rsidP="0007033F">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Descripción</w:t>
            </w:r>
          </w:p>
        </w:tc>
      </w:tr>
      <w:tr w:rsidR="00856182" w:rsidRPr="0007033F" w14:paraId="628A57CA" w14:textId="77777777" w:rsidTr="002E6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A1BE3" w14:textId="77777777" w:rsidR="0050514F" w:rsidRPr="0007033F" w:rsidRDefault="0050514F" w:rsidP="0007033F">
            <w:pPr>
              <w:rPr>
                <w:rFonts w:eastAsia="Times New Roman"/>
                <w:sz w:val="20"/>
                <w:szCs w:val="20"/>
                <w:lang w:eastAsia="es-CO"/>
              </w:rPr>
            </w:pPr>
            <w:r w:rsidRPr="0007033F">
              <w:rPr>
                <w:rFonts w:eastAsia="Times New Roman"/>
                <w:sz w:val="20"/>
                <w:szCs w:val="20"/>
                <w:lang w:eastAsia="es-CO"/>
              </w:rPr>
              <w:t>Identificación del cliente</w:t>
            </w:r>
          </w:p>
        </w:tc>
        <w:tc>
          <w:tcPr>
            <w:tcW w:w="0" w:type="auto"/>
            <w:hideMark/>
          </w:tcPr>
          <w:p w14:paraId="393C8A17" w14:textId="77777777" w:rsidR="0050514F" w:rsidRPr="0007033F" w:rsidRDefault="0050514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Proceso mediante el cual se recopila la información básica que permite verificar la identidad del cliente.</w:t>
            </w:r>
          </w:p>
        </w:tc>
      </w:tr>
      <w:tr w:rsidR="00856182" w:rsidRPr="0007033F" w14:paraId="3A0CC61A" w14:textId="77777777" w:rsidTr="002E6930">
        <w:tc>
          <w:tcPr>
            <w:cnfStyle w:val="001000000000" w:firstRow="0" w:lastRow="0" w:firstColumn="1" w:lastColumn="0" w:oddVBand="0" w:evenVBand="0" w:oddHBand="0" w:evenHBand="0" w:firstRowFirstColumn="0" w:firstRowLastColumn="0" w:lastRowFirstColumn="0" w:lastRowLastColumn="0"/>
            <w:tcW w:w="0" w:type="auto"/>
            <w:hideMark/>
          </w:tcPr>
          <w:p w14:paraId="7056CC80" w14:textId="77777777" w:rsidR="0050514F" w:rsidRPr="0007033F" w:rsidRDefault="0050514F" w:rsidP="0007033F">
            <w:pPr>
              <w:rPr>
                <w:rFonts w:eastAsia="Times New Roman"/>
                <w:sz w:val="20"/>
                <w:szCs w:val="20"/>
                <w:lang w:eastAsia="es-CO"/>
              </w:rPr>
            </w:pPr>
            <w:r w:rsidRPr="0007033F">
              <w:rPr>
                <w:rFonts w:eastAsia="Times New Roman"/>
                <w:sz w:val="20"/>
                <w:szCs w:val="20"/>
                <w:lang w:eastAsia="es-CO"/>
              </w:rPr>
              <w:t>Verificación de la información</w:t>
            </w:r>
          </w:p>
        </w:tc>
        <w:tc>
          <w:tcPr>
            <w:tcW w:w="0" w:type="auto"/>
            <w:hideMark/>
          </w:tcPr>
          <w:p w14:paraId="4CF04ED3" w14:textId="77777777" w:rsidR="0050514F" w:rsidRPr="0007033F" w:rsidRDefault="0050514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Confirmación de la autenticidad de los datos suministrados por el cliente a través de documentos o fuentes confiables.</w:t>
            </w:r>
          </w:p>
        </w:tc>
      </w:tr>
      <w:tr w:rsidR="00856182" w:rsidRPr="0007033F" w14:paraId="22369D5A" w14:textId="77777777" w:rsidTr="002E6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897EF" w14:textId="77777777" w:rsidR="0050514F" w:rsidRPr="0007033F" w:rsidRDefault="0050514F" w:rsidP="0007033F">
            <w:pPr>
              <w:rPr>
                <w:rFonts w:eastAsia="Times New Roman"/>
                <w:sz w:val="20"/>
                <w:szCs w:val="20"/>
                <w:lang w:eastAsia="es-CO"/>
              </w:rPr>
            </w:pPr>
            <w:r w:rsidRPr="0007033F">
              <w:rPr>
                <w:rFonts w:eastAsia="Times New Roman"/>
                <w:sz w:val="20"/>
                <w:szCs w:val="20"/>
                <w:lang w:eastAsia="es-CO"/>
              </w:rPr>
              <w:t>Actividad económica</w:t>
            </w:r>
          </w:p>
        </w:tc>
        <w:tc>
          <w:tcPr>
            <w:tcW w:w="0" w:type="auto"/>
            <w:hideMark/>
          </w:tcPr>
          <w:p w14:paraId="2589600D" w14:textId="77777777" w:rsidR="0050514F" w:rsidRPr="0007033F" w:rsidRDefault="0050514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Análisis de la actividad económica desarrollada por el cliente para comprender el origen de sus ingresos.</w:t>
            </w:r>
          </w:p>
        </w:tc>
      </w:tr>
      <w:tr w:rsidR="00856182" w:rsidRPr="0007033F" w14:paraId="153B8141" w14:textId="77777777" w:rsidTr="002E6930">
        <w:tc>
          <w:tcPr>
            <w:cnfStyle w:val="001000000000" w:firstRow="0" w:lastRow="0" w:firstColumn="1" w:lastColumn="0" w:oddVBand="0" w:evenVBand="0" w:oddHBand="0" w:evenHBand="0" w:firstRowFirstColumn="0" w:firstRowLastColumn="0" w:lastRowFirstColumn="0" w:lastRowLastColumn="0"/>
            <w:tcW w:w="0" w:type="auto"/>
            <w:hideMark/>
          </w:tcPr>
          <w:p w14:paraId="243F5C3D" w14:textId="77777777" w:rsidR="0050514F" w:rsidRPr="0007033F" w:rsidRDefault="0050514F" w:rsidP="0007033F">
            <w:pPr>
              <w:rPr>
                <w:rFonts w:eastAsia="Times New Roman"/>
                <w:sz w:val="20"/>
                <w:szCs w:val="20"/>
                <w:lang w:eastAsia="es-CO"/>
              </w:rPr>
            </w:pPr>
            <w:r w:rsidRPr="0007033F">
              <w:rPr>
                <w:rFonts w:eastAsia="Times New Roman"/>
                <w:sz w:val="20"/>
                <w:szCs w:val="20"/>
                <w:lang w:eastAsia="es-CO"/>
              </w:rPr>
              <w:t>Perfil del cliente</w:t>
            </w:r>
          </w:p>
        </w:tc>
        <w:tc>
          <w:tcPr>
            <w:tcW w:w="0" w:type="auto"/>
            <w:hideMark/>
          </w:tcPr>
          <w:p w14:paraId="2DC26222" w14:textId="77777777" w:rsidR="0050514F" w:rsidRPr="0007033F" w:rsidRDefault="0050514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Caracterización del comportamiento financiero esperado del cliente según su actividad económica y tipo de operaciones.</w:t>
            </w:r>
          </w:p>
        </w:tc>
      </w:tr>
      <w:tr w:rsidR="00856182" w:rsidRPr="0007033F" w14:paraId="3CBA82F4" w14:textId="77777777" w:rsidTr="002E6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A585B" w14:textId="77777777" w:rsidR="0050514F" w:rsidRPr="0007033F" w:rsidRDefault="0050514F" w:rsidP="0007033F">
            <w:pPr>
              <w:rPr>
                <w:rFonts w:eastAsia="Times New Roman"/>
                <w:sz w:val="20"/>
                <w:szCs w:val="20"/>
                <w:lang w:eastAsia="es-CO"/>
              </w:rPr>
            </w:pPr>
            <w:r w:rsidRPr="0007033F">
              <w:rPr>
                <w:rFonts w:eastAsia="Times New Roman"/>
                <w:sz w:val="20"/>
                <w:szCs w:val="20"/>
                <w:lang w:eastAsia="es-CO"/>
              </w:rPr>
              <w:t>Monitoreo de operaciones</w:t>
            </w:r>
          </w:p>
        </w:tc>
        <w:tc>
          <w:tcPr>
            <w:tcW w:w="0" w:type="auto"/>
            <w:hideMark/>
          </w:tcPr>
          <w:p w14:paraId="217C6850" w14:textId="77777777" w:rsidR="0050514F" w:rsidRPr="0007033F" w:rsidRDefault="0050514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Seguimiento permanente de las transacciones realizadas por el cliente para identificar posibles irregularidades.</w:t>
            </w:r>
          </w:p>
        </w:tc>
      </w:tr>
      <w:tr w:rsidR="00856182" w:rsidRPr="0007033F" w14:paraId="502AF27B" w14:textId="77777777" w:rsidTr="002E6930">
        <w:tc>
          <w:tcPr>
            <w:cnfStyle w:val="001000000000" w:firstRow="0" w:lastRow="0" w:firstColumn="1" w:lastColumn="0" w:oddVBand="0" w:evenVBand="0" w:oddHBand="0" w:evenHBand="0" w:firstRowFirstColumn="0" w:firstRowLastColumn="0" w:lastRowFirstColumn="0" w:lastRowLastColumn="0"/>
            <w:tcW w:w="0" w:type="auto"/>
            <w:hideMark/>
          </w:tcPr>
          <w:p w14:paraId="5A3EA5D4" w14:textId="77777777" w:rsidR="0050514F" w:rsidRPr="0007033F" w:rsidRDefault="0050514F" w:rsidP="0007033F">
            <w:pPr>
              <w:rPr>
                <w:rFonts w:eastAsia="Times New Roman"/>
                <w:sz w:val="20"/>
                <w:szCs w:val="20"/>
                <w:lang w:eastAsia="es-CO"/>
              </w:rPr>
            </w:pPr>
            <w:r w:rsidRPr="0007033F">
              <w:rPr>
                <w:rFonts w:eastAsia="Times New Roman"/>
                <w:sz w:val="20"/>
                <w:szCs w:val="20"/>
                <w:lang w:eastAsia="es-CO"/>
              </w:rPr>
              <w:t>Actualización de información</w:t>
            </w:r>
          </w:p>
        </w:tc>
        <w:tc>
          <w:tcPr>
            <w:tcW w:w="0" w:type="auto"/>
            <w:hideMark/>
          </w:tcPr>
          <w:p w14:paraId="306C9207" w14:textId="77777777" w:rsidR="0050514F" w:rsidRPr="0007033F" w:rsidRDefault="0050514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Proceso periódico de revisión y actualización de los datos del cliente para mantener información confiable y vigente.</w:t>
            </w:r>
          </w:p>
        </w:tc>
      </w:tr>
    </w:tbl>
    <w:p w14:paraId="2EE501F1" w14:textId="77777777" w:rsidR="0050514F" w:rsidRPr="0007033F" w:rsidRDefault="0050514F" w:rsidP="0007033F">
      <w:pPr>
        <w:pStyle w:val="Normal0"/>
        <w:rPr>
          <w:b/>
          <w:sz w:val="20"/>
          <w:szCs w:val="20"/>
        </w:rPr>
      </w:pPr>
    </w:p>
    <w:p w14:paraId="6608E052" w14:textId="67863130" w:rsidR="00A70C02" w:rsidRDefault="00A70C02" w:rsidP="0007033F">
      <w:pPr>
        <w:pStyle w:val="Normal0"/>
        <w:rPr>
          <w:bCs/>
          <w:sz w:val="20"/>
          <w:szCs w:val="20"/>
        </w:rPr>
      </w:pPr>
      <w:r w:rsidRPr="00A70C02">
        <w:rPr>
          <w:bCs/>
          <w:sz w:val="20"/>
          <w:szCs w:val="20"/>
        </w:rPr>
        <w:lastRenderedPageBreak/>
        <w:t>Los aspectos presentados en la tabla anterior constituyen los elementos esenciales que deben considerar las organizaciones al implementar el proceso de conocimiento del cliente dentro del sistema SARLAFT. Su aplicación sistemática permite reducir el riesgo de exposición a actividades ilícitas y fortalecer los mecanismos de control sobre las relaciones comerciales y financieras establecidas con los clientes.</w:t>
      </w:r>
    </w:p>
    <w:p w14:paraId="3279269D" w14:textId="77777777" w:rsidR="00674372" w:rsidRPr="00674372" w:rsidRDefault="00674372" w:rsidP="0007033F">
      <w:pPr>
        <w:pStyle w:val="Normal0"/>
        <w:rPr>
          <w:bCs/>
          <w:sz w:val="20"/>
          <w:szCs w:val="20"/>
        </w:rPr>
      </w:pPr>
    </w:p>
    <w:p w14:paraId="7ABC130B" w14:textId="77777777" w:rsidR="00A70C02" w:rsidRPr="0007033F" w:rsidRDefault="00A70C02" w:rsidP="0007033F">
      <w:pPr>
        <w:pStyle w:val="Normal0"/>
        <w:rPr>
          <w:b/>
          <w:sz w:val="20"/>
          <w:szCs w:val="20"/>
        </w:rPr>
      </w:pPr>
    </w:p>
    <w:p w14:paraId="4A801866" w14:textId="34683C5A" w:rsidR="0050514F" w:rsidRPr="0007033F" w:rsidRDefault="0050514F" w:rsidP="0007033F">
      <w:pPr>
        <w:pStyle w:val="Normal0"/>
        <w:rPr>
          <w:b/>
          <w:sz w:val="20"/>
          <w:szCs w:val="20"/>
        </w:rPr>
      </w:pPr>
      <w:r w:rsidRPr="0007033F">
        <w:rPr>
          <w:b/>
          <w:sz w:val="20"/>
          <w:szCs w:val="20"/>
        </w:rPr>
        <w:t>1.1 Concepto</w:t>
      </w:r>
      <w:r w:rsidR="0040144D">
        <w:rPr>
          <w:b/>
          <w:sz w:val="20"/>
          <w:szCs w:val="20"/>
        </w:rPr>
        <w:t xml:space="preserve"> </w:t>
      </w:r>
      <w:r w:rsidR="002139E4">
        <w:rPr>
          <w:b/>
          <w:sz w:val="20"/>
          <w:szCs w:val="20"/>
        </w:rPr>
        <w:t>del c</w:t>
      </w:r>
      <w:r w:rsidRPr="0007033F">
        <w:rPr>
          <w:b/>
          <w:sz w:val="20"/>
          <w:szCs w:val="20"/>
        </w:rPr>
        <w:t>onocimiento del cliente (KYC)</w:t>
      </w:r>
    </w:p>
    <w:p w14:paraId="740920B2" w14:textId="77777777" w:rsidR="0050514F" w:rsidRPr="0007033F" w:rsidRDefault="0050514F" w:rsidP="0007033F">
      <w:pPr>
        <w:pStyle w:val="NormalWeb"/>
        <w:spacing w:line="276" w:lineRule="auto"/>
        <w:rPr>
          <w:rFonts w:ascii="Arial" w:hAnsi="Arial" w:cs="Arial"/>
          <w:sz w:val="20"/>
          <w:szCs w:val="20"/>
          <w:lang w:eastAsia="es-CO"/>
        </w:rPr>
      </w:pPr>
      <w:r w:rsidRPr="0007033F">
        <w:rPr>
          <w:rFonts w:ascii="Arial" w:hAnsi="Arial" w:cs="Arial"/>
          <w:sz w:val="20"/>
          <w:szCs w:val="20"/>
        </w:rPr>
        <w:t>El concepto de conocimiento del cliente, conocido internacionalmente como KYC (</w:t>
      </w:r>
      <w:r w:rsidRPr="00B8494C">
        <w:rPr>
          <w:rFonts w:ascii="Arial" w:hAnsi="Arial" w:cs="Arial"/>
          <w:i/>
          <w:iCs/>
          <w:sz w:val="20"/>
          <w:szCs w:val="20"/>
        </w:rPr>
        <w:t>Know Your Customer</w:t>
      </w:r>
      <w:r w:rsidRPr="0007033F">
        <w:rPr>
          <w:rFonts w:ascii="Arial" w:hAnsi="Arial" w:cs="Arial"/>
          <w:sz w:val="20"/>
          <w:szCs w:val="20"/>
        </w:rPr>
        <w:t>), hace referencia al conjunto de procesos que permiten a las organizaciones identificar, verificar y comprender la información relacionada con las personas o entidades con las que establecen relaciones comerciales o financieras. Este proceso constituye un elemento esencial dentro del sistema SARLAFT, ya que permite reducir el riesgo de que las organizaciones sean utilizadas para actividades relacionadas con el lavado de activos o la financiación del terrorismo.</w:t>
      </w:r>
    </w:p>
    <w:p w14:paraId="1D3843F4" w14:textId="77777777" w:rsidR="0050514F" w:rsidRPr="0007033F" w:rsidRDefault="0050514F" w:rsidP="0007033F">
      <w:pPr>
        <w:pStyle w:val="NormalWeb"/>
        <w:spacing w:line="276" w:lineRule="auto"/>
        <w:rPr>
          <w:rFonts w:ascii="Arial" w:hAnsi="Arial" w:cs="Arial"/>
          <w:sz w:val="20"/>
          <w:szCs w:val="20"/>
        </w:rPr>
      </w:pPr>
      <w:r w:rsidRPr="0007033F">
        <w:rPr>
          <w:rFonts w:ascii="Arial" w:hAnsi="Arial" w:cs="Arial"/>
          <w:sz w:val="20"/>
          <w:szCs w:val="20"/>
        </w:rPr>
        <w:t>En el contexto de la prevención del lavado de activos y la financiación del terrorismo, el conocimiento del cliente implica la recopilación y análisis de información relevante sobre la identidad, actividad económica, origen de los recursos y comportamiento financiero del cliente. Esta información permite a las organizaciones establecer un perfil que facilite la identificación de operaciones que no correspondan con el comportamiento habitual del cliente, lo cual puede representar una señal de alerta.</w:t>
      </w:r>
    </w:p>
    <w:p w14:paraId="1293A1B7" w14:textId="77777777" w:rsidR="0050514F" w:rsidRPr="0007033F" w:rsidRDefault="0050514F" w:rsidP="00CB3DB6">
      <w:pPr>
        <w:pStyle w:val="NormalWeb"/>
        <w:shd w:val="clear" w:color="auto" w:fill="E5DFEC" w:themeFill="accent4" w:themeFillTint="33"/>
        <w:spacing w:line="276" w:lineRule="auto"/>
        <w:rPr>
          <w:rFonts w:ascii="Arial" w:hAnsi="Arial" w:cs="Arial"/>
          <w:sz w:val="20"/>
          <w:szCs w:val="20"/>
        </w:rPr>
      </w:pPr>
      <w:r w:rsidRPr="0007033F">
        <w:rPr>
          <w:rFonts w:ascii="Arial" w:hAnsi="Arial" w:cs="Arial"/>
          <w:sz w:val="20"/>
          <w:szCs w:val="20"/>
        </w:rPr>
        <w:t>Además, el proceso KYC contribuye a fortalecer los mecanismos de control interno dentro de las organizaciones, ya que facilita la evaluación de los riesgos asociados a cada cliente. A través de este proceso, las entidades pueden clasificar a sus clientes según niveles de riesgo, aplicar medidas de debida diligencia y realizar un seguimiento permanente de las operaciones que se desarrollan en el marco de la relación comercial.</w:t>
      </w:r>
    </w:p>
    <w:p w14:paraId="44AF9431" w14:textId="77777777" w:rsidR="0050514F" w:rsidRPr="0007033F" w:rsidRDefault="0050514F" w:rsidP="0007033F">
      <w:pPr>
        <w:pStyle w:val="NormalWeb"/>
        <w:spacing w:line="276" w:lineRule="auto"/>
        <w:rPr>
          <w:rFonts w:ascii="Arial" w:hAnsi="Arial" w:cs="Arial"/>
          <w:sz w:val="20"/>
          <w:szCs w:val="20"/>
        </w:rPr>
      </w:pPr>
      <w:r w:rsidRPr="0007033F">
        <w:rPr>
          <w:rFonts w:ascii="Arial" w:hAnsi="Arial" w:cs="Arial"/>
          <w:sz w:val="20"/>
          <w:szCs w:val="20"/>
        </w:rPr>
        <w:t>Por otra parte, la implementación adecuada del conocimiento del cliente permite a las organizaciones cumplir con las disposiciones normativas establecidas por las autoridades de supervisión y control. La aplicación de procedimientos claros para la identificación y verificación de los clientes contribuye a mejorar la transparencia en las operaciones y a fortalecer los sistemas de prevención frente al lavado de activos y la financiación del terrorismo.</w:t>
      </w:r>
    </w:p>
    <w:p w14:paraId="1ED4E3CF" w14:textId="77777777" w:rsidR="0050514F" w:rsidRPr="0007033F" w:rsidRDefault="0050514F" w:rsidP="0007033F">
      <w:pPr>
        <w:pStyle w:val="NormalWeb"/>
        <w:spacing w:line="276" w:lineRule="auto"/>
        <w:rPr>
          <w:rFonts w:ascii="Arial" w:hAnsi="Arial" w:cs="Arial"/>
          <w:sz w:val="20"/>
          <w:szCs w:val="20"/>
        </w:rPr>
      </w:pPr>
      <w:r w:rsidRPr="0007033F">
        <w:rPr>
          <w:rFonts w:ascii="Arial" w:hAnsi="Arial" w:cs="Arial"/>
          <w:sz w:val="20"/>
          <w:szCs w:val="20"/>
        </w:rPr>
        <w:t>Entre algunos aspectos fundamentales del proceso de conocimiento del cliente (KYC) se destacan los siguientes:</w:t>
      </w:r>
    </w:p>
    <w:p w14:paraId="57509EBE" w14:textId="34F20B07" w:rsidR="004A04DE" w:rsidRDefault="004A04DE" w:rsidP="007A7CDB">
      <w:pPr>
        <w:pStyle w:val="NormalWeb"/>
        <w:numPr>
          <w:ilvl w:val="0"/>
          <w:numId w:val="18"/>
        </w:numPr>
        <w:spacing w:line="276" w:lineRule="auto"/>
        <w:rPr>
          <w:rFonts w:ascii="Arial" w:hAnsi="Arial" w:cs="Arial"/>
          <w:sz w:val="20"/>
          <w:szCs w:val="20"/>
        </w:rPr>
      </w:pPr>
      <w:commentRangeStart w:id="0"/>
      <w:r w:rsidRPr="004A04DE">
        <w:rPr>
          <w:rFonts w:ascii="Arial" w:hAnsi="Arial" w:cs="Arial"/>
          <w:b/>
          <w:bCs/>
          <w:sz w:val="20"/>
          <w:szCs w:val="20"/>
        </w:rPr>
        <w:t xml:space="preserve">Identificación del cliente: </w:t>
      </w:r>
      <w:r>
        <w:rPr>
          <w:rFonts w:ascii="Arial" w:hAnsi="Arial" w:cs="Arial"/>
          <w:sz w:val="20"/>
          <w:szCs w:val="20"/>
        </w:rPr>
        <w:t>p</w:t>
      </w:r>
      <w:r w:rsidRPr="004A04DE">
        <w:rPr>
          <w:rFonts w:ascii="Arial" w:hAnsi="Arial" w:cs="Arial"/>
          <w:sz w:val="20"/>
          <w:szCs w:val="20"/>
        </w:rPr>
        <w:t>roceso mediante el cual se recopila y verifica la información básica que permite establecer la identidad de la persona natural o jurídica que accede a los productos o servicios de la organización.</w:t>
      </w:r>
    </w:p>
    <w:p w14:paraId="10AAC3D2" w14:textId="792A609D" w:rsidR="004A04DE" w:rsidRDefault="00AD54FD" w:rsidP="00F30B58">
      <w:pPr>
        <w:pStyle w:val="NormalWeb"/>
        <w:numPr>
          <w:ilvl w:val="0"/>
          <w:numId w:val="18"/>
        </w:numPr>
        <w:spacing w:line="276" w:lineRule="auto"/>
        <w:rPr>
          <w:rFonts w:ascii="Arial" w:hAnsi="Arial" w:cs="Arial"/>
          <w:sz w:val="20"/>
          <w:szCs w:val="20"/>
        </w:rPr>
      </w:pPr>
      <w:r w:rsidRPr="00AD54FD">
        <w:rPr>
          <w:rFonts w:ascii="Arial" w:hAnsi="Arial" w:cs="Arial"/>
          <w:b/>
          <w:bCs/>
          <w:sz w:val="20"/>
          <w:szCs w:val="20"/>
        </w:rPr>
        <w:t>Verificación de datos:</w:t>
      </w:r>
      <w:r>
        <w:rPr>
          <w:rFonts w:ascii="Arial" w:hAnsi="Arial" w:cs="Arial"/>
          <w:sz w:val="20"/>
          <w:szCs w:val="20"/>
        </w:rPr>
        <w:t xml:space="preserve"> c</w:t>
      </w:r>
      <w:r w:rsidRPr="00AD54FD">
        <w:rPr>
          <w:rFonts w:ascii="Arial" w:hAnsi="Arial" w:cs="Arial"/>
          <w:sz w:val="20"/>
          <w:szCs w:val="20"/>
        </w:rPr>
        <w:t>onfirmación de la autenticidad de la información suministrada por el cliente mediante documentos oficiales y fuentes confiables, con el fin de garantizar la veracidad de los datos registrados.</w:t>
      </w:r>
    </w:p>
    <w:p w14:paraId="78D31DEE" w14:textId="03D15A5D" w:rsidR="00AD54FD" w:rsidRDefault="00725854" w:rsidP="00F30B58">
      <w:pPr>
        <w:pStyle w:val="NormalWeb"/>
        <w:numPr>
          <w:ilvl w:val="0"/>
          <w:numId w:val="18"/>
        </w:numPr>
        <w:spacing w:line="276" w:lineRule="auto"/>
        <w:rPr>
          <w:rFonts w:ascii="Arial" w:hAnsi="Arial" w:cs="Arial"/>
          <w:sz w:val="20"/>
          <w:szCs w:val="20"/>
        </w:rPr>
      </w:pPr>
      <w:r w:rsidRPr="00725854">
        <w:rPr>
          <w:rFonts w:ascii="Arial" w:hAnsi="Arial" w:cs="Arial"/>
          <w:b/>
          <w:bCs/>
          <w:sz w:val="20"/>
          <w:szCs w:val="20"/>
        </w:rPr>
        <w:t xml:space="preserve">Actividad económica: </w:t>
      </w:r>
      <w:r>
        <w:rPr>
          <w:rFonts w:ascii="Arial" w:hAnsi="Arial" w:cs="Arial"/>
          <w:sz w:val="20"/>
          <w:szCs w:val="20"/>
        </w:rPr>
        <w:t>a</w:t>
      </w:r>
      <w:r w:rsidRPr="00725854">
        <w:rPr>
          <w:rFonts w:ascii="Arial" w:hAnsi="Arial" w:cs="Arial"/>
          <w:sz w:val="20"/>
          <w:szCs w:val="20"/>
        </w:rPr>
        <w:t>nálisis de las actividades laborales, comerciales o empresariales del cliente que permite comprender el origen legítimo de sus recursos e ingresos en el marco de sus operaciones habituales.</w:t>
      </w:r>
    </w:p>
    <w:p w14:paraId="1D9C7372" w14:textId="1EA6350C" w:rsidR="00725854" w:rsidRDefault="00CA3A94" w:rsidP="00F30B58">
      <w:pPr>
        <w:pStyle w:val="NormalWeb"/>
        <w:numPr>
          <w:ilvl w:val="0"/>
          <w:numId w:val="18"/>
        </w:numPr>
        <w:spacing w:line="276" w:lineRule="auto"/>
        <w:rPr>
          <w:rFonts w:ascii="Arial" w:hAnsi="Arial" w:cs="Arial"/>
          <w:sz w:val="20"/>
          <w:szCs w:val="20"/>
        </w:rPr>
      </w:pPr>
      <w:r w:rsidRPr="00CA3A94">
        <w:rPr>
          <w:rFonts w:ascii="Arial" w:hAnsi="Arial" w:cs="Arial"/>
          <w:b/>
          <w:bCs/>
          <w:sz w:val="20"/>
          <w:szCs w:val="20"/>
        </w:rPr>
        <w:t>Origen de los recursos:</w:t>
      </w:r>
      <w:r>
        <w:rPr>
          <w:rFonts w:ascii="Arial" w:hAnsi="Arial" w:cs="Arial"/>
          <w:sz w:val="20"/>
          <w:szCs w:val="20"/>
        </w:rPr>
        <w:t xml:space="preserve"> d</w:t>
      </w:r>
      <w:r w:rsidRPr="00CA3A94">
        <w:rPr>
          <w:rFonts w:ascii="Arial" w:hAnsi="Arial" w:cs="Arial"/>
          <w:sz w:val="20"/>
          <w:szCs w:val="20"/>
        </w:rPr>
        <w:t>eterminación de las fuentes de los fondos manejados por el cliente, con el propósito de verificar que provienen de actividades lícitas y corresponden a su perfil financiero declarado.</w:t>
      </w:r>
    </w:p>
    <w:p w14:paraId="5DB0684B" w14:textId="7ED865FB" w:rsidR="00EA4754" w:rsidRDefault="00EA4754" w:rsidP="00F30B58">
      <w:pPr>
        <w:pStyle w:val="NormalWeb"/>
        <w:numPr>
          <w:ilvl w:val="0"/>
          <w:numId w:val="18"/>
        </w:numPr>
        <w:spacing w:line="276" w:lineRule="auto"/>
        <w:rPr>
          <w:rFonts w:ascii="Arial" w:hAnsi="Arial" w:cs="Arial"/>
          <w:sz w:val="20"/>
          <w:szCs w:val="20"/>
        </w:rPr>
      </w:pPr>
      <w:r w:rsidRPr="00EA4754">
        <w:rPr>
          <w:rFonts w:ascii="Arial" w:hAnsi="Arial" w:cs="Arial"/>
          <w:b/>
          <w:bCs/>
          <w:sz w:val="20"/>
          <w:szCs w:val="20"/>
        </w:rPr>
        <w:lastRenderedPageBreak/>
        <w:t>Perfil financiero:</w:t>
      </w:r>
      <w:r>
        <w:rPr>
          <w:rFonts w:ascii="Arial" w:hAnsi="Arial" w:cs="Arial"/>
          <w:sz w:val="20"/>
          <w:szCs w:val="20"/>
        </w:rPr>
        <w:t xml:space="preserve"> c</w:t>
      </w:r>
      <w:r w:rsidRPr="00EA4754">
        <w:rPr>
          <w:rFonts w:ascii="Arial" w:hAnsi="Arial" w:cs="Arial"/>
          <w:sz w:val="20"/>
          <w:szCs w:val="20"/>
        </w:rPr>
        <w:t>aracterización del comportamiento financiero esperado del cliente, construida a partir de su actividad económica, nivel de ingresos y tipo de operaciones habituales, que sirve como referencia para el monitoreo.</w:t>
      </w:r>
    </w:p>
    <w:p w14:paraId="283F3ABA" w14:textId="7B968088" w:rsidR="00725854" w:rsidRDefault="00DC127F" w:rsidP="00F30B58">
      <w:pPr>
        <w:pStyle w:val="NormalWeb"/>
        <w:numPr>
          <w:ilvl w:val="0"/>
          <w:numId w:val="18"/>
        </w:numPr>
        <w:spacing w:line="276" w:lineRule="auto"/>
        <w:rPr>
          <w:rFonts w:ascii="Arial" w:hAnsi="Arial" w:cs="Arial"/>
          <w:sz w:val="20"/>
          <w:szCs w:val="20"/>
        </w:rPr>
      </w:pPr>
      <w:r w:rsidRPr="00DC127F">
        <w:rPr>
          <w:rFonts w:ascii="Arial" w:hAnsi="Arial" w:cs="Arial"/>
          <w:b/>
          <w:bCs/>
          <w:sz w:val="20"/>
          <w:szCs w:val="20"/>
        </w:rPr>
        <w:t>Monitoreo de operaciones:</w:t>
      </w:r>
      <w:r>
        <w:rPr>
          <w:rFonts w:ascii="Arial" w:hAnsi="Arial" w:cs="Arial"/>
          <w:sz w:val="20"/>
          <w:szCs w:val="20"/>
        </w:rPr>
        <w:t xml:space="preserve"> s</w:t>
      </w:r>
      <w:r w:rsidRPr="00DC127F">
        <w:rPr>
          <w:rFonts w:ascii="Arial" w:hAnsi="Arial" w:cs="Arial"/>
          <w:sz w:val="20"/>
          <w:szCs w:val="20"/>
        </w:rPr>
        <w:t>eguimiento permanente de las transacciones realizadas por el cliente para detectar comportamientos atípicos o inconsistentes con el perfil financiero previamente establecido por la organización.</w:t>
      </w:r>
    </w:p>
    <w:p w14:paraId="1BF7BF91" w14:textId="0F385125" w:rsidR="00F30B58" w:rsidRPr="00CB3DB6" w:rsidRDefault="00F30B58" w:rsidP="00684E0C">
      <w:pPr>
        <w:pStyle w:val="NormalWeb"/>
        <w:numPr>
          <w:ilvl w:val="0"/>
          <w:numId w:val="18"/>
        </w:numPr>
        <w:spacing w:line="276" w:lineRule="auto"/>
        <w:rPr>
          <w:rFonts w:ascii="Arial" w:hAnsi="Arial" w:cs="Arial"/>
          <w:sz w:val="20"/>
          <w:szCs w:val="20"/>
        </w:rPr>
      </w:pPr>
      <w:r w:rsidRPr="00F30B58">
        <w:rPr>
          <w:rFonts w:ascii="Arial" w:hAnsi="Arial" w:cs="Arial"/>
          <w:b/>
          <w:bCs/>
          <w:sz w:val="20"/>
          <w:szCs w:val="20"/>
        </w:rPr>
        <w:t>Actualización de información:</w:t>
      </w:r>
      <w:r w:rsidRPr="00F30B58">
        <w:rPr>
          <w:rFonts w:ascii="Arial" w:hAnsi="Arial" w:cs="Arial"/>
          <w:sz w:val="20"/>
          <w:szCs w:val="20"/>
        </w:rPr>
        <w:t xml:space="preserve"> revisión y actualización periódica de los datos del cliente para mantener registros vigentes, confiables y alineados con los cambios en su situación económica o comercial a lo largo del tiempo.</w:t>
      </w:r>
      <w:commentRangeEnd w:id="0"/>
      <w:r w:rsidR="00CE0B9B" w:rsidRPr="00CB3DB6">
        <w:rPr>
          <w:rStyle w:val="Refdecomentario"/>
          <w:rFonts w:ascii="Arial" w:hAnsi="Arial" w:cs="Arial"/>
          <w:sz w:val="20"/>
          <w:szCs w:val="20"/>
        </w:rPr>
        <w:commentReference w:id="0"/>
      </w:r>
    </w:p>
    <w:p w14:paraId="09BFBF7D" w14:textId="4AE6BB43" w:rsidR="00684E0C" w:rsidRPr="00DD4ADF" w:rsidRDefault="00DD4ADF" w:rsidP="00CB3DB6">
      <w:pPr>
        <w:pStyle w:val="NormalWeb"/>
        <w:shd w:val="clear" w:color="auto" w:fill="F2DBDB" w:themeFill="accent2" w:themeFillTint="33"/>
        <w:spacing w:line="276" w:lineRule="auto"/>
        <w:rPr>
          <w:rFonts w:ascii="Arial" w:hAnsi="Arial" w:cs="Arial"/>
          <w:sz w:val="20"/>
          <w:szCs w:val="20"/>
        </w:rPr>
      </w:pPr>
      <w:r w:rsidRPr="00DD4ADF">
        <w:rPr>
          <w:rFonts w:ascii="Arial" w:hAnsi="Arial" w:cs="Arial"/>
          <w:sz w:val="20"/>
          <w:szCs w:val="20"/>
        </w:rPr>
        <w:t>El conjunto de acciones que integran el proceso de conocimiento del cliente configura el marco operativo del sistema SARLAFT en las organizaciones. Su aplicación sistemática permite reducir el riesgo de exposición a actividades ilícitas, fortalecer los mecanismos de control interno y garantizar que las relaciones comerciales y financieras se desarrollen dentro de los parámetros establecidos por la normativa vigente.</w:t>
      </w:r>
    </w:p>
    <w:p w14:paraId="706C8C84" w14:textId="2898556E" w:rsidR="00DD4ADF" w:rsidRPr="002A2CCB" w:rsidRDefault="002A2CCB" w:rsidP="00684E0C">
      <w:pPr>
        <w:pStyle w:val="NormalWeb"/>
        <w:spacing w:line="276" w:lineRule="auto"/>
        <w:rPr>
          <w:rFonts w:ascii="Arial" w:hAnsi="Arial" w:cs="Arial"/>
          <w:sz w:val="20"/>
          <w:szCs w:val="20"/>
        </w:rPr>
      </w:pPr>
      <w:r w:rsidRPr="002A2CCB">
        <w:rPr>
          <w:rFonts w:ascii="Arial" w:hAnsi="Arial" w:cs="Arial"/>
          <w:sz w:val="20"/>
          <w:szCs w:val="20"/>
        </w:rPr>
        <w:t>La adecuada implementación de estos procesos no solo responde a una exigencia normativa, sino que constituye una herramienta estratégica para prevenir el lavado de activos y la financiación del terrorismo dentro del sistema financiero. El siguiente apartado profundiza en la importancia que tiene el conocimiento del cliente como mecanismo de prevención dentro del sistema SARLAFT y en las razones por las que su aplicación resulta fundamental para la seguridad de las organizaciones.</w:t>
      </w:r>
    </w:p>
    <w:p w14:paraId="46ECC5FB" w14:textId="412E268B" w:rsidR="0050514F" w:rsidRPr="0007033F" w:rsidRDefault="0050514F" w:rsidP="0007033F">
      <w:pPr>
        <w:pStyle w:val="Normal0"/>
        <w:rPr>
          <w:b/>
          <w:sz w:val="20"/>
          <w:szCs w:val="20"/>
        </w:rPr>
      </w:pPr>
    </w:p>
    <w:p w14:paraId="228985C7" w14:textId="2C836B67" w:rsidR="0050514F" w:rsidRPr="00BB492C" w:rsidRDefault="0050514F" w:rsidP="0007033F">
      <w:pPr>
        <w:pStyle w:val="Normal0"/>
        <w:rPr>
          <w:b/>
          <w:sz w:val="20"/>
          <w:szCs w:val="20"/>
        </w:rPr>
      </w:pPr>
      <w:r w:rsidRPr="00BB492C">
        <w:rPr>
          <w:b/>
          <w:sz w:val="20"/>
          <w:szCs w:val="20"/>
        </w:rPr>
        <w:t>1.2 Importancia del conocimiento del cliente en la prevención del LA/FT</w:t>
      </w:r>
    </w:p>
    <w:p w14:paraId="2F44FE31" w14:textId="77777777" w:rsidR="0050514F" w:rsidRPr="0007033F" w:rsidRDefault="0050514F"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El conocimiento del cliente constituye una herramienta fundamental en la prevención del lavado de activos y la financiación del terrorismo (LA/FT), ya que permite a las organizaciones identificar adecuadamente a las personas o entidades con las que establecen relaciones comerciales o financieras. A través de este proceso, las entidades pueden verificar la identidad de sus clientes, comprender su actividad económica y evaluar si las operaciones que realizan corresponden con su perfil financiero.</w:t>
      </w:r>
    </w:p>
    <w:p w14:paraId="34E3A948" w14:textId="31807CC6" w:rsidR="00095155" w:rsidRDefault="00095155" w:rsidP="0007033F">
      <w:pPr>
        <w:spacing w:before="100" w:beforeAutospacing="1" w:after="100" w:afterAutospacing="1"/>
        <w:rPr>
          <w:rFonts w:eastAsia="Times New Roman"/>
          <w:sz w:val="20"/>
          <w:szCs w:val="20"/>
          <w:lang w:eastAsia="es-CO"/>
        </w:rPr>
      </w:pPr>
      <w:r w:rsidRPr="00095155">
        <w:rPr>
          <w:rFonts w:eastAsia="Times New Roman"/>
          <w:sz w:val="20"/>
          <w:szCs w:val="20"/>
          <w:lang w:eastAsia="es-CO"/>
        </w:rPr>
        <w:t>Dentro del sistema SARLAFT, el conocimiento del cliente facilita la identificación temprana de posibles riesgos asociados a actividades ilícitas. Cuando las organizaciones cuentan con información clara y verificable sobre sus clientes, pueden detectar con mayor facilidad comportamientos inusuales, transacciones atípicas o inconsistencias en la información suministrada, lo cual permite activar mecanismos de control y análisis oportuno.</w:t>
      </w:r>
    </w:p>
    <w:p w14:paraId="621BDAB5" w14:textId="293F95D1" w:rsidR="006825DB" w:rsidRDefault="006825DB" w:rsidP="0007033F">
      <w:pPr>
        <w:spacing w:before="100" w:beforeAutospacing="1" w:after="100" w:afterAutospacing="1"/>
        <w:rPr>
          <w:rFonts w:eastAsia="Times New Roman"/>
          <w:sz w:val="20"/>
          <w:szCs w:val="20"/>
          <w:lang w:eastAsia="es-CO"/>
        </w:rPr>
      </w:pPr>
      <w:r>
        <w:rPr>
          <w:rFonts w:eastAsia="Times New Roman"/>
          <w:noProof/>
          <w:sz w:val="20"/>
          <w:szCs w:val="20"/>
          <w:lang w:eastAsia="es-CO"/>
        </w:rPr>
        <mc:AlternateContent>
          <mc:Choice Requires="wps">
            <w:drawing>
              <wp:anchor distT="0" distB="0" distL="114300" distR="114300" simplePos="0" relativeHeight="251662336" behindDoc="0" locked="0" layoutInCell="1" allowOverlap="1" wp14:anchorId="563FA119" wp14:editId="65A016EA">
                <wp:simplePos x="0" y="0"/>
                <wp:positionH relativeFrom="column">
                  <wp:posOffset>270916</wp:posOffset>
                </wp:positionH>
                <wp:positionV relativeFrom="paragraph">
                  <wp:posOffset>25509</wp:posOffset>
                </wp:positionV>
                <wp:extent cx="4972050" cy="1168130"/>
                <wp:effectExtent l="57150" t="38100" r="76200" b="89535"/>
                <wp:wrapNone/>
                <wp:docPr id="1373726422" name="Rectángulo: esquinas redondeadas 3"/>
                <wp:cNvGraphicFramePr/>
                <a:graphic xmlns:a="http://schemas.openxmlformats.org/drawingml/2006/main">
                  <a:graphicData uri="http://schemas.microsoft.com/office/word/2010/wordprocessingShape">
                    <wps:wsp>
                      <wps:cNvSpPr/>
                      <wps:spPr>
                        <a:xfrm>
                          <a:off x="0" y="0"/>
                          <a:ext cx="4972050" cy="116813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15AB3F17" w14:textId="11219E18" w:rsidR="00CF59A1" w:rsidRPr="00CF59A1" w:rsidRDefault="00CF59A1" w:rsidP="00CF59A1">
                            <w:pPr>
                              <w:jc w:val="center"/>
                              <w:rPr>
                                <w:sz w:val="20"/>
                                <w:szCs w:val="20"/>
                              </w:rPr>
                            </w:pPr>
                            <w:r w:rsidRPr="00CF59A1">
                              <w:rPr>
                                <w:sz w:val="20"/>
                                <w:szCs w:val="20"/>
                              </w:rPr>
                              <w:t>El conocimiento del cliente fortalece los controles internos de la organización, al permitir identificar riesgos, aplicar medidas de debida diligencia y monitorear operaciones para prevenir el lavado de activos y la financiación del terrorismo.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3FA119" id="Rectángulo: esquinas redondeadas 3" o:spid="_x0000_s1027" style="position:absolute;margin-left:21.35pt;margin-top:2pt;width:391.5pt;height: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15AB3F17" w14:textId="11219E18" w:rsidR="00CF59A1" w:rsidRPr="00CF59A1" w:rsidRDefault="00CF59A1" w:rsidP="00CF59A1">
                      <w:pPr>
                        <w:jc w:val="center"/>
                        <w:rPr>
                          <w:sz w:val="20"/>
                          <w:szCs w:val="20"/>
                        </w:rPr>
                      </w:pPr>
                      <w:r w:rsidRPr="00CF59A1">
                        <w:rPr>
                          <w:sz w:val="20"/>
                          <w:szCs w:val="20"/>
                        </w:rPr>
                        <w:t>El conocimiento del cliente fortalece los controles internos de la organización, al permitir identificar riesgos, aplicar medidas de debida diligencia y monitorear operaciones para prevenir el lavado de activos y la financiación del terrorismo.</w:t>
                      </w:r>
                    </w:p>
                  </w:txbxContent>
                </v:textbox>
              </v:roundrect>
            </w:pict>
          </mc:Fallback>
        </mc:AlternateContent>
      </w:r>
    </w:p>
    <w:p w14:paraId="285D7623" w14:textId="77777777" w:rsidR="006825DB" w:rsidRDefault="006825DB" w:rsidP="0007033F">
      <w:pPr>
        <w:spacing w:before="100" w:beforeAutospacing="1" w:after="100" w:afterAutospacing="1"/>
        <w:rPr>
          <w:rFonts w:eastAsia="Times New Roman"/>
          <w:sz w:val="20"/>
          <w:szCs w:val="20"/>
          <w:lang w:eastAsia="es-CO"/>
        </w:rPr>
      </w:pPr>
    </w:p>
    <w:p w14:paraId="592232C8" w14:textId="77777777" w:rsidR="006825DB" w:rsidRDefault="006825DB" w:rsidP="0007033F">
      <w:pPr>
        <w:spacing w:before="100" w:beforeAutospacing="1" w:after="100" w:afterAutospacing="1"/>
        <w:rPr>
          <w:rFonts w:eastAsia="Times New Roman"/>
          <w:sz w:val="20"/>
          <w:szCs w:val="20"/>
          <w:highlight w:val="yellow"/>
          <w:lang w:eastAsia="es-CO"/>
        </w:rPr>
      </w:pPr>
    </w:p>
    <w:p w14:paraId="608E83EC" w14:textId="77777777" w:rsidR="006825DB" w:rsidRDefault="006825DB" w:rsidP="0007033F">
      <w:pPr>
        <w:spacing w:before="100" w:beforeAutospacing="1" w:after="100" w:afterAutospacing="1"/>
        <w:rPr>
          <w:rFonts w:eastAsia="Times New Roman"/>
          <w:sz w:val="20"/>
          <w:szCs w:val="20"/>
          <w:highlight w:val="yellow"/>
          <w:lang w:eastAsia="es-CO"/>
        </w:rPr>
      </w:pPr>
    </w:p>
    <w:p w14:paraId="6C467734" w14:textId="77777777" w:rsidR="006825DB" w:rsidRDefault="006825DB" w:rsidP="0007033F">
      <w:pPr>
        <w:spacing w:before="100" w:beforeAutospacing="1" w:after="100" w:afterAutospacing="1"/>
        <w:rPr>
          <w:rFonts w:eastAsia="Times New Roman"/>
          <w:sz w:val="20"/>
          <w:szCs w:val="20"/>
          <w:highlight w:val="yellow"/>
          <w:lang w:eastAsia="es-CO"/>
        </w:rPr>
      </w:pPr>
    </w:p>
    <w:p w14:paraId="346DDA6E" w14:textId="626AE901" w:rsidR="002331E1" w:rsidRDefault="003C59B1" w:rsidP="004F455F">
      <w:pPr>
        <w:spacing w:before="100" w:beforeAutospacing="1" w:after="100" w:afterAutospacing="1"/>
        <w:rPr>
          <w:rFonts w:eastAsia="Times New Roman"/>
          <w:sz w:val="20"/>
          <w:szCs w:val="20"/>
          <w:lang w:eastAsia="es-CO"/>
        </w:rPr>
      </w:pPr>
      <w:r w:rsidRPr="003C59B1">
        <w:rPr>
          <w:rFonts w:eastAsia="Times New Roman"/>
          <w:sz w:val="20"/>
          <w:szCs w:val="20"/>
          <w:lang w:eastAsia="es-CO"/>
        </w:rPr>
        <w:lastRenderedPageBreak/>
        <w:t>Para facilitar la comprensión del proceso inicial del conocimiento del cliente, se presenta a continuación una infografía interactiva que organiza, de manera secuencial, las acciones básicas que orientan su aplicación dentro del sistema SARLAFT.</w:t>
      </w:r>
    </w:p>
    <w:p w14:paraId="32113DAD" w14:textId="77777777" w:rsidR="002331E1" w:rsidRPr="003A2761" w:rsidRDefault="002331E1" w:rsidP="002331E1">
      <w:pPr>
        <w:spacing w:before="100" w:beforeAutospacing="1" w:after="100" w:afterAutospacing="1"/>
        <w:rPr>
          <w:rFonts w:eastAsia="Times New Roman"/>
          <w:b/>
          <w:bCs/>
          <w:sz w:val="20"/>
          <w:szCs w:val="20"/>
          <w:lang w:eastAsia="es-CO"/>
        </w:rPr>
      </w:pPr>
      <w:r w:rsidRPr="003A2761">
        <w:rPr>
          <w:rFonts w:eastAsia="Times New Roman"/>
          <w:b/>
          <w:bCs/>
          <w:sz w:val="20"/>
          <w:szCs w:val="20"/>
          <w:lang w:eastAsia="es-CO"/>
        </w:rPr>
        <w:t>Acciones iniciales del conocimiento del cliente en el sistema SARLAFT</w:t>
      </w:r>
    </w:p>
    <w:p w14:paraId="3A10D03B" w14:textId="77777777" w:rsidR="002331E1" w:rsidRDefault="002331E1" w:rsidP="004F455F">
      <w:pPr>
        <w:spacing w:before="100" w:beforeAutospacing="1" w:after="100" w:afterAutospacing="1"/>
        <w:rPr>
          <w:rFonts w:eastAsia="Times New Roman"/>
          <w:sz w:val="20"/>
          <w:szCs w:val="20"/>
          <w:lang w:eastAsia="es-CO"/>
        </w:rPr>
      </w:pPr>
    </w:p>
    <w:p w14:paraId="18522385" w14:textId="7516AC2F" w:rsidR="00877034" w:rsidRDefault="00877034" w:rsidP="004F455F">
      <w:pPr>
        <w:spacing w:before="100" w:beforeAutospacing="1" w:after="100" w:afterAutospacing="1"/>
        <w:rPr>
          <w:rFonts w:eastAsia="Times New Roman"/>
          <w:sz w:val="20"/>
          <w:szCs w:val="20"/>
          <w:lang w:eastAsia="es-CO"/>
        </w:rPr>
      </w:pPr>
      <w:commentRangeStart w:id="1"/>
      <w:r>
        <w:rPr>
          <w:noProof/>
        </w:rPr>
        <w:drawing>
          <wp:inline distT="0" distB="0" distL="0" distR="0" wp14:anchorId="01D87EE4" wp14:editId="17EEC9BC">
            <wp:extent cx="6332220" cy="2781300"/>
            <wp:effectExtent l="0" t="0" r="0" b="0"/>
            <wp:docPr id="40057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4293" name=""/>
                    <pic:cNvPicPr/>
                  </pic:nvPicPr>
                  <pic:blipFill>
                    <a:blip r:embed="rId16"/>
                    <a:stretch>
                      <a:fillRect/>
                    </a:stretch>
                  </pic:blipFill>
                  <pic:spPr>
                    <a:xfrm>
                      <a:off x="0" y="0"/>
                      <a:ext cx="6332220" cy="2781300"/>
                    </a:xfrm>
                    <a:prstGeom prst="rect">
                      <a:avLst/>
                    </a:prstGeom>
                  </pic:spPr>
                </pic:pic>
              </a:graphicData>
            </a:graphic>
          </wp:inline>
        </w:drawing>
      </w:r>
      <w:commentRangeEnd w:id="1"/>
      <w:r w:rsidR="002331E1">
        <w:rPr>
          <w:rStyle w:val="Refdecomentario"/>
          <w:rFonts w:eastAsia="Times New Roman"/>
          <w:sz w:val="20"/>
          <w:szCs w:val="20"/>
          <w:lang w:eastAsia="es-CO"/>
        </w:rPr>
        <w:commentReference w:id="1"/>
      </w:r>
    </w:p>
    <w:p w14:paraId="290940DB" w14:textId="77777777" w:rsidR="00877034" w:rsidRDefault="00877034" w:rsidP="004F455F">
      <w:pPr>
        <w:spacing w:before="100" w:beforeAutospacing="1" w:after="100" w:afterAutospacing="1"/>
        <w:rPr>
          <w:rFonts w:eastAsia="Times New Roman"/>
          <w:sz w:val="20"/>
          <w:szCs w:val="20"/>
          <w:lang w:eastAsia="es-CO"/>
        </w:rPr>
      </w:pPr>
    </w:p>
    <w:p w14:paraId="0AC20456" w14:textId="696AA1D8" w:rsidR="004F455F" w:rsidRPr="002331E1" w:rsidRDefault="00B91F18" w:rsidP="0007033F">
      <w:pPr>
        <w:spacing w:before="100" w:beforeAutospacing="1" w:after="100" w:afterAutospacing="1"/>
        <w:rPr>
          <w:rFonts w:eastAsia="Times New Roman"/>
          <w:sz w:val="20"/>
          <w:szCs w:val="20"/>
          <w:lang w:eastAsia="es-CO"/>
        </w:rPr>
      </w:pPr>
      <w:r w:rsidRPr="00B91F18">
        <w:rPr>
          <w:rFonts w:eastAsia="Times New Roman"/>
          <w:sz w:val="20"/>
          <w:szCs w:val="20"/>
          <w:lang w:eastAsia="es-CO"/>
        </w:rPr>
        <w:t>La secuencia presentada permite comprender cómo se estructura el proceso inicial del conocimiento del cliente dentro de las organizaciones. Estas acciones orientan la gestión del riesgo y sirven como base para el desarrollo de procedimientos más específicos en el sistema</w:t>
      </w:r>
      <w:r w:rsidR="003A2761">
        <w:rPr>
          <w:rFonts w:eastAsia="Times New Roman"/>
          <w:sz w:val="20"/>
          <w:szCs w:val="20"/>
          <w:lang w:eastAsia="es-CO"/>
        </w:rPr>
        <w:t>.</w:t>
      </w:r>
    </w:p>
    <w:p w14:paraId="05C89FDD" w14:textId="77777777" w:rsidR="0050514F" w:rsidRPr="0007033F" w:rsidRDefault="0050514F" w:rsidP="0007033F">
      <w:pPr>
        <w:spacing w:before="100" w:beforeAutospacing="1" w:after="100" w:afterAutospacing="1"/>
        <w:rPr>
          <w:rFonts w:eastAsia="Times New Roman"/>
          <w:sz w:val="20"/>
          <w:szCs w:val="20"/>
          <w:lang w:eastAsia="es-CO"/>
        </w:rPr>
      </w:pPr>
      <w:r w:rsidRPr="007C3F46">
        <w:rPr>
          <w:rFonts w:eastAsia="Times New Roman"/>
          <w:sz w:val="20"/>
          <w:szCs w:val="20"/>
          <w:lang w:eastAsia="es-CO"/>
        </w:rPr>
        <w:t>Finalmente, la importancia del conocimiento del cliente también se refleja en el cumplimiento de las disposiciones normativas establecidas por las autoridades de supervisión y control. Las organizaciones que aplican adecuadamente este proceso fortalecen la transparencia de sus operaciones, reducen la probabilidad de ser utilizadas para actividades ilícitas y contribuyen activamente a la prevención del lavado de activos y la financiación del terrorismo dentro del sistema financiero y empresarial.</w:t>
      </w:r>
    </w:p>
    <w:p w14:paraId="7F4D06C5" w14:textId="287EA042" w:rsidR="0050514F" w:rsidRPr="0007033F" w:rsidRDefault="0050514F" w:rsidP="0007033F">
      <w:pPr>
        <w:pStyle w:val="Normal0"/>
        <w:rPr>
          <w:b/>
          <w:sz w:val="20"/>
          <w:szCs w:val="20"/>
        </w:rPr>
      </w:pPr>
    </w:p>
    <w:p w14:paraId="1CD6BCC6" w14:textId="781189C0" w:rsidR="0050514F" w:rsidRPr="0007033F" w:rsidRDefault="0050514F" w:rsidP="0007033F">
      <w:pPr>
        <w:pStyle w:val="Normal0"/>
        <w:rPr>
          <w:b/>
          <w:sz w:val="20"/>
          <w:szCs w:val="20"/>
        </w:rPr>
      </w:pPr>
      <w:r w:rsidRPr="0007033F">
        <w:rPr>
          <w:b/>
          <w:sz w:val="20"/>
          <w:szCs w:val="20"/>
        </w:rPr>
        <w:t>1.3 Información requerida para la identificación del cliente</w:t>
      </w:r>
    </w:p>
    <w:p w14:paraId="53DE7D9D" w14:textId="1985DB69" w:rsidR="0050514F" w:rsidRPr="0007033F" w:rsidRDefault="0050514F" w:rsidP="0007033F">
      <w:pPr>
        <w:pStyle w:val="Normal0"/>
        <w:rPr>
          <w:b/>
          <w:sz w:val="20"/>
          <w:szCs w:val="20"/>
        </w:rPr>
      </w:pPr>
    </w:p>
    <w:p w14:paraId="29485209" w14:textId="77777777" w:rsidR="0050514F" w:rsidRPr="0007033F" w:rsidRDefault="0050514F" w:rsidP="0007033F">
      <w:pPr>
        <w:pStyle w:val="NormalWeb"/>
        <w:spacing w:line="276" w:lineRule="auto"/>
        <w:rPr>
          <w:rFonts w:ascii="Arial" w:hAnsi="Arial" w:cs="Arial"/>
          <w:sz w:val="20"/>
          <w:szCs w:val="20"/>
          <w:lang w:eastAsia="es-CO"/>
        </w:rPr>
      </w:pPr>
      <w:r w:rsidRPr="0007033F">
        <w:rPr>
          <w:rFonts w:ascii="Arial" w:hAnsi="Arial" w:cs="Arial"/>
          <w:sz w:val="20"/>
          <w:szCs w:val="20"/>
        </w:rPr>
        <w:t>La identificación del cliente es un proceso fundamental dentro del sistema SARLAFT, ya que permite a las organizaciones conocer de manera adecuada a las personas naturales o jurídicas con las que establecen relaciones comerciales o financieras. Este proceso consiste en la recopilación de información básica que permita verificar la identidad del cliente y comprender su actividad económica, con el fin de prevenir riesgos asociados al lavado de activos y la financiación del terrorismo.</w:t>
      </w:r>
    </w:p>
    <w:p w14:paraId="67E2CAB6" w14:textId="77777777" w:rsidR="00946E12" w:rsidRDefault="00946E12" w:rsidP="0007033F">
      <w:pPr>
        <w:pStyle w:val="NormalWeb"/>
        <w:spacing w:line="276" w:lineRule="auto"/>
        <w:rPr>
          <w:rFonts w:ascii="Arial" w:hAnsi="Arial" w:cs="Arial"/>
          <w:sz w:val="20"/>
          <w:szCs w:val="20"/>
        </w:rPr>
      </w:pPr>
      <w:r w:rsidRPr="00946E12">
        <w:rPr>
          <w:rFonts w:ascii="Arial" w:hAnsi="Arial" w:cs="Arial"/>
          <w:sz w:val="20"/>
          <w:szCs w:val="20"/>
        </w:rPr>
        <w:lastRenderedPageBreak/>
        <w:t>En el marco del conocimiento del cliente, las organizaciones deben asegurar que la información suministrada sea válida y confiable. Para ello, se aplican mecanismos de verificación que permiten confirmar la identidad, contrastar los datos registrados y detectar posibles inconsistencias. A continuación, se presenta el proceso de verificación de identidad del cliente, el cual ilustra las acciones básicas que orientan este procedimiento.</w:t>
      </w:r>
    </w:p>
    <w:p w14:paraId="175F2ACA" w14:textId="3B7DE5B9" w:rsidR="00503366" w:rsidRDefault="0010728C" w:rsidP="0007033F">
      <w:pPr>
        <w:pStyle w:val="NormalWeb"/>
        <w:spacing w:line="276" w:lineRule="auto"/>
        <w:rPr>
          <w:rFonts w:ascii="Arial" w:hAnsi="Arial" w:cs="Arial"/>
          <w:color w:val="EE0000"/>
          <w:sz w:val="20"/>
          <w:szCs w:val="20"/>
        </w:rPr>
      </w:pPr>
      <w:r w:rsidRPr="0010728C">
        <w:rPr>
          <w:rFonts w:ascii="Arial" w:hAnsi="Arial" w:cs="Arial"/>
          <w:b/>
          <w:bCs/>
          <w:sz w:val="20"/>
          <w:szCs w:val="20"/>
        </w:rPr>
        <w:t>Figura 1.</w:t>
      </w:r>
      <w:r>
        <w:rPr>
          <w:rFonts w:ascii="Arial" w:hAnsi="Arial" w:cs="Arial"/>
          <w:sz w:val="20"/>
          <w:szCs w:val="20"/>
        </w:rPr>
        <w:t xml:space="preserve"> </w:t>
      </w:r>
      <w:r w:rsidR="007B0B1B" w:rsidRPr="007B0B1B">
        <w:rPr>
          <w:rFonts w:ascii="Arial" w:hAnsi="Arial" w:cs="Arial"/>
          <w:sz w:val="20"/>
          <w:szCs w:val="20"/>
        </w:rPr>
        <w:t>Proceso de verificación de identidad del cliente</w:t>
      </w:r>
    </w:p>
    <w:p w14:paraId="401DAA8C" w14:textId="23C453CB" w:rsidR="00DC041E" w:rsidRPr="007B0B1B" w:rsidRDefault="00503366" w:rsidP="0007033F">
      <w:pPr>
        <w:pStyle w:val="NormalWeb"/>
        <w:spacing w:line="276" w:lineRule="auto"/>
        <w:rPr>
          <w:rFonts w:ascii="Arial" w:hAnsi="Arial" w:cs="Arial"/>
          <w:color w:val="EE0000"/>
          <w:sz w:val="20"/>
          <w:szCs w:val="20"/>
        </w:rPr>
      </w:pPr>
      <w:commentRangeStart w:id="2"/>
      <w:r w:rsidRPr="00503366">
        <w:rPr>
          <w:rFonts w:ascii="Arial" w:hAnsi="Arial" w:cs="Arial"/>
          <w:noProof/>
          <w:color w:val="EE0000"/>
          <w:sz w:val="20"/>
          <w:szCs w:val="20"/>
        </w:rPr>
        <w:drawing>
          <wp:inline distT="0" distB="0" distL="0" distR="0" wp14:anchorId="7A05C321" wp14:editId="4A1BB3B0">
            <wp:extent cx="5534797" cy="3210373"/>
            <wp:effectExtent l="0" t="0" r="8890" b="9525"/>
            <wp:docPr id="1725540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0603" name=""/>
                    <pic:cNvPicPr/>
                  </pic:nvPicPr>
                  <pic:blipFill>
                    <a:blip r:embed="rId17"/>
                    <a:stretch>
                      <a:fillRect/>
                    </a:stretch>
                  </pic:blipFill>
                  <pic:spPr>
                    <a:xfrm>
                      <a:off x="0" y="0"/>
                      <a:ext cx="5534797" cy="3210373"/>
                    </a:xfrm>
                    <a:prstGeom prst="rect">
                      <a:avLst/>
                    </a:prstGeom>
                  </pic:spPr>
                </pic:pic>
              </a:graphicData>
            </a:graphic>
          </wp:inline>
        </w:drawing>
      </w:r>
      <w:commentRangeEnd w:id="2"/>
      <w:r w:rsidR="007725FB" w:rsidRPr="007B0B1B">
        <w:rPr>
          <w:rStyle w:val="Refdecomentario"/>
          <w:rFonts w:ascii="Arial" w:hAnsi="Arial" w:cs="Arial"/>
          <w:color w:val="EE0000"/>
          <w:sz w:val="20"/>
          <w:szCs w:val="20"/>
        </w:rPr>
        <w:commentReference w:id="2"/>
      </w:r>
    </w:p>
    <w:p w14:paraId="050744E7" w14:textId="77777777" w:rsidR="0050514F" w:rsidRPr="0007033F" w:rsidRDefault="0050514F" w:rsidP="0007033F">
      <w:pPr>
        <w:pStyle w:val="NormalWeb"/>
        <w:spacing w:line="276" w:lineRule="auto"/>
        <w:rPr>
          <w:rFonts w:ascii="Arial" w:hAnsi="Arial" w:cs="Arial"/>
          <w:sz w:val="20"/>
          <w:szCs w:val="20"/>
        </w:rPr>
      </w:pPr>
      <w:r w:rsidRPr="0007033F">
        <w:rPr>
          <w:rFonts w:ascii="Arial" w:hAnsi="Arial" w:cs="Arial"/>
          <w:sz w:val="20"/>
          <w:szCs w:val="20"/>
        </w:rPr>
        <w:t>Asimismo, la información recopilada durante el proceso de identificación del cliente permite a las entidades elaborar un perfil financiero que facilite el monitoreo posterior de las operaciones realizadas. A partir de este perfil, las organizaciones pueden evaluar si las transacciones efectuadas por el cliente se encuentran acordes con su actividad económica y con el comportamiento esperado dentro de la relación comercial establecida.</w:t>
      </w:r>
    </w:p>
    <w:p w14:paraId="02EB0433" w14:textId="77777777" w:rsidR="0050514F" w:rsidRPr="0007033F" w:rsidRDefault="0050514F" w:rsidP="0007033F">
      <w:pPr>
        <w:pStyle w:val="NormalWeb"/>
        <w:spacing w:line="276" w:lineRule="auto"/>
        <w:rPr>
          <w:rFonts w:ascii="Arial" w:hAnsi="Arial" w:cs="Arial"/>
          <w:sz w:val="20"/>
          <w:szCs w:val="20"/>
        </w:rPr>
      </w:pPr>
      <w:r w:rsidRPr="0007033F">
        <w:rPr>
          <w:rFonts w:ascii="Arial" w:hAnsi="Arial" w:cs="Arial"/>
          <w:sz w:val="20"/>
          <w:szCs w:val="20"/>
        </w:rPr>
        <w:t>Por otra parte, la adecuada recopilación y actualización de la información del cliente contribuye al fortalecimiento de los mecanismos de control dentro de las organizaciones. Este proceso permite mantener registros claros y actualizados sobre los clientes, lo cual facilita la detección de operaciones inusuales o sospechosas y el cumplimiento de las disposiciones normativas relacionadas con la prevención del lavado de activos y la financiación del terrorismo.</w:t>
      </w:r>
    </w:p>
    <w:p w14:paraId="3F583122" w14:textId="77777777" w:rsidR="002D641F" w:rsidRDefault="002D641F" w:rsidP="002D641F">
      <w:pPr>
        <w:pStyle w:val="NormalWeb"/>
        <w:spacing w:line="276" w:lineRule="auto"/>
        <w:rPr>
          <w:rFonts w:ascii="Arial" w:hAnsi="Arial" w:cs="Arial"/>
          <w:sz w:val="20"/>
          <w:szCs w:val="20"/>
        </w:rPr>
      </w:pPr>
      <w:r w:rsidRPr="002D641F">
        <w:rPr>
          <w:rFonts w:ascii="Arial" w:hAnsi="Arial" w:cs="Arial"/>
          <w:sz w:val="20"/>
          <w:szCs w:val="20"/>
        </w:rPr>
        <w:t>Para garantizar una adecuada identificación del cliente, las organizaciones deben recopilar y verificar información básica que permita conocer su perfil y validar la coherencia de sus datos:</w:t>
      </w:r>
    </w:p>
    <w:p w14:paraId="4F186B7D" w14:textId="77777777" w:rsidR="0009742C" w:rsidRPr="0009742C" w:rsidRDefault="0009742C" w:rsidP="0009742C">
      <w:pPr>
        <w:pStyle w:val="NormalWeb"/>
        <w:numPr>
          <w:ilvl w:val="0"/>
          <w:numId w:val="19"/>
        </w:numPr>
        <w:rPr>
          <w:rFonts w:ascii="Arial" w:hAnsi="Arial" w:cs="Arial"/>
          <w:sz w:val="20"/>
          <w:szCs w:val="20"/>
        </w:rPr>
      </w:pPr>
      <w:commentRangeStart w:id="3"/>
      <w:r w:rsidRPr="0009742C">
        <w:rPr>
          <w:rFonts w:ascii="Arial" w:hAnsi="Arial" w:cs="Arial"/>
          <w:b/>
          <w:bCs/>
          <w:sz w:val="20"/>
          <w:szCs w:val="20"/>
        </w:rPr>
        <w:t>Nombre completo o razón socia</w:t>
      </w:r>
      <w:r w:rsidRPr="0009742C">
        <w:rPr>
          <w:rFonts w:ascii="Arial" w:hAnsi="Arial" w:cs="Arial"/>
          <w:sz w:val="20"/>
          <w:szCs w:val="20"/>
        </w:rPr>
        <w:t>l: corresponde a la identificación del cliente como persona natural o jurídica.</w:t>
      </w:r>
    </w:p>
    <w:p w14:paraId="76E078F7" w14:textId="77777777" w:rsidR="0009742C" w:rsidRPr="0009742C" w:rsidRDefault="0009742C" w:rsidP="0009742C">
      <w:pPr>
        <w:pStyle w:val="NormalWeb"/>
        <w:numPr>
          <w:ilvl w:val="0"/>
          <w:numId w:val="19"/>
        </w:numPr>
        <w:rPr>
          <w:rFonts w:ascii="Arial" w:hAnsi="Arial" w:cs="Arial"/>
          <w:sz w:val="20"/>
          <w:szCs w:val="20"/>
        </w:rPr>
      </w:pPr>
      <w:r w:rsidRPr="0009742C">
        <w:rPr>
          <w:rFonts w:ascii="Arial" w:hAnsi="Arial" w:cs="Arial"/>
          <w:b/>
          <w:bCs/>
          <w:sz w:val="20"/>
          <w:szCs w:val="20"/>
        </w:rPr>
        <w:t>Número de identificación</w:t>
      </w:r>
      <w:r w:rsidRPr="0009742C">
        <w:rPr>
          <w:rFonts w:ascii="Arial" w:hAnsi="Arial" w:cs="Arial"/>
          <w:sz w:val="20"/>
          <w:szCs w:val="20"/>
        </w:rPr>
        <w:t>: corresponde al documento legal del cliente.</w:t>
      </w:r>
    </w:p>
    <w:p w14:paraId="1C8DA4C7" w14:textId="77777777" w:rsidR="0009742C" w:rsidRPr="0009742C" w:rsidRDefault="0009742C" w:rsidP="0009742C">
      <w:pPr>
        <w:pStyle w:val="NormalWeb"/>
        <w:numPr>
          <w:ilvl w:val="0"/>
          <w:numId w:val="19"/>
        </w:numPr>
        <w:rPr>
          <w:rFonts w:ascii="Arial" w:hAnsi="Arial" w:cs="Arial"/>
          <w:sz w:val="20"/>
          <w:szCs w:val="20"/>
        </w:rPr>
      </w:pPr>
      <w:r w:rsidRPr="0009742C">
        <w:rPr>
          <w:rFonts w:ascii="Arial" w:hAnsi="Arial" w:cs="Arial"/>
          <w:b/>
          <w:bCs/>
          <w:sz w:val="20"/>
          <w:szCs w:val="20"/>
        </w:rPr>
        <w:t>Fecha y lugar de nacimiento:</w:t>
      </w:r>
      <w:r w:rsidRPr="0009742C">
        <w:rPr>
          <w:rFonts w:ascii="Arial" w:hAnsi="Arial" w:cs="Arial"/>
          <w:sz w:val="20"/>
          <w:szCs w:val="20"/>
        </w:rPr>
        <w:t xml:space="preserve"> aplica para personas naturales.</w:t>
      </w:r>
    </w:p>
    <w:p w14:paraId="00F72251" w14:textId="77777777" w:rsidR="0009742C" w:rsidRPr="0009742C" w:rsidRDefault="0009742C" w:rsidP="0009742C">
      <w:pPr>
        <w:pStyle w:val="NormalWeb"/>
        <w:numPr>
          <w:ilvl w:val="0"/>
          <w:numId w:val="19"/>
        </w:numPr>
        <w:rPr>
          <w:rFonts w:ascii="Arial" w:hAnsi="Arial" w:cs="Arial"/>
          <w:sz w:val="20"/>
          <w:szCs w:val="20"/>
        </w:rPr>
      </w:pPr>
      <w:r w:rsidRPr="0009742C">
        <w:rPr>
          <w:rFonts w:ascii="Arial" w:hAnsi="Arial" w:cs="Arial"/>
          <w:b/>
          <w:bCs/>
          <w:sz w:val="20"/>
          <w:szCs w:val="20"/>
        </w:rPr>
        <w:t>Dirección de residencia:</w:t>
      </w:r>
      <w:r w:rsidRPr="0009742C">
        <w:rPr>
          <w:rFonts w:ascii="Arial" w:hAnsi="Arial" w:cs="Arial"/>
          <w:sz w:val="20"/>
          <w:szCs w:val="20"/>
        </w:rPr>
        <w:t xml:space="preserve"> corresponde al domicilio principal del cliente.</w:t>
      </w:r>
    </w:p>
    <w:p w14:paraId="23EC1D7F" w14:textId="77777777" w:rsidR="0009742C" w:rsidRPr="0009742C" w:rsidRDefault="0009742C" w:rsidP="0009742C">
      <w:pPr>
        <w:pStyle w:val="NormalWeb"/>
        <w:numPr>
          <w:ilvl w:val="0"/>
          <w:numId w:val="19"/>
        </w:numPr>
        <w:rPr>
          <w:rFonts w:ascii="Arial" w:hAnsi="Arial" w:cs="Arial"/>
          <w:sz w:val="20"/>
          <w:szCs w:val="20"/>
        </w:rPr>
      </w:pPr>
      <w:r w:rsidRPr="0009742C">
        <w:rPr>
          <w:rFonts w:ascii="Arial" w:hAnsi="Arial" w:cs="Arial"/>
          <w:b/>
          <w:bCs/>
          <w:sz w:val="20"/>
          <w:szCs w:val="20"/>
        </w:rPr>
        <w:t>Número de teléfono y datos de contacto</w:t>
      </w:r>
      <w:r w:rsidRPr="0009742C">
        <w:rPr>
          <w:rFonts w:ascii="Arial" w:hAnsi="Arial" w:cs="Arial"/>
          <w:sz w:val="20"/>
          <w:szCs w:val="20"/>
        </w:rPr>
        <w:t>: permiten establecer comunicación con el cliente.</w:t>
      </w:r>
    </w:p>
    <w:p w14:paraId="34346116" w14:textId="77777777" w:rsidR="0009742C" w:rsidRPr="0009742C" w:rsidRDefault="0009742C" w:rsidP="0009742C">
      <w:pPr>
        <w:pStyle w:val="NormalWeb"/>
        <w:numPr>
          <w:ilvl w:val="0"/>
          <w:numId w:val="19"/>
        </w:numPr>
        <w:rPr>
          <w:rFonts w:ascii="Arial" w:hAnsi="Arial" w:cs="Arial"/>
          <w:sz w:val="20"/>
          <w:szCs w:val="20"/>
        </w:rPr>
      </w:pPr>
      <w:r w:rsidRPr="0009742C">
        <w:rPr>
          <w:rFonts w:ascii="Arial" w:hAnsi="Arial" w:cs="Arial"/>
          <w:b/>
          <w:bCs/>
          <w:sz w:val="20"/>
          <w:szCs w:val="20"/>
        </w:rPr>
        <w:t>Actividad económica</w:t>
      </w:r>
      <w:r w:rsidRPr="0009742C">
        <w:rPr>
          <w:rFonts w:ascii="Arial" w:hAnsi="Arial" w:cs="Arial"/>
          <w:sz w:val="20"/>
          <w:szCs w:val="20"/>
        </w:rPr>
        <w:t>: corresponde a la actividad desarrollada por el cliente.</w:t>
      </w:r>
    </w:p>
    <w:p w14:paraId="587D6710" w14:textId="77777777" w:rsidR="0009742C" w:rsidRPr="0009742C" w:rsidRDefault="0009742C" w:rsidP="0009742C">
      <w:pPr>
        <w:pStyle w:val="NormalWeb"/>
        <w:numPr>
          <w:ilvl w:val="0"/>
          <w:numId w:val="19"/>
        </w:numPr>
        <w:rPr>
          <w:rFonts w:ascii="Arial" w:hAnsi="Arial" w:cs="Arial"/>
          <w:sz w:val="20"/>
          <w:szCs w:val="20"/>
        </w:rPr>
      </w:pPr>
      <w:r w:rsidRPr="0009742C">
        <w:rPr>
          <w:rFonts w:ascii="Arial" w:hAnsi="Arial" w:cs="Arial"/>
          <w:b/>
          <w:bCs/>
          <w:sz w:val="20"/>
          <w:szCs w:val="20"/>
        </w:rPr>
        <w:t>Origen de los recursos o ingresos:</w:t>
      </w:r>
      <w:r w:rsidRPr="0009742C">
        <w:rPr>
          <w:rFonts w:ascii="Arial" w:hAnsi="Arial" w:cs="Arial"/>
          <w:sz w:val="20"/>
          <w:szCs w:val="20"/>
        </w:rPr>
        <w:t xml:space="preserve"> describe la procedencia de los recursos económicos.</w:t>
      </w:r>
    </w:p>
    <w:p w14:paraId="5DE7BFBE" w14:textId="77777777" w:rsidR="0009742C" w:rsidRPr="0009742C" w:rsidRDefault="0009742C" w:rsidP="0009742C">
      <w:pPr>
        <w:pStyle w:val="NormalWeb"/>
        <w:numPr>
          <w:ilvl w:val="0"/>
          <w:numId w:val="19"/>
        </w:numPr>
        <w:rPr>
          <w:rFonts w:ascii="Arial" w:hAnsi="Arial" w:cs="Arial"/>
          <w:sz w:val="20"/>
          <w:szCs w:val="20"/>
        </w:rPr>
      </w:pPr>
      <w:r w:rsidRPr="0009742C">
        <w:rPr>
          <w:rFonts w:ascii="Arial" w:hAnsi="Arial" w:cs="Arial"/>
          <w:b/>
          <w:bCs/>
          <w:sz w:val="20"/>
          <w:szCs w:val="20"/>
        </w:rPr>
        <w:lastRenderedPageBreak/>
        <w:t xml:space="preserve">Información laboral o empresarial: </w:t>
      </w:r>
      <w:r w:rsidRPr="0009742C">
        <w:rPr>
          <w:rFonts w:ascii="Arial" w:hAnsi="Arial" w:cs="Arial"/>
          <w:sz w:val="20"/>
          <w:szCs w:val="20"/>
        </w:rPr>
        <w:t>corresponde a la ocupación o actividad productiva del cliente.</w:t>
      </w:r>
    </w:p>
    <w:p w14:paraId="1EB3C5F9" w14:textId="77777777" w:rsidR="0009742C" w:rsidRPr="0009742C" w:rsidRDefault="0009742C" w:rsidP="0009742C">
      <w:pPr>
        <w:pStyle w:val="NormalWeb"/>
        <w:numPr>
          <w:ilvl w:val="0"/>
          <w:numId w:val="19"/>
        </w:numPr>
        <w:rPr>
          <w:rFonts w:ascii="Arial" w:hAnsi="Arial" w:cs="Arial"/>
          <w:sz w:val="20"/>
          <w:szCs w:val="20"/>
        </w:rPr>
      </w:pPr>
      <w:r w:rsidRPr="0009742C">
        <w:rPr>
          <w:rFonts w:ascii="Arial" w:hAnsi="Arial" w:cs="Arial"/>
          <w:b/>
          <w:bCs/>
          <w:sz w:val="20"/>
          <w:szCs w:val="20"/>
        </w:rPr>
        <w:t>Referencias comerciales o financieras:</w:t>
      </w:r>
      <w:r w:rsidRPr="0009742C">
        <w:rPr>
          <w:rFonts w:ascii="Arial" w:hAnsi="Arial" w:cs="Arial"/>
          <w:sz w:val="20"/>
          <w:szCs w:val="20"/>
        </w:rPr>
        <w:t xml:space="preserve"> respaldan la información suministrada por el cliente.</w:t>
      </w:r>
    </w:p>
    <w:p w14:paraId="52060C37" w14:textId="71BEB526" w:rsidR="0009742C" w:rsidRDefault="0009742C" w:rsidP="0009742C">
      <w:pPr>
        <w:pStyle w:val="NormalWeb"/>
        <w:numPr>
          <w:ilvl w:val="0"/>
          <w:numId w:val="19"/>
        </w:numPr>
        <w:spacing w:line="276" w:lineRule="auto"/>
        <w:rPr>
          <w:rFonts w:ascii="Arial" w:hAnsi="Arial" w:cs="Arial"/>
          <w:sz w:val="20"/>
          <w:szCs w:val="20"/>
        </w:rPr>
      </w:pPr>
      <w:r w:rsidRPr="00D61AFC">
        <w:rPr>
          <w:rFonts w:ascii="Arial" w:hAnsi="Arial" w:cs="Arial"/>
          <w:b/>
          <w:bCs/>
          <w:sz w:val="20"/>
          <w:szCs w:val="20"/>
        </w:rPr>
        <w:t>Documentos de soporte:</w:t>
      </w:r>
      <w:r w:rsidRPr="0009742C">
        <w:rPr>
          <w:rFonts w:ascii="Arial" w:hAnsi="Arial" w:cs="Arial"/>
          <w:sz w:val="20"/>
          <w:szCs w:val="20"/>
        </w:rPr>
        <w:t xml:space="preserve"> permiten verificar la información registrada.</w:t>
      </w:r>
      <w:commentRangeEnd w:id="3"/>
      <w:r w:rsidR="007D472F">
        <w:rPr>
          <w:rStyle w:val="Refdecomentario"/>
          <w:rFonts w:ascii="Arial" w:hAnsi="Arial" w:cs="Arial"/>
          <w:sz w:val="20"/>
          <w:szCs w:val="20"/>
        </w:rPr>
        <w:commentReference w:id="3"/>
      </w:r>
    </w:p>
    <w:p w14:paraId="4683123D" w14:textId="2859F860" w:rsidR="0009742C" w:rsidRDefault="0099146E" w:rsidP="002D641F">
      <w:pPr>
        <w:pStyle w:val="NormalWeb"/>
        <w:spacing w:line="276" w:lineRule="auto"/>
        <w:rPr>
          <w:rFonts w:ascii="Arial" w:hAnsi="Arial" w:cs="Arial"/>
          <w:sz w:val="20"/>
          <w:szCs w:val="20"/>
        </w:rPr>
      </w:pPr>
      <w:r w:rsidRPr="0099146E">
        <w:rPr>
          <w:rFonts w:ascii="Arial" w:hAnsi="Arial" w:cs="Arial"/>
          <w:sz w:val="20"/>
          <w:szCs w:val="20"/>
        </w:rPr>
        <w:t>La información descrita permite a las organizaciones validar la identidad del cliente y comprender su perfil de manera general, lo cual facilita la verificación de los datos suministrados y la detección de posibles inconsistencias en el proceso de identificación.</w:t>
      </w:r>
    </w:p>
    <w:p w14:paraId="2643F564" w14:textId="32F77966" w:rsidR="0099146E" w:rsidRDefault="00D86E44" w:rsidP="002D641F">
      <w:pPr>
        <w:pStyle w:val="NormalWeb"/>
        <w:spacing w:line="276" w:lineRule="auto"/>
        <w:rPr>
          <w:rFonts w:ascii="Arial" w:hAnsi="Arial" w:cs="Arial"/>
          <w:sz w:val="20"/>
          <w:szCs w:val="20"/>
        </w:rPr>
      </w:pPr>
      <w:r w:rsidRPr="00D86E44">
        <w:rPr>
          <w:rFonts w:ascii="Arial" w:hAnsi="Arial" w:cs="Arial"/>
          <w:sz w:val="20"/>
          <w:szCs w:val="20"/>
        </w:rPr>
        <w:t>Una vez establecida la información básica del cliente, resulta necesario diferenciar los roles que pueden asumir las personas dentro del sistema financiero. Esta distinción permite comprender las características particulares de su relación con las entidades y orientar la aplicación de los controles correspondientes, tal como se presenta en el siguiente apartado.</w:t>
      </w:r>
    </w:p>
    <w:p w14:paraId="3F3F09C9" w14:textId="10BE858F" w:rsidR="0050514F" w:rsidRPr="0007033F" w:rsidRDefault="0050514F" w:rsidP="0007033F">
      <w:pPr>
        <w:pStyle w:val="Normal0"/>
        <w:rPr>
          <w:b/>
          <w:sz w:val="20"/>
          <w:szCs w:val="20"/>
        </w:rPr>
      </w:pPr>
    </w:p>
    <w:p w14:paraId="7816696E" w14:textId="01403ABB" w:rsidR="0050514F" w:rsidRPr="0007033F" w:rsidRDefault="0050514F" w:rsidP="0007033F">
      <w:pPr>
        <w:pStyle w:val="Normal0"/>
        <w:rPr>
          <w:b/>
          <w:sz w:val="20"/>
          <w:szCs w:val="20"/>
        </w:rPr>
      </w:pPr>
      <w:r w:rsidRPr="000E761A">
        <w:rPr>
          <w:b/>
          <w:sz w:val="20"/>
          <w:szCs w:val="20"/>
        </w:rPr>
        <w:t>1.4 Diferencias entre cliente y usuario en el sistema financiero</w:t>
      </w:r>
    </w:p>
    <w:p w14:paraId="4B52ED4A" w14:textId="77777777" w:rsidR="0050514F" w:rsidRPr="0007033F" w:rsidRDefault="0050514F"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 xml:space="preserve">En el contexto del sistema financiero, es importante diferenciar entre los conceptos de </w:t>
      </w:r>
      <w:r w:rsidRPr="0007033F">
        <w:rPr>
          <w:rFonts w:eastAsia="Times New Roman"/>
          <w:b/>
          <w:bCs/>
          <w:sz w:val="20"/>
          <w:szCs w:val="20"/>
          <w:lang w:eastAsia="es-CO"/>
        </w:rPr>
        <w:t>cliente</w:t>
      </w:r>
      <w:r w:rsidRPr="0007033F">
        <w:rPr>
          <w:rFonts w:eastAsia="Times New Roman"/>
          <w:sz w:val="20"/>
          <w:szCs w:val="20"/>
          <w:lang w:eastAsia="es-CO"/>
        </w:rPr>
        <w:t xml:space="preserve"> y </w:t>
      </w:r>
      <w:r w:rsidRPr="0007033F">
        <w:rPr>
          <w:rFonts w:eastAsia="Times New Roman"/>
          <w:b/>
          <w:bCs/>
          <w:sz w:val="20"/>
          <w:szCs w:val="20"/>
          <w:lang w:eastAsia="es-CO"/>
        </w:rPr>
        <w:t>usuario</w:t>
      </w:r>
      <w:r w:rsidRPr="0007033F">
        <w:rPr>
          <w:rFonts w:eastAsia="Times New Roman"/>
          <w:sz w:val="20"/>
          <w:szCs w:val="20"/>
          <w:lang w:eastAsia="es-CO"/>
        </w:rPr>
        <w:t>, ya que ambos participan en la utilización de productos y servicios financieros, pero presentan características distintas en cuanto a su relación con las entidades. Esta diferenciación es relevante dentro del sistema SARLAFT, ya que permite aplicar controles adecuados para la identificación y el monitoreo de las operaciones realizadas por cada tipo de persona.</w:t>
      </w:r>
    </w:p>
    <w:p w14:paraId="38BC8EB0" w14:textId="77777777" w:rsidR="003C46A7" w:rsidRDefault="0050514F" w:rsidP="003E4F0C">
      <w:pPr>
        <w:spacing w:before="100" w:beforeAutospacing="1" w:after="100" w:afterAutospacing="1"/>
        <w:rPr>
          <w:rFonts w:eastAsia="Times New Roman"/>
          <w:sz w:val="20"/>
          <w:szCs w:val="20"/>
          <w:lang w:eastAsia="es-CO"/>
        </w:rPr>
      </w:pPr>
      <w:r w:rsidRPr="0007033F">
        <w:rPr>
          <w:rFonts w:eastAsia="Times New Roman"/>
          <w:sz w:val="20"/>
          <w:szCs w:val="20"/>
          <w:lang w:eastAsia="es-CO"/>
        </w:rPr>
        <w:t xml:space="preserve">El </w:t>
      </w:r>
      <w:r w:rsidRPr="0007033F">
        <w:rPr>
          <w:rFonts w:eastAsia="Times New Roman"/>
          <w:b/>
          <w:bCs/>
          <w:sz w:val="20"/>
          <w:szCs w:val="20"/>
          <w:lang w:eastAsia="es-CO"/>
        </w:rPr>
        <w:t>cliente</w:t>
      </w:r>
      <w:r w:rsidRPr="0007033F">
        <w:rPr>
          <w:rFonts w:eastAsia="Times New Roman"/>
          <w:sz w:val="20"/>
          <w:szCs w:val="20"/>
          <w:lang w:eastAsia="es-CO"/>
        </w:rPr>
        <w:t xml:space="preserve"> se define como la persona natural o jurídica que establece una relación contractual con una entidad financiera o con una organización que ofrece productos o servicios. Esta relación implica la apertura de</w:t>
      </w:r>
      <w:r w:rsidR="003C46A7">
        <w:rPr>
          <w:rFonts w:eastAsia="Times New Roman"/>
          <w:sz w:val="20"/>
          <w:szCs w:val="20"/>
          <w:lang w:eastAsia="es-CO"/>
        </w:rPr>
        <w:t>:</w:t>
      </w:r>
    </w:p>
    <w:p w14:paraId="09286505" w14:textId="77777777" w:rsidR="00A52B5A" w:rsidRDefault="003C46A7" w:rsidP="003E4F0C">
      <w:pPr>
        <w:spacing w:before="100" w:beforeAutospacing="1" w:after="100" w:afterAutospacing="1"/>
        <w:rPr>
          <w:rFonts w:eastAsia="Times New Roman"/>
          <w:sz w:val="20"/>
          <w:szCs w:val="20"/>
          <w:lang w:eastAsia="es-CO"/>
        </w:rPr>
      </w:pPr>
      <w:r>
        <w:rPr>
          <w:rFonts w:eastAsia="Times New Roman"/>
          <w:noProof/>
          <w:sz w:val="20"/>
          <w:szCs w:val="20"/>
          <w:lang w:eastAsia="es-CO"/>
        </w:rPr>
        <w:drawing>
          <wp:inline distT="0" distB="0" distL="0" distR="0" wp14:anchorId="4B31755A" wp14:editId="4AA6EBBC">
            <wp:extent cx="3920652" cy="1429966"/>
            <wp:effectExtent l="19050" t="0" r="41910" b="0"/>
            <wp:docPr id="62380662"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5D2E0AE" w14:textId="360273B7" w:rsidR="00854BFC" w:rsidRDefault="00414859" w:rsidP="0007033F">
      <w:pPr>
        <w:spacing w:before="100" w:beforeAutospacing="1" w:after="100" w:afterAutospacing="1"/>
        <w:rPr>
          <w:rFonts w:eastAsia="Times New Roman"/>
          <w:color w:val="000000" w:themeColor="text1"/>
          <w:sz w:val="20"/>
          <w:szCs w:val="20"/>
          <w:lang w:eastAsia="es-CO"/>
        </w:rPr>
      </w:pPr>
      <w:r w:rsidRPr="00414859">
        <w:rPr>
          <w:rFonts w:eastAsia="Times New Roman"/>
          <w:color w:val="000000" w:themeColor="text1"/>
          <w:sz w:val="20"/>
          <w:szCs w:val="20"/>
          <w:lang w:eastAsia="es-CO"/>
        </w:rPr>
        <w:t xml:space="preserve">Estas acciones se desarrollan de manera permanente como parte de la relación formal establecida con la entidad. Por esta razón, las organizaciones deben recopilar y verificar información detallada del cliente, con el fin de conocer su perfil y </w:t>
      </w:r>
      <w:r w:rsidR="00854BFC" w:rsidRPr="00854BFC">
        <w:rPr>
          <w:rFonts w:eastAsia="Times New Roman"/>
          <w:color w:val="000000" w:themeColor="text1"/>
          <w:sz w:val="20"/>
          <w:szCs w:val="20"/>
          <w:lang w:eastAsia="es-CO"/>
        </w:rPr>
        <w:t>facilitar el seguimiento de sus operaciones.</w:t>
      </w:r>
    </w:p>
    <w:p w14:paraId="04E1974A" w14:textId="416BA026" w:rsidR="006D3274" w:rsidRDefault="006D3274" w:rsidP="006D3274">
      <w:pPr>
        <w:shd w:val="clear" w:color="auto" w:fill="DBE5F1" w:themeFill="accent1" w:themeFillTint="33"/>
        <w:spacing w:before="100" w:beforeAutospacing="1" w:after="100" w:afterAutospacing="1"/>
        <w:rPr>
          <w:rFonts w:eastAsia="Times New Roman"/>
          <w:sz w:val="20"/>
          <w:szCs w:val="20"/>
          <w:lang w:eastAsia="es-CO"/>
        </w:rPr>
      </w:pPr>
      <w:r w:rsidRPr="006D3274">
        <w:rPr>
          <w:rFonts w:eastAsia="Times New Roman"/>
          <w:sz w:val="20"/>
          <w:szCs w:val="20"/>
          <w:lang w:eastAsia="es-CO"/>
        </w:rPr>
        <w:t>Por otra parte, el usuario es la persona que utiliza los servicios de una entidad financiera sin mantener necesariamente una relación contractual directa con la organización. En muchos casos, realiza operaciones ocasionales o accede a servicios específicos, lo que implica que el nivel de información disponible puede ser más limitado en comparación con el cliente.</w:t>
      </w:r>
    </w:p>
    <w:p w14:paraId="611746A2" w14:textId="16F0F327" w:rsidR="00ED06EC" w:rsidRDefault="0059774F" w:rsidP="0007033F">
      <w:pPr>
        <w:pStyle w:val="Normal0"/>
        <w:rPr>
          <w:rFonts w:eastAsia="Times New Roman"/>
          <w:sz w:val="20"/>
          <w:szCs w:val="20"/>
          <w:lang w:eastAsia="es-CO"/>
        </w:rPr>
      </w:pPr>
      <w:r w:rsidRPr="0059774F">
        <w:rPr>
          <w:rFonts w:eastAsia="Times New Roman"/>
          <w:sz w:val="20"/>
          <w:szCs w:val="20"/>
          <w:lang w:eastAsia="es-CO"/>
        </w:rPr>
        <w:t>Para comprender de manera clara las diferencias entre cliente y usuario, es necesario analizar diversos aspectos relacionados con su vínculo con la entidad, el tipo de información que proporcionan, las operaciones que realizan y el nivel de control al que están sujetos. La siguiente tabla presenta una comparación estructurada de estos elementos, con el propósito de facilitar la identificación de las características propias de cada uno dentro del sistema financiero:</w:t>
      </w:r>
    </w:p>
    <w:p w14:paraId="631FCD96" w14:textId="77777777" w:rsidR="0059774F" w:rsidRPr="0007033F" w:rsidRDefault="0059774F" w:rsidP="0007033F">
      <w:pPr>
        <w:pStyle w:val="Normal0"/>
        <w:rPr>
          <w:b/>
          <w:sz w:val="20"/>
          <w:szCs w:val="20"/>
        </w:rPr>
      </w:pPr>
    </w:p>
    <w:p w14:paraId="38A9D7B0" w14:textId="3813723C" w:rsidR="0050514F" w:rsidRPr="0007033F" w:rsidRDefault="0050514F" w:rsidP="0007033F">
      <w:pPr>
        <w:pStyle w:val="Normal0"/>
        <w:rPr>
          <w:b/>
          <w:sz w:val="20"/>
          <w:szCs w:val="20"/>
        </w:rPr>
      </w:pPr>
      <w:r w:rsidRPr="0007033F">
        <w:rPr>
          <w:b/>
          <w:sz w:val="20"/>
          <w:szCs w:val="20"/>
        </w:rPr>
        <w:t>Tabla 2.</w:t>
      </w:r>
      <w:r w:rsidRPr="0007033F">
        <w:rPr>
          <w:sz w:val="20"/>
          <w:szCs w:val="20"/>
        </w:rPr>
        <w:t xml:space="preserve"> Diferencias entre cliente y usuario en el sistema financiero</w:t>
      </w:r>
    </w:p>
    <w:tbl>
      <w:tblPr>
        <w:tblStyle w:val="Tabladecuadrcula4"/>
        <w:tblW w:w="0" w:type="auto"/>
        <w:tblLook w:val="04A0" w:firstRow="1" w:lastRow="0" w:firstColumn="1" w:lastColumn="0" w:noHBand="0" w:noVBand="1"/>
      </w:tblPr>
      <w:tblGrid>
        <w:gridCol w:w="1852"/>
        <w:gridCol w:w="4154"/>
        <w:gridCol w:w="3956"/>
      </w:tblGrid>
      <w:tr w:rsidR="00856182" w:rsidRPr="0007033F" w14:paraId="1E33A1E4" w14:textId="77777777" w:rsidTr="009717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78447" w14:textId="77777777" w:rsidR="0050514F" w:rsidRPr="0007033F" w:rsidRDefault="0050514F" w:rsidP="0007033F">
            <w:pPr>
              <w:jc w:val="center"/>
              <w:rPr>
                <w:rFonts w:eastAsia="Times New Roman"/>
                <w:b w:val="0"/>
                <w:bCs w:val="0"/>
                <w:sz w:val="20"/>
                <w:szCs w:val="20"/>
                <w:lang w:eastAsia="es-CO"/>
              </w:rPr>
            </w:pPr>
            <w:r w:rsidRPr="0007033F">
              <w:rPr>
                <w:rFonts w:eastAsia="Times New Roman"/>
                <w:sz w:val="20"/>
                <w:szCs w:val="20"/>
                <w:lang w:eastAsia="es-CO"/>
              </w:rPr>
              <w:t>Aspecto</w:t>
            </w:r>
          </w:p>
        </w:tc>
        <w:tc>
          <w:tcPr>
            <w:tcW w:w="0" w:type="auto"/>
            <w:hideMark/>
          </w:tcPr>
          <w:p w14:paraId="14AA6234" w14:textId="77777777" w:rsidR="0050514F" w:rsidRPr="0007033F" w:rsidRDefault="0050514F" w:rsidP="0007033F">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Cliente</w:t>
            </w:r>
          </w:p>
        </w:tc>
        <w:tc>
          <w:tcPr>
            <w:tcW w:w="0" w:type="auto"/>
            <w:hideMark/>
          </w:tcPr>
          <w:p w14:paraId="6786172A" w14:textId="77777777" w:rsidR="0050514F" w:rsidRPr="0007033F" w:rsidRDefault="0050514F" w:rsidP="0007033F">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Usuario</w:t>
            </w:r>
          </w:p>
        </w:tc>
      </w:tr>
      <w:tr w:rsidR="00856182" w:rsidRPr="0007033F" w14:paraId="15E55D87" w14:textId="77777777" w:rsidTr="00971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6766E" w14:textId="77777777" w:rsidR="0050514F" w:rsidRPr="0007033F" w:rsidRDefault="0050514F" w:rsidP="0007033F">
            <w:pPr>
              <w:rPr>
                <w:rFonts w:eastAsia="Times New Roman"/>
                <w:sz w:val="20"/>
                <w:szCs w:val="20"/>
                <w:lang w:eastAsia="es-CO"/>
              </w:rPr>
            </w:pPr>
            <w:r w:rsidRPr="0007033F">
              <w:rPr>
                <w:rFonts w:eastAsia="Times New Roman"/>
                <w:sz w:val="20"/>
                <w:szCs w:val="20"/>
                <w:lang w:eastAsia="es-CO"/>
              </w:rPr>
              <w:t>Relación con la entidad</w:t>
            </w:r>
          </w:p>
        </w:tc>
        <w:tc>
          <w:tcPr>
            <w:tcW w:w="0" w:type="auto"/>
            <w:hideMark/>
          </w:tcPr>
          <w:p w14:paraId="678A2231" w14:textId="694B7F27" w:rsidR="0050514F" w:rsidRPr="0007033F" w:rsidRDefault="0050514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Mantiene una relación contractual formal con la entidad financiera</w:t>
            </w:r>
            <w:r w:rsidR="00AA1C46">
              <w:rPr>
                <w:rFonts w:eastAsia="Times New Roman"/>
                <w:sz w:val="20"/>
                <w:szCs w:val="20"/>
                <w:lang w:eastAsia="es-CO"/>
              </w:rPr>
              <w:t>.</w:t>
            </w:r>
          </w:p>
        </w:tc>
        <w:tc>
          <w:tcPr>
            <w:tcW w:w="0" w:type="auto"/>
            <w:hideMark/>
          </w:tcPr>
          <w:p w14:paraId="394E8F89" w14:textId="66D0DFE6" w:rsidR="0050514F" w:rsidRPr="0007033F" w:rsidRDefault="0050514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Utiliza servicios de la entidad sin necesariamente tener una relación contractual</w:t>
            </w:r>
            <w:r w:rsidR="00AA1C46">
              <w:rPr>
                <w:rFonts w:eastAsia="Times New Roman"/>
                <w:sz w:val="20"/>
                <w:szCs w:val="20"/>
                <w:lang w:eastAsia="es-CO"/>
              </w:rPr>
              <w:t>.</w:t>
            </w:r>
          </w:p>
        </w:tc>
      </w:tr>
      <w:tr w:rsidR="00856182" w:rsidRPr="0007033F" w14:paraId="5BDD42F7" w14:textId="77777777" w:rsidTr="00971753">
        <w:tc>
          <w:tcPr>
            <w:cnfStyle w:val="001000000000" w:firstRow="0" w:lastRow="0" w:firstColumn="1" w:lastColumn="0" w:oddVBand="0" w:evenVBand="0" w:oddHBand="0" w:evenHBand="0" w:firstRowFirstColumn="0" w:firstRowLastColumn="0" w:lastRowFirstColumn="0" w:lastRowLastColumn="0"/>
            <w:tcW w:w="0" w:type="auto"/>
            <w:hideMark/>
          </w:tcPr>
          <w:p w14:paraId="1B41C6F5" w14:textId="77777777" w:rsidR="0050514F" w:rsidRPr="0007033F" w:rsidRDefault="0050514F" w:rsidP="0007033F">
            <w:pPr>
              <w:rPr>
                <w:rFonts w:eastAsia="Times New Roman"/>
                <w:sz w:val="20"/>
                <w:szCs w:val="20"/>
                <w:lang w:eastAsia="es-CO"/>
              </w:rPr>
            </w:pPr>
            <w:r w:rsidRPr="0007033F">
              <w:rPr>
                <w:rFonts w:eastAsia="Times New Roman"/>
                <w:sz w:val="20"/>
                <w:szCs w:val="20"/>
                <w:lang w:eastAsia="es-CO"/>
              </w:rPr>
              <w:t>Registro de información</w:t>
            </w:r>
          </w:p>
        </w:tc>
        <w:tc>
          <w:tcPr>
            <w:tcW w:w="0" w:type="auto"/>
            <w:hideMark/>
          </w:tcPr>
          <w:p w14:paraId="457A6059" w14:textId="762A5DC2" w:rsidR="0050514F" w:rsidRPr="0007033F" w:rsidRDefault="0050514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Debe proporcionar información completa para la identificación y conocimiento del cliente</w:t>
            </w:r>
            <w:r w:rsidR="00AA1C46">
              <w:rPr>
                <w:rFonts w:eastAsia="Times New Roman"/>
                <w:sz w:val="20"/>
                <w:szCs w:val="20"/>
                <w:lang w:eastAsia="es-CO"/>
              </w:rPr>
              <w:t>.</w:t>
            </w:r>
          </w:p>
        </w:tc>
        <w:tc>
          <w:tcPr>
            <w:tcW w:w="0" w:type="auto"/>
            <w:hideMark/>
          </w:tcPr>
          <w:p w14:paraId="02CF0AC8" w14:textId="1059F9CD" w:rsidR="0050514F" w:rsidRPr="0007033F" w:rsidRDefault="0050514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La información registrada puede ser más limitada</w:t>
            </w:r>
            <w:r w:rsidR="00AA1C46">
              <w:rPr>
                <w:rFonts w:eastAsia="Times New Roman"/>
                <w:sz w:val="20"/>
                <w:szCs w:val="20"/>
                <w:lang w:eastAsia="es-CO"/>
              </w:rPr>
              <w:t>.</w:t>
            </w:r>
          </w:p>
        </w:tc>
      </w:tr>
      <w:tr w:rsidR="00856182" w:rsidRPr="0007033F" w14:paraId="128468E9" w14:textId="77777777" w:rsidTr="00971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EF34B" w14:textId="77777777" w:rsidR="0050514F" w:rsidRPr="0007033F" w:rsidRDefault="0050514F" w:rsidP="0007033F">
            <w:pPr>
              <w:rPr>
                <w:rFonts w:eastAsia="Times New Roman"/>
                <w:sz w:val="20"/>
                <w:szCs w:val="20"/>
                <w:lang w:eastAsia="es-CO"/>
              </w:rPr>
            </w:pPr>
            <w:r w:rsidRPr="0007033F">
              <w:rPr>
                <w:rFonts w:eastAsia="Times New Roman"/>
                <w:sz w:val="20"/>
                <w:szCs w:val="20"/>
                <w:lang w:eastAsia="es-CO"/>
              </w:rPr>
              <w:t>Tipo de operaciones</w:t>
            </w:r>
          </w:p>
        </w:tc>
        <w:tc>
          <w:tcPr>
            <w:tcW w:w="0" w:type="auto"/>
            <w:hideMark/>
          </w:tcPr>
          <w:p w14:paraId="1FA874DE" w14:textId="525BC832" w:rsidR="0050514F" w:rsidRPr="0007033F" w:rsidRDefault="0050514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Realiza operaciones frecuentes o permanentes</w:t>
            </w:r>
            <w:r w:rsidR="00AA1C46">
              <w:rPr>
                <w:rFonts w:eastAsia="Times New Roman"/>
                <w:sz w:val="20"/>
                <w:szCs w:val="20"/>
                <w:lang w:eastAsia="es-CO"/>
              </w:rPr>
              <w:t>.</w:t>
            </w:r>
          </w:p>
        </w:tc>
        <w:tc>
          <w:tcPr>
            <w:tcW w:w="0" w:type="auto"/>
            <w:hideMark/>
          </w:tcPr>
          <w:p w14:paraId="1C981C5A" w14:textId="0EC300CA" w:rsidR="0050514F" w:rsidRPr="0007033F" w:rsidRDefault="0050514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Realiza operaciones ocasionales</w:t>
            </w:r>
            <w:r w:rsidR="00AA1C46">
              <w:rPr>
                <w:rFonts w:eastAsia="Times New Roman"/>
                <w:sz w:val="20"/>
                <w:szCs w:val="20"/>
                <w:lang w:eastAsia="es-CO"/>
              </w:rPr>
              <w:t>.</w:t>
            </w:r>
          </w:p>
        </w:tc>
      </w:tr>
      <w:tr w:rsidR="00856182" w:rsidRPr="0007033F" w14:paraId="21CB274C" w14:textId="77777777" w:rsidTr="00971753">
        <w:tc>
          <w:tcPr>
            <w:cnfStyle w:val="001000000000" w:firstRow="0" w:lastRow="0" w:firstColumn="1" w:lastColumn="0" w:oddVBand="0" w:evenVBand="0" w:oddHBand="0" w:evenHBand="0" w:firstRowFirstColumn="0" w:firstRowLastColumn="0" w:lastRowFirstColumn="0" w:lastRowLastColumn="0"/>
            <w:tcW w:w="0" w:type="auto"/>
            <w:hideMark/>
          </w:tcPr>
          <w:p w14:paraId="7CB97FAB" w14:textId="77777777" w:rsidR="0050514F" w:rsidRPr="0007033F" w:rsidRDefault="0050514F" w:rsidP="0007033F">
            <w:pPr>
              <w:rPr>
                <w:rFonts w:eastAsia="Times New Roman"/>
                <w:sz w:val="20"/>
                <w:szCs w:val="20"/>
                <w:lang w:eastAsia="es-CO"/>
              </w:rPr>
            </w:pPr>
            <w:r w:rsidRPr="0007033F">
              <w:rPr>
                <w:rFonts w:eastAsia="Times New Roman"/>
                <w:sz w:val="20"/>
                <w:szCs w:val="20"/>
                <w:lang w:eastAsia="es-CO"/>
              </w:rPr>
              <w:t>Nivel de control</w:t>
            </w:r>
          </w:p>
        </w:tc>
        <w:tc>
          <w:tcPr>
            <w:tcW w:w="0" w:type="auto"/>
            <w:hideMark/>
          </w:tcPr>
          <w:p w14:paraId="7363B8D5" w14:textId="261C1596" w:rsidR="0050514F" w:rsidRPr="0007033F" w:rsidRDefault="0050514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Está sujeto a procesos completos de conocimiento del cliente (KYC)</w:t>
            </w:r>
            <w:r w:rsidR="00AA1C46">
              <w:rPr>
                <w:rFonts w:eastAsia="Times New Roman"/>
                <w:sz w:val="20"/>
                <w:szCs w:val="20"/>
                <w:lang w:eastAsia="es-CO"/>
              </w:rPr>
              <w:t>.</w:t>
            </w:r>
          </w:p>
        </w:tc>
        <w:tc>
          <w:tcPr>
            <w:tcW w:w="0" w:type="auto"/>
            <w:hideMark/>
          </w:tcPr>
          <w:p w14:paraId="53B6AB01" w14:textId="37673E04" w:rsidR="0050514F" w:rsidRPr="0007033F" w:rsidRDefault="0050514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Puede estar sujeto a controles básicos dependiendo del tipo de operación</w:t>
            </w:r>
            <w:r w:rsidR="00AA1C46">
              <w:rPr>
                <w:rFonts w:eastAsia="Times New Roman"/>
                <w:sz w:val="20"/>
                <w:szCs w:val="20"/>
                <w:lang w:eastAsia="es-CO"/>
              </w:rPr>
              <w:t>.</w:t>
            </w:r>
          </w:p>
        </w:tc>
      </w:tr>
      <w:tr w:rsidR="00856182" w:rsidRPr="0007033F" w14:paraId="1D119001" w14:textId="77777777" w:rsidTr="00971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F5199" w14:textId="77777777" w:rsidR="0050514F" w:rsidRPr="0007033F" w:rsidRDefault="0050514F" w:rsidP="0007033F">
            <w:pPr>
              <w:rPr>
                <w:rFonts w:eastAsia="Times New Roman"/>
                <w:sz w:val="20"/>
                <w:szCs w:val="20"/>
                <w:lang w:eastAsia="es-CO"/>
              </w:rPr>
            </w:pPr>
            <w:r w:rsidRPr="0007033F">
              <w:rPr>
                <w:rFonts w:eastAsia="Times New Roman"/>
                <w:sz w:val="20"/>
                <w:szCs w:val="20"/>
                <w:lang w:eastAsia="es-CO"/>
              </w:rPr>
              <w:t>Ejemplo</w:t>
            </w:r>
          </w:p>
        </w:tc>
        <w:tc>
          <w:tcPr>
            <w:tcW w:w="0" w:type="auto"/>
            <w:hideMark/>
          </w:tcPr>
          <w:p w14:paraId="25DA1CE5" w14:textId="1E74D2CB" w:rsidR="0050514F" w:rsidRPr="0007033F" w:rsidRDefault="0050514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Persona que abre una cuenta bancaria o solicita un crédito</w:t>
            </w:r>
            <w:r w:rsidR="00AA1C46">
              <w:rPr>
                <w:rFonts w:eastAsia="Times New Roman"/>
                <w:sz w:val="20"/>
                <w:szCs w:val="20"/>
                <w:lang w:eastAsia="es-CO"/>
              </w:rPr>
              <w:t>.</w:t>
            </w:r>
          </w:p>
        </w:tc>
        <w:tc>
          <w:tcPr>
            <w:tcW w:w="0" w:type="auto"/>
            <w:hideMark/>
          </w:tcPr>
          <w:p w14:paraId="3B934D84" w14:textId="02C76B2D" w:rsidR="0050514F" w:rsidRPr="0007033F" w:rsidRDefault="0050514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Persona que realiza una transferencia ocasional o paga un servicio</w:t>
            </w:r>
            <w:r w:rsidR="00AA1C46">
              <w:rPr>
                <w:rFonts w:eastAsia="Times New Roman"/>
                <w:sz w:val="20"/>
                <w:szCs w:val="20"/>
                <w:lang w:eastAsia="es-CO"/>
              </w:rPr>
              <w:t>.</w:t>
            </w:r>
          </w:p>
        </w:tc>
      </w:tr>
    </w:tbl>
    <w:p w14:paraId="7166877F" w14:textId="77777777" w:rsidR="0050514F" w:rsidRPr="0007033F" w:rsidRDefault="0050514F" w:rsidP="0007033F">
      <w:pPr>
        <w:pStyle w:val="Normal0"/>
        <w:rPr>
          <w:b/>
          <w:sz w:val="20"/>
          <w:szCs w:val="20"/>
        </w:rPr>
      </w:pPr>
    </w:p>
    <w:p w14:paraId="4D7EA6C5" w14:textId="28BE4864" w:rsidR="00A216D4" w:rsidRPr="00A216D4" w:rsidRDefault="00807D31" w:rsidP="0007033F">
      <w:pPr>
        <w:pStyle w:val="Normal0"/>
        <w:rPr>
          <w:bCs/>
          <w:sz w:val="20"/>
          <w:szCs w:val="20"/>
        </w:rPr>
      </w:pPr>
      <w:r w:rsidRPr="00807D31">
        <w:rPr>
          <w:bCs/>
          <w:sz w:val="20"/>
          <w:szCs w:val="20"/>
        </w:rPr>
        <w:t xml:space="preserve">La información presentada permite reconocer que </w:t>
      </w:r>
      <w:r w:rsidR="00C142EA">
        <w:rPr>
          <w:bCs/>
          <w:sz w:val="20"/>
          <w:szCs w:val="20"/>
        </w:rPr>
        <w:t xml:space="preserve">el </w:t>
      </w:r>
      <w:r w:rsidRPr="00807D31">
        <w:rPr>
          <w:bCs/>
          <w:sz w:val="20"/>
          <w:szCs w:val="20"/>
        </w:rPr>
        <w:t xml:space="preserve">cliente y </w:t>
      </w:r>
      <w:r w:rsidR="00C142EA">
        <w:rPr>
          <w:bCs/>
          <w:sz w:val="20"/>
          <w:szCs w:val="20"/>
        </w:rPr>
        <w:t xml:space="preserve">el </w:t>
      </w:r>
      <w:r w:rsidRPr="00807D31">
        <w:rPr>
          <w:bCs/>
          <w:sz w:val="20"/>
          <w:szCs w:val="20"/>
        </w:rPr>
        <w:t>usuario cumplen funciones distintas dentro del sistema financiero, lo cual incide en la gestión de la información y en la aplicación de controles. Esta diferenciación facilita la identificación de riesgos y la comprensión del comportamiento de las operaciones. En este sentido, resulta fundamental profundizar en el análisis de las transacciones financieras para evaluar su coherencia y detectar posibles irregularidades.</w:t>
      </w:r>
    </w:p>
    <w:p w14:paraId="5DDD95B4" w14:textId="77777777" w:rsidR="0050514F" w:rsidRPr="0007033F" w:rsidRDefault="0050514F" w:rsidP="0007033F">
      <w:pPr>
        <w:pStyle w:val="Ttulo3"/>
        <w:rPr>
          <w:b/>
          <w:color w:val="auto"/>
          <w:sz w:val="20"/>
          <w:szCs w:val="20"/>
        </w:rPr>
      </w:pPr>
      <w:r w:rsidRPr="007E39F4">
        <w:rPr>
          <w:b/>
          <w:color w:val="auto"/>
          <w:sz w:val="20"/>
          <w:szCs w:val="20"/>
        </w:rPr>
        <w:t>2. Identificación y análisis de operaciones financieras</w:t>
      </w:r>
    </w:p>
    <w:p w14:paraId="71F49B4A" w14:textId="77777777" w:rsidR="00300E76" w:rsidRDefault="0050514F"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 xml:space="preserve">La identificación y el análisis de las operaciones financieras constituyen un proceso fundamental dentro del sistema SARLAFT, ya que permiten a las organizaciones monitorear las transacciones realizadas por los clientes y detectar posibles actividades relacionadas con el lavado de activos o la financiación del terrorismo. </w:t>
      </w:r>
      <w:r w:rsidR="00300E76" w:rsidRPr="00300E76">
        <w:rPr>
          <w:rFonts w:eastAsia="Times New Roman"/>
          <w:sz w:val="20"/>
          <w:szCs w:val="20"/>
          <w:lang w:eastAsia="es-CO"/>
        </w:rPr>
        <w:t>A través de este proceso, las entidades evalúan si las operaciones realizadas corresponden con el perfil financiero y la actividad económica declarada por el cliente, lo que facilita la detección oportuna de situaciones de riesgo.</w:t>
      </w:r>
    </w:p>
    <w:p w14:paraId="3E24E763" w14:textId="77777777" w:rsidR="006C14C7" w:rsidRDefault="006C14C7" w:rsidP="00233692">
      <w:pPr>
        <w:shd w:val="clear" w:color="auto" w:fill="F2DBDB" w:themeFill="accent2" w:themeFillTint="33"/>
        <w:spacing w:before="100" w:beforeAutospacing="1" w:after="100" w:afterAutospacing="1"/>
        <w:rPr>
          <w:rFonts w:eastAsia="Times New Roman"/>
          <w:sz w:val="20"/>
          <w:szCs w:val="20"/>
          <w:lang w:eastAsia="es-CO"/>
        </w:rPr>
      </w:pPr>
      <w:r w:rsidRPr="006C14C7">
        <w:rPr>
          <w:rFonts w:eastAsia="Times New Roman"/>
          <w:sz w:val="20"/>
          <w:szCs w:val="20"/>
          <w:lang w:eastAsia="es-CO"/>
        </w:rPr>
        <w:t>Dentro del sistema SARLAFT, las organizaciones deben establecer mecanismos de control que faciliten el seguimiento permanente de las operaciones financieras, con el fin de analizar su frecuencia, monto, origen y destino. Del mismo modo, cuando se identifican transacciones inusuales o inconsistentes con el perfil del cliente, las entidades deben aplicar procedimientos de revisión y análisis que permitan determinar si dichas operaciones corresponden a actividades legítimas o si requieren ser reportadas a las autoridades competentes.</w:t>
      </w:r>
    </w:p>
    <w:p w14:paraId="259C737D" w14:textId="225C9F88" w:rsidR="00023F78" w:rsidRDefault="007426C0" w:rsidP="0007033F">
      <w:pPr>
        <w:pStyle w:val="Normal0"/>
        <w:rPr>
          <w:bCs/>
          <w:sz w:val="20"/>
          <w:szCs w:val="20"/>
        </w:rPr>
      </w:pPr>
      <w:r w:rsidRPr="007426C0">
        <w:rPr>
          <w:bCs/>
          <w:sz w:val="20"/>
          <w:szCs w:val="20"/>
        </w:rPr>
        <w:t>Las operaciones financieras dentro del sistema SARLAFT se clasifican en cuatro tipos según su comportamiento y nivel de riesgo: las operaciones habituales, que corresponden al perfil normal del cliente; las operaciones inusuales, que presentan características atípicas sin justificación inmediata; las operaciones sospechosas, que tras ser analizadas presentan indicios de actividades ilícitas; y las señales de alerta, que activan los mecanismos de control y reporte. La siguiente tabla describe las características principales de cada tipo, el nivel de riesgo asociado y la acción que debe adoptar la organización en cada caso.</w:t>
      </w:r>
    </w:p>
    <w:p w14:paraId="198C47B6" w14:textId="77777777" w:rsidR="00347570" w:rsidRDefault="00347570" w:rsidP="0007033F">
      <w:pPr>
        <w:pStyle w:val="Normal0"/>
        <w:rPr>
          <w:bCs/>
          <w:sz w:val="20"/>
          <w:szCs w:val="20"/>
        </w:rPr>
      </w:pPr>
    </w:p>
    <w:p w14:paraId="02B76FAB" w14:textId="77777777" w:rsidR="00347570" w:rsidRDefault="00347570" w:rsidP="0007033F">
      <w:pPr>
        <w:pStyle w:val="Normal0"/>
        <w:rPr>
          <w:bCs/>
          <w:sz w:val="20"/>
          <w:szCs w:val="20"/>
        </w:rPr>
      </w:pPr>
    </w:p>
    <w:p w14:paraId="06B1A066" w14:textId="77777777" w:rsidR="00347570" w:rsidRDefault="00347570" w:rsidP="0007033F">
      <w:pPr>
        <w:pStyle w:val="Normal0"/>
        <w:rPr>
          <w:bCs/>
          <w:sz w:val="20"/>
          <w:szCs w:val="20"/>
        </w:rPr>
      </w:pPr>
    </w:p>
    <w:p w14:paraId="63161EE0" w14:textId="77777777" w:rsidR="00347570" w:rsidRPr="007426C0" w:rsidRDefault="00347570" w:rsidP="0007033F">
      <w:pPr>
        <w:pStyle w:val="Normal0"/>
        <w:rPr>
          <w:bCs/>
          <w:sz w:val="20"/>
          <w:szCs w:val="20"/>
        </w:rPr>
      </w:pPr>
    </w:p>
    <w:p w14:paraId="739852FE" w14:textId="77777777" w:rsidR="007426C0" w:rsidRPr="0007033F" w:rsidRDefault="007426C0" w:rsidP="0007033F">
      <w:pPr>
        <w:pStyle w:val="Normal0"/>
        <w:rPr>
          <w:b/>
          <w:sz w:val="20"/>
          <w:szCs w:val="20"/>
        </w:rPr>
      </w:pPr>
    </w:p>
    <w:p w14:paraId="67B52AC1" w14:textId="34D3D91B" w:rsidR="00517F1B" w:rsidRDefault="0050514F" w:rsidP="0007033F">
      <w:pPr>
        <w:pStyle w:val="Normal0"/>
        <w:rPr>
          <w:sz w:val="20"/>
          <w:szCs w:val="20"/>
        </w:rPr>
      </w:pPr>
      <w:r w:rsidRPr="0007033F">
        <w:rPr>
          <w:b/>
          <w:sz w:val="20"/>
          <w:szCs w:val="20"/>
        </w:rPr>
        <w:lastRenderedPageBreak/>
        <w:t>Tabla 3.</w:t>
      </w:r>
      <w:r w:rsidRPr="0007033F">
        <w:rPr>
          <w:sz w:val="20"/>
          <w:szCs w:val="20"/>
        </w:rPr>
        <w:t xml:space="preserve"> </w:t>
      </w:r>
      <w:r w:rsidR="00517F1B" w:rsidRPr="00517F1B">
        <w:rPr>
          <w:sz w:val="20"/>
          <w:szCs w:val="20"/>
        </w:rPr>
        <w:t>Clasificación y caracterización de las operaciones financieras en el sistema SARLAFT</w:t>
      </w:r>
    </w:p>
    <w:p w14:paraId="5AA52E8E" w14:textId="130E5A87" w:rsidR="00517F1B" w:rsidRDefault="00517F1B" w:rsidP="0007033F">
      <w:pPr>
        <w:pStyle w:val="Normal0"/>
        <w:rPr>
          <w:sz w:val="20"/>
          <w:szCs w:val="20"/>
        </w:rPr>
      </w:pPr>
    </w:p>
    <w:tbl>
      <w:tblPr>
        <w:tblStyle w:val="Tabladecuadrcula4"/>
        <w:tblW w:w="0" w:type="auto"/>
        <w:tblLook w:val="04A0" w:firstRow="1" w:lastRow="0" w:firstColumn="1" w:lastColumn="0" w:noHBand="0" w:noVBand="1"/>
      </w:tblPr>
      <w:tblGrid>
        <w:gridCol w:w="1821"/>
        <w:gridCol w:w="3898"/>
        <w:gridCol w:w="1133"/>
        <w:gridCol w:w="3110"/>
      </w:tblGrid>
      <w:tr w:rsidR="007065E2" w:rsidRPr="007065E2" w14:paraId="4D5CDBFB" w14:textId="77777777" w:rsidTr="007065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AA7F3" w14:textId="77777777" w:rsidR="007065E2" w:rsidRPr="007065E2" w:rsidRDefault="007065E2" w:rsidP="007065E2">
            <w:pPr>
              <w:spacing w:line="240" w:lineRule="auto"/>
              <w:rPr>
                <w:rFonts w:eastAsia="Times New Roman"/>
                <w:sz w:val="20"/>
                <w:szCs w:val="20"/>
                <w:lang w:eastAsia="es-CO"/>
              </w:rPr>
            </w:pPr>
            <w:r w:rsidRPr="007065E2">
              <w:rPr>
                <w:rFonts w:eastAsia="Times New Roman"/>
                <w:sz w:val="20"/>
                <w:szCs w:val="20"/>
                <w:bdr w:val="none" w:sz="0" w:space="0" w:color="auto" w:frame="1"/>
                <w:lang w:eastAsia="es-CO"/>
              </w:rPr>
              <w:t>Tipo de operación</w:t>
            </w:r>
          </w:p>
        </w:tc>
        <w:tc>
          <w:tcPr>
            <w:tcW w:w="0" w:type="auto"/>
            <w:hideMark/>
          </w:tcPr>
          <w:p w14:paraId="4B89D93D" w14:textId="77777777" w:rsidR="007065E2" w:rsidRPr="007065E2" w:rsidRDefault="007065E2" w:rsidP="007065E2">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7065E2">
              <w:rPr>
                <w:rFonts w:eastAsia="Times New Roman"/>
                <w:sz w:val="20"/>
                <w:szCs w:val="20"/>
                <w:bdr w:val="none" w:sz="0" w:space="0" w:color="auto" w:frame="1"/>
                <w:lang w:eastAsia="es-CO"/>
              </w:rPr>
              <w:t>Características principales</w:t>
            </w:r>
          </w:p>
        </w:tc>
        <w:tc>
          <w:tcPr>
            <w:tcW w:w="0" w:type="auto"/>
            <w:hideMark/>
          </w:tcPr>
          <w:p w14:paraId="025FC956" w14:textId="77777777" w:rsidR="007065E2" w:rsidRPr="007065E2" w:rsidRDefault="007065E2" w:rsidP="007065E2">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7065E2">
              <w:rPr>
                <w:rFonts w:eastAsia="Times New Roman"/>
                <w:sz w:val="20"/>
                <w:szCs w:val="20"/>
                <w:bdr w:val="none" w:sz="0" w:space="0" w:color="auto" w:frame="1"/>
                <w:lang w:eastAsia="es-CO"/>
              </w:rPr>
              <w:t>Nivel de riesgo</w:t>
            </w:r>
          </w:p>
        </w:tc>
        <w:tc>
          <w:tcPr>
            <w:tcW w:w="0" w:type="auto"/>
            <w:hideMark/>
          </w:tcPr>
          <w:p w14:paraId="2FBBA95B" w14:textId="77777777" w:rsidR="007065E2" w:rsidRPr="007065E2" w:rsidRDefault="007065E2" w:rsidP="007065E2">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7065E2">
              <w:rPr>
                <w:rFonts w:eastAsia="Times New Roman"/>
                <w:sz w:val="20"/>
                <w:szCs w:val="20"/>
                <w:bdr w:val="none" w:sz="0" w:space="0" w:color="auto" w:frame="1"/>
                <w:lang w:eastAsia="es-CO"/>
              </w:rPr>
              <w:t>Acción requerida</w:t>
            </w:r>
          </w:p>
        </w:tc>
      </w:tr>
      <w:tr w:rsidR="007065E2" w:rsidRPr="007065E2" w14:paraId="2C2C0980" w14:textId="77777777" w:rsidTr="00706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00771" w14:textId="77777777" w:rsidR="007065E2" w:rsidRPr="007065E2" w:rsidRDefault="007065E2" w:rsidP="007065E2">
            <w:pPr>
              <w:spacing w:line="240" w:lineRule="auto"/>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Operaciones habituales</w:t>
            </w:r>
          </w:p>
        </w:tc>
        <w:tc>
          <w:tcPr>
            <w:tcW w:w="0" w:type="auto"/>
            <w:hideMark/>
          </w:tcPr>
          <w:p w14:paraId="2ADA8365" w14:textId="77777777" w:rsidR="007065E2" w:rsidRPr="007065E2" w:rsidRDefault="007065E2" w:rsidP="007065E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Corresponden al comportamiento normal del cliente según su perfil financiero y actividad económica declarada.</w:t>
            </w:r>
          </w:p>
        </w:tc>
        <w:tc>
          <w:tcPr>
            <w:tcW w:w="0" w:type="auto"/>
            <w:hideMark/>
          </w:tcPr>
          <w:p w14:paraId="1BEF9196" w14:textId="77777777" w:rsidR="007065E2" w:rsidRPr="007065E2" w:rsidRDefault="007065E2" w:rsidP="007065E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Bajo</w:t>
            </w:r>
          </w:p>
        </w:tc>
        <w:tc>
          <w:tcPr>
            <w:tcW w:w="0" w:type="auto"/>
            <w:hideMark/>
          </w:tcPr>
          <w:p w14:paraId="50B0DD71" w14:textId="77777777" w:rsidR="007065E2" w:rsidRPr="007065E2" w:rsidRDefault="007065E2" w:rsidP="007065E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Registro y monitoreo de rutina.</w:t>
            </w:r>
          </w:p>
        </w:tc>
      </w:tr>
      <w:tr w:rsidR="007065E2" w:rsidRPr="007065E2" w14:paraId="7F86AF8F" w14:textId="77777777" w:rsidTr="007065E2">
        <w:tc>
          <w:tcPr>
            <w:cnfStyle w:val="001000000000" w:firstRow="0" w:lastRow="0" w:firstColumn="1" w:lastColumn="0" w:oddVBand="0" w:evenVBand="0" w:oddHBand="0" w:evenHBand="0" w:firstRowFirstColumn="0" w:firstRowLastColumn="0" w:lastRowFirstColumn="0" w:lastRowLastColumn="0"/>
            <w:tcW w:w="0" w:type="auto"/>
            <w:hideMark/>
          </w:tcPr>
          <w:p w14:paraId="307537FC" w14:textId="77777777" w:rsidR="007065E2" w:rsidRPr="007065E2" w:rsidRDefault="007065E2" w:rsidP="007065E2">
            <w:pPr>
              <w:spacing w:line="240" w:lineRule="auto"/>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Operaciones inusuales</w:t>
            </w:r>
          </w:p>
        </w:tc>
        <w:tc>
          <w:tcPr>
            <w:tcW w:w="0" w:type="auto"/>
            <w:hideMark/>
          </w:tcPr>
          <w:p w14:paraId="1BF19923" w14:textId="77777777" w:rsidR="007065E2" w:rsidRPr="007065E2" w:rsidRDefault="007065E2" w:rsidP="007065E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Se apartan del comportamiento habitual del cliente sin que exista una justificación inmediata y verificable.</w:t>
            </w:r>
          </w:p>
        </w:tc>
        <w:tc>
          <w:tcPr>
            <w:tcW w:w="0" w:type="auto"/>
            <w:hideMark/>
          </w:tcPr>
          <w:p w14:paraId="1E8C9E59" w14:textId="77777777" w:rsidR="007065E2" w:rsidRPr="007065E2" w:rsidRDefault="007065E2" w:rsidP="007065E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Medio</w:t>
            </w:r>
          </w:p>
        </w:tc>
        <w:tc>
          <w:tcPr>
            <w:tcW w:w="0" w:type="auto"/>
            <w:hideMark/>
          </w:tcPr>
          <w:p w14:paraId="13A36C84" w14:textId="77777777" w:rsidR="007065E2" w:rsidRPr="007065E2" w:rsidRDefault="007065E2" w:rsidP="007065E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Análisis interno y solicitud de información adicional al cliente.</w:t>
            </w:r>
          </w:p>
        </w:tc>
      </w:tr>
      <w:tr w:rsidR="007065E2" w:rsidRPr="007065E2" w14:paraId="362DD6C2" w14:textId="77777777" w:rsidTr="00706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9F636" w14:textId="77777777" w:rsidR="007065E2" w:rsidRPr="007065E2" w:rsidRDefault="007065E2" w:rsidP="007065E2">
            <w:pPr>
              <w:spacing w:line="240" w:lineRule="auto"/>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Operaciones sospechosas</w:t>
            </w:r>
          </w:p>
        </w:tc>
        <w:tc>
          <w:tcPr>
            <w:tcW w:w="0" w:type="auto"/>
            <w:hideMark/>
          </w:tcPr>
          <w:p w14:paraId="323759CC" w14:textId="77777777" w:rsidR="007065E2" w:rsidRPr="007065E2" w:rsidRDefault="007065E2" w:rsidP="007065E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Presentan indicios, tras el análisis, de estar relacionadas con lavado de activos o financiación del terrorismo.</w:t>
            </w:r>
          </w:p>
        </w:tc>
        <w:tc>
          <w:tcPr>
            <w:tcW w:w="0" w:type="auto"/>
            <w:hideMark/>
          </w:tcPr>
          <w:p w14:paraId="107CBB68" w14:textId="77777777" w:rsidR="007065E2" w:rsidRPr="007065E2" w:rsidRDefault="007065E2" w:rsidP="007065E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Alto</w:t>
            </w:r>
          </w:p>
        </w:tc>
        <w:tc>
          <w:tcPr>
            <w:tcW w:w="0" w:type="auto"/>
            <w:hideMark/>
          </w:tcPr>
          <w:p w14:paraId="1C2E4586" w14:textId="77777777" w:rsidR="007065E2" w:rsidRPr="007065E2" w:rsidRDefault="007065E2" w:rsidP="007065E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Elaboración y envío del Reporte de Operaciones Sospechosas (ROS) a la UIAF.</w:t>
            </w:r>
          </w:p>
        </w:tc>
      </w:tr>
      <w:tr w:rsidR="007065E2" w:rsidRPr="007065E2" w14:paraId="65AF0207" w14:textId="77777777" w:rsidTr="007065E2">
        <w:tc>
          <w:tcPr>
            <w:cnfStyle w:val="001000000000" w:firstRow="0" w:lastRow="0" w:firstColumn="1" w:lastColumn="0" w:oddVBand="0" w:evenVBand="0" w:oddHBand="0" w:evenHBand="0" w:firstRowFirstColumn="0" w:firstRowLastColumn="0" w:lastRowFirstColumn="0" w:lastRowLastColumn="0"/>
            <w:tcW w:w="0" w:type="auto"/>
            <w:hideMark/>
          </w:tcPr>
          <w:p w14:paraId="1794A958" w14:textId="77777777" w:rsidR="007065E2" w:rsidRPr="007065E2" w:rsidRDefault="007065E2" w:rsidP="007065E2">
            <w:pPr>
              <w:spacing w:line="240" w:lineRule="auto"/>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Operaciones relevantes</w:t>
            </w:r>
          </w:p>
        </w:tc>
        <w:tc>
          <w:tcPr>
            <w:tcW w:w="0" w:type="auto"/>
            <w:hideMark/>
          </w:tcPr>
          <w:p w14:paraId="3D3158C8" w14:textId="77777777" w:rsidR="007065E2" w:rsidRPr="007065E2" w:rsidRDefault="007065E2" w:rsidP="007065E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Por su monto, frecuencia o características requieren un monitoreo especial por parte de la organización.</w:t>
            </w:r>
          </w:p>
        </w:tc>
        <w:tc>
          <w:tcPr>
            <w:tcW w:w="0" w:type="auto"/>
            <w:hideMark/>
          </w:tcPr>
          <w:p w14:paraId="2927B2E5" w14:textId="77777777" w:rsidR="007065E2" w:rsidRPr="007065E2" w:rsidRDefault="007065E2" w:rsidP="007065E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Medio-alto</w:t>
            </w:r>
          </w:p>
        </w:tc>
        <w:tc>
          <w:tcPr>
            <w:tcW w:w="0" w:type="auto"/>
            <w:hideMark/>
          </w:tcPr>
          <w:p w14:paraId="7306C48B" w14:textId="77777777" w:rsidR="007065E2" w:rsidRPr="007065E2" w:rsidRDefault="007065E2" w:rsidP="007065E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Seguimiento reforzado y documentación detallada de la transacción.</w:t>
            </w:r>
          </w:p>
        </w:tc>
      </w:tr>
      <w:tr w:rsidR="007065E2" w:rsidRPr="007065E2" w14:paraId="4928E2C9" w14:textId="77777777" w:rsidTr="00706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DB85D" w14:textId="77777777" w:rsidR="007065E2" w:rsidRPr="007065E2" w:rsidRDefault="007065E2" w:rsidP="007065E2">
            <w:pPr>
              <w:spacing w:line="240" w:lineRule="auto"/>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Señales de alerta</w:t>
            </w:r>
          </w:p>
        </w:tc>
        <w:tc>
          <w:tcPr>
            <w:tcW w:w="0" w:type="auto"/>
            <w:hideMark/>
          </w:tcPr>
          <w:p w14:paraId="0BC677E5" w14:textId="77777777" w:rsidR="007065E2" w:rsidRPr="007065E2" w:rsidRDefault="007065E2" w:rsidP="007065E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Indicadores que evidencian posibles riesgos y activan los mecanismos de control y prevención.</w:t>
            </w:r>
          </w:p>
        </w:tc>
        <w:tc>
          <w:tcPr>
            <w:tcW w:w="0" w:type="auto"/>
            <w:hideMark/>
          </w:tcPr>
          <w:p w14:paraId="57F230D5" w14:textId="77777777" w:rsidR="007065E2" w:rsidRPr="007065E2" w:rsidRDefault="007065E2" w:rsidP="007065E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Variable</w:t>
            </w:r>
          </w:p>
        </w:tc>
        <w:tc>
          <w:tcPr>
            <w:tcW w:w="0" w:type="auto"/>
            <w:hideMark/>
          </w:tcPr>
          <w:p w14:paraId="01482E67" w14:textId="77777777" w:rsidR="007065E2" w:rsidRPr="007065E2" w:rsidRDefault="007065E2" w:rsidP="007065E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sz="0" w:space="0" w:color="auto" w:frame="1"/>
                <w:lang w:eastAsia="es-CO"/>
              </w:rPr>
              <w:t>Activación inmediata de los protocolos internos de revisión y reporte.</w:t>
            </w:r>
          </w:p>
        </w:tc>
      </w:tr>
    </w:tbl>
    <w:p w14:paraId="74221BCE" w14:textId="77777777" w:rsidR="007426C0" w:rsidRDefault="007426C0" w:rsidP="0007033F">
      <w:pPr>
        <w:pStyle w:val="Normal0"/>
        <w:rPr>
          <w:bCs/>
          <w:sz w:val="20"/>
          <w:szCs w:val="20"/>
        </w:rPr>
      </w:pPr>
    </w:p>
    <w:p w14:paraId="50BAFDBE" w14:textId="0012DFB5" w:rsidR="00361349" w:rsidRDefault="009F1F68" w:rsidP="0007033F">
      <w:pPr>
        <w:pStyle w:val="Normal0"/>
        <w:rPr>
          <w:bCs/>
          <w:sz w:val="20"/>
          <w:szCs w:val="20"/>
        </w:rPr>
      </w:pPr>
      <w:r w:rsidRPr="009F1F68">
        <w:rPr>
          <w:bCs/>
          <w:sz w:val="20"/>
          <w:szCs w:val="20"/>
        </w:rPr>
        <w:t>Los tipos de operaciones descritos evidencian que cada transacción financiera exige una respuesta institucional diferenciada, que va desde el monitoreo de rutina hasta el reporte formal ante las autoridades competentes. Reconocer estas diferencias y actuar conforme a los procedimientos establecidos por la normativa vigente constituye el fundamento del control efectivo dentro del sistema SARLAFT. Los siguientes apartados profundizan en las características específicas de cada tipo de operación y en los criterios que permiten identificarlas dentro de las transacciones cotidianas de las organizaciones.</w:t>
      </w:r>
    </w:p>
    <w:p w14:paraId="74F49F12" w14:textId="77777777" w:rsidR="009F1F68" w:rsidRPr="0007033F" w:rsidRDefault="009F1F68" w:rsidP="0007033F">
      <w:pPr>
        <w:pStyle w:val="Normal0"/>
        <w:rPr>
          <w:b/>
          <w:sz w:val="20"/>
          <w:szCs w:val="20"/>
        </w:rPr>
      </w:pPr>
    </w:p>
    <w:p w14:paraId="60DEF443" w14:textId="644D9C42" w:rsidR="0050514F" w:rsidRPr="0007033F" w:rsidRDefault="0050514F" w:rsidP="0007033F">
      <w:pPr>
        <w:pStyle w:val="Normal0"/>
        <w:rPr>
          <w:b/>
          <w:sz w:val="20"/>
          <w:szCs w:val="20"/>
        </w:rPr>
      </w:pPr>
    </w:p>
    <w:p w14:paraId="10707BBA" w14:textId="28E148D7" w:rsidR="0050514F" w:rsidRPr="0007033F" w:rsidRDefault="0050514F" w:rsidP="0007033F">
      <w:pPr>
        <w:pStyle w:val="Normal0"/>
        <w:rPr>
          <w:b/>
          <w:sz w:val="20"/>
          <w:szCs w:val="20"/>
        </w:rPr>
      </w:pPr>
      <w:r w:rsidRPr="007765BB">
        <w:rPr>
          <w:b/>
          <w:sz w:val="20"/>
          <w:szCs w:val="20"/>
        </w:rPr>
        <w:t>2.1 Operaciones financieras habituales</w:t>
      </w:r>
    </w:p>
    <w:p w14:paraId="2D6B48C9" w14:textId="77777777" w:rsidR="00856182" w:rsidRPr="0007033F" w:rsidRDefault="00856182" w:rsidP="0007033F">
      <w:pPr>
        <w:pStyle w:val="NormalWeb"/>
        <w:spacing w:line="276" w:lineRule="auto"/>
        <w:rPr>
          <w:rFonts w:ascii="Arial" w:hAnsi="Arial" w:cs="Arial"/>
          <w:sz w:val="20"/>
          <w:szCs w:val="20"/>
          <w:lang w:eastAsia="es-CO"/>
        </w:rPr>
      </w:pPr>
      <w:r w:rsidRPr="0007033F">
        <w:rPr>
          <w:rFonts w:ascii="Arial" w:hAnsi="Arial" w:cs="Arial"/>
          <w:sz w:val="20"/>
          <w:szCs w:val="20"/>
        </w:rPr>
        <w:t>Las operaciones financieras habituales corresponden a aquellas transacciones que realizan los clientes dentro de su comportamiento normal y que están alineadas con su perfil financiero, su actividad económica y el uso esperado de los productos o servicios ofrecidos por la entidad. Estas operaciones se caracterizan por mantener patrones consistentes en términos de frecuencia, monto, origen y destino de los recursos.</w:t>
      </w:r>
    </w:p>
    <w:p w14:paraId="07D40B0F" w14:textId="3FDECF4B" w:rsidR="00856182" w:rsidRDefault="00856182" w:rsidP="0007033F">
      <w:pPr>
        <w:pStyle w:val="NormalWeb"/>
        <w:spacing w:line="276" w:lineRule="auto"/>
        <w:rPr>
          <w:rFonts w:ascii="Arial" w:hAnsi="Arial" w:cs="Arial"/>
          <w:sz w:val="20"/>
          <w:szCs w:val="20"/>
        </w:rPr>
      </w:pPr>
      <w:r w:rsidRPr="0007033F">
        <w:rPr>
          <w:rFonts w:ascii="Arial" w:hAnsi="Arial" w:cs="Arial"/>
          <w:sz w:val="20"/>
          <w:szCs w:val="20"/>
        </w:rPr>
        <w:t>En el contexto del sistema SARLAFT, la identificación de las operaciones habituales es un aspecto clave para el monitoreo adecuado de las transacciones realizadas por los clientes. Cuando una entidad conoce el perfil financiero de sus clientes, puede establecer un marco de referencia que permita diferenciar entre las operaciones normales y aquellas que presentan características atípicas o inusuales.</w:t>
      </w:r>
    </w:p>
    <w:p w14:paraId="1040164C" w14:textId="61C345AA" w:rsidR="003136D1" w:rsidRDefault="003136D1" w:rsidP="0007033F">
      <w:pPr>
        <w:pStyle w:val="NormalWeb"/>
        <w:spacing w:line="276"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3360" behindDoc="0" locked="0" layoutInCell="1" allowOverlap="1" wp14:anchorId="56EECC18" wp14:editId="122A42AF">
                <wp:simplePos x="0" y="0"/>
                <wp:positionH relativeFrom="column">
                  <wp:posOffset>290371</wp:posOffset>
                </wp:positionH>
                <wp:positionV relativeFrom="paragraph">
                  <wp:posOffset>21793</wp:posOffset>
                </wp:positionV>
                <wp:extent cx="5030416" cy="1012082"/>
                <wp:effectExtent l="57150" t="38100" r="75565" b="93345"/>
                <wp:wrapNone/>
                <wp:docPr id="1995856599" name="Rectángulo: esquinas redondeadas 10"/>
                <wp:cNvGraphicFramePr/>
                <a:graphic xmlns:a="http://schemas.openxmlformats.org/drawingml/2006/main">
                  <a:graphicData uri="http://schemas.microsoft.com/office/word/2010/wordprocessingShape">
                    <wps:wsp>
                      <wps:cNvSpPr/>
                      <wps:spPr>
                        <a:xfrm>
                          <a:off x="0" y="0"/>
                          <a:ext cx="5030416" cy="1012082"/>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52C2B1C2" w14:textId="62CF33A6" w:rsidR="00743066" w:rsidRPr="00743066" w:rsidRDefault="00743066" w:rsidP="00743066">
                            <w:pPr>
                              <w:jc w:val="center"/>
                              <w:rPr>
                                <w:sz w:val="20"/>
                                <w:szCs w:val="20"/>
                              </w:rPr>
                            </w:pPr>
                            <w:r w:rsidRPr="00743066">
                              <w:rPr>
                                <w:sz w:val="20"/>
                                <w:szCs w:val="20"/>
                              </w:rPr>
                              <w:t>Conocer el comportamiento habitual del cliente es el primer paso para detectar cualquier desviación que pueda representar un riesgo para la organización.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EECC18" id="Rectángulo: esquinas redondeadas 10" o:spid="_x0000_s1028" style="position:absolute;margin-left:22.85pt;margin-top:1.7pt;width:396.1pt;height:7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" fillcolor="#fbcaa2 [1625]" strokecolor="#f68c36 [3049]">
                <v:fill color2="#fdefe3 [505]" rotate="t" angle="180" colors="0 #ffbe86;22938f #ffd0aa;1 #ffebdb" focus="100%" type="gradient"/>
                <v:shadow on="t" color="black" opacity="24903f" origin=",.5" offset="0,.55556mm"/>
                <v:textbox>
                  <w:txbxContent>
                    <w:p w14:paraId="52C2B1C2" w14:textId="62CF33A6" w:rsidR="00743066" w:rsidRPr="00743066" w:rsidRDefault="00743066" w:rsidP="00743066">
                      <w:pPr>
                        <w:jc w:val="center"/>
                        <w:rPr>
                          <w:sz w:val="20"/>
                          <w:szCs w:val="20"/>
                        </w:rPr>
                      </w:pPr>
                      <w:r w:rsidRPr="00743066">
                        <w:rPr>
                          <w:sz w:val="20"/>
                          <w:szCs w:val="20"/>
                        </w:rPr>
                        <w:t>Conocer el comportamiento habitual del cliente es el primer paso para detectar cualquier desviación que pueda representar un riesgo para la organización.</w:t>
                      </w:r>
                    </w:p>
                  </w:txbxContent>
                </v:textbox>
              </v:roundrect>
            </w:pict>
          </mc:Fallback>
        </mc:AlternateContent>
      </w:r>
    </w:p>
    <w:p w14:paraId="013470E7" w14:textId="77777777" w:rsidR="003136D1" w:rsidRPr="0007033F" w:rsidRDefault="003136D1" w:rsidP="0007033F">
      <w:pPr>
        <w:pStyle w:val="NormalWeb"/>
        <w:spacing w:line="276" w:lineRule="auto"/>
        <w:rPr>
          <w:rFonts w:ascii="Arial" w:hAnsi="Arial" w:cs="Arial"/>
          <w:sz w:val="20"/>
          <w:szCs w:val="20"/>
        </w:rPr>
      </w:pPr>
    </w:p>
    <w:p w14:paraId="2422A4C7" w14:textId="77777777" w:rsidR="003136D1" w:rsidRDefault="003136D1" w:rsidP="0007033F">
      <w:pPr>
        <w:pStyle w:val="NormalWeb"/>
        <w:spacing w:line="276" w:lineRule="auto"/>
        <w:rPr>
          <w:rFonts w:ascii="Arial" w:hAnsi="Arial" w:cs="Arial"/>
          <w:sz w:val="20"/>
          <w:szCs w:val="20"/>
        </w:rPr>
      </w:pPr>
    </w:p>
    <w:p w14:paraId="371D0B8D" w14:textId="77777777" w:rsidR="003136D1" w:rsidRDefault="003136D1" w:rsidP="0007033F">
      <w:pPr>
        <w:pStyle w:val="NormalWeb"/>
        <w:spacing w:line="276" w:lineRule="auto"/>
        <w:rPr>
          <w:rFonts w:ascii="Arial" w:hAnsi="Arial" w:cs="Arial"/>
          <w:sz w:val="20"/>
          <w:szCs w:val="20"/>
        </w:rPr>
      </w:pPr>
    </w:p>
    <w:p w14:paraId="6CB8EF3A" w14:textId="1EADACEC" w:rsidR="00856182" w:rsidRPr="0007033F" w:rsidRDefault="00A02176" w:rsidP="0007033F">
      <w:pPr>
        <w:pStyle w:val="NormalWeb"/>
        <w:spacing w:line="276" w:lineRule="auto"/>
        <w:rPr>
          <w:rFonts w:ascii="Arial" w:hAnsi="Arial" w:cs="Arial"/>
          <w:sz w:val="20"/>
          <w:szCs w:val="20"/>
        </w:rPr>
      </w:pPr>
      <w:r>
        <w:rPr>
          <w:rFonts w:ascii="Arial" w:hAnsi="Arial" w:cs="Arial"/>
          <w:sz w:val="20"/>
          <w:szCs w:val="20"/>
        </w:rPr>
        <w:t>Del mismo modo</w:t>
      </w:r>
      <w:r w:rsidR="00856182" w:rsidRPr="0007033F">
        <w:rPr>
          <w:rFonts w:ascii="Arial" w:hAnsi="Arial" w:cs="Arial"/>
          <w:sz w:val="20"/>
          <w:szCs w:val="20"/>
        </w:rPr>
        <w:t xml:space="preserve">, el análisis de las operaciones financieras habituales facilita la detección temprana de posibles riesgos asociados al lavado de activos o la financiación del terrorismo. Al contar con información clara sobre el </w:t>
      </w:r>
      <w:r w:rsidR="00856182" w:rsidRPr="0007033F">
        <w:rPr>
          <w:rFonts w:ascii="Arial" w:hAnsi="Arial" w:cs="Arial"/>
          <w:sz w:val="20"/>
          <w:szCs w:val="20"/>
        </w:rPr>
        <w:lastRenderedPageBreak/>
        <w:t>comportamiento financiero esperado de un cliente, las organizaciones pueden identificar con mayor facilidad transacciones que se aparten de dicho comportamiento y que requieran un análisis adicional.</w:t>
      </w:r>
    </w:p>
    <w:p w14:paraId="0DBE676E" w14:textId="77777777" w:rsidR="00856182" w:rsidRPr="0007033F" w:rsidRDefault="00856182" w:rsidP="0007033F">
      <w:pPr>
        <w:pStyle w:val="NormalWeb"/>
        <w:spacing w:line="276" w:lineRule="auto"/>
        <w:rPr>
          <w:rFonts w:ascii="Arial" w:hAnsi="Arial" w:cs="Arial"/>
          <w:sz w:val="20"/>
          <w:szCs w:val="20"/>
        </w:rPr>
      </w:pPr>
      <w:r w:rsidRPr="0007033F">
        <w:rPr>
          <w:rFonts w:ascii="Arial" w:hAnsi="Arial" w:cs="Arial"/>
          <w:sz w:val="20"/>
          <w:szCs w:val="20"/>
        </w:rPr>
        <w:t>Por esta razón, las entidades deben establecer mecanismos que permitan registrar y analizar de manera permanente las operaciones habituales de sus clientes. Este proceso contribuye a fortalecer los sistemas de control interno, mejorar el monitoreo de las transacciones financieras y garantizar el cumplimiento de las normas relacionadas con la prevención del lavado de activos y la financiación del terrorismo.</w:t>
      </w:r>
    </w:p>
    <w:p w14:paraId="5C92950A" w14:textId="440AE0AD" w:rsidR="00856182" w:rsidRDefault="00856182" w:rsidP="0007033F">
      <w:pPr>
        <w:pStyle w:val="NormalWeb"/>
        <w:spacing w:line="276" w:lineRule="auto"/>
        <w:rPr>
          <w:rFonts w:ascii="Arial" w:hAnsi="Arial" w:cs="Arial"/>
          <w:sz w:val="20"/>
          <w:szCs w:val="20"/>
        </w:rPr>
      </w:pPr>
      <w:r w:rsidRPr="0007033F">
        <w:rPr>
          <w:rFonts w:ascii="Arial" w:hAnsi="Arial" w:cs="Arial"/>
          <w:sz w:val="20"/>
          <w:szCs w:val="20"/>
        </w:rPr>
        <w:t>Entre algunos ejemplos de operaciones financieras habituales se encuentran l</w:t>
      </w:r>
      <w:r w:rsidR="009C4414">
        <w:rPr>
          <w:rFonts w:ascii="Arial" w:hAnsi="Arial" w:cs="Arial"/>
          <w:sz w:val="20"/>
          <w:szCs w:val="20"/>
        </w:rPr>
        <w:t>a</w:t>
      </w:r>
      <w:r w:rsidRPr="0007033F">
        <w:rPr>
          <w:rFonts w:ascii="Arial" w:hAnsi="Arial" w:cs="Arial"/>
          <w:sz w:val="20"/>
          <w:szCs w:val="20"/>
        </w:rPr>
        <w:t>s siguientes:</w:t>
      </w:r>
    </w:p>
    <w:p w14:paraId="3FEF01BD" w14:textId="77777777" w:rsidR="009C7B60" w:rsidRPr="009C7B60" w:rsidRDefault="009C7B60" w:rsidP="00B54952">
      <w:pPr>
        <w:pStyle w:val="NormalWeb"/>
        <w:numPr>
          <w:ilvl w:val="0"/>
          <w:numId w:val="22"/>
        </w:numPr>
        <w:rPr>
          <w:rFonts w:ascii="Arial" w:hAnsi="Arial" w:cs="Arial"/>
          <w:sz w:val="20"/>
          <w:szCs w:val="20"/>
        </w:rPr>
      </w:pPr>
      <w:commentRangeStart w:id="4"/>
      <w:r w:rsidRPr="009C4414">
        <w:rPr>
          <w:rFonts w:ascii="Arial" w:hAnsi="Arial" w:cs="Arial"/>
          <w:b/>
          <w:bCs/>
          <w:sz w:val="20"/>
          <w:szCs w:val="20"/>
        </w:rPr>
        <w:t>Depósito periódico de ingresos:</w:t>
      </w:r>
      <w:r w:rsidRPr="009C7B60">
        <w:rPr>
          <w:rFonts w:ascii="Arial" w:hAnsi="Arial" w:cs="Arial"/>
          <w:sz w:val="20"/>
          <w:szCs w:val="20"/>
        </w:rPr>
        <w:t xml:space="preserve"> abono regular de dinero en una cuenta, derivado de la actividad laboral o comercial del cliente y acorde con el monto de sus ingresos habituales. Ejemplo: consignación mensual de salario en cuenta de ahorros.</w:t>
      </w:r>
    </w:p>
    <w:p w14:paraId="4F229411" w14:textId="77777777" w:rsidR="009C7B60" w:rsidRPr="009C7B60" w:rsidRDefault="009C7B60" w:rsidP="00B54952">
      <w:pPr>
        <w:pStyle w:val="NormalWeb"/>
        <w:numPr>
          <w:ilvl w:val="0"/>
          <w:numId w:val="22"/>
        </w:numPr>
        <w:rPr>
          <w:rFonts w:ascii="Arial" w:hAnsi="Arial" w:cs="Arial"/>
          <w:sz w:val="20"/>
          <w:szCs w:val="20"/>
        </w:rPr>
      </w:pPr>
      <w:r w:rsidRPr="009C4414">
        <w:rPr>
          <w:rFonts w:ascii="Arial" w:hAnsi="Arial" w:cs="Arial"/>
          <w:b/>
          <w:bCs/>
          <w:sz w:val="20"/>
          <w:szCs w:val="20"/>
        </w:rPr>
        <w:t>Pago de obligaciones financieras:</w:t>
      </w:r>
      <w:r w:rsidRPr="009C7B60">
        <w:rPr>
          <w:rFonts w:ascii="Arial" w:hAnsi="Arial" w:cs="Arial"/>
          <w:sz w:val="20"/>
          <w:szCs w:val="20"/>
        </w:rPr>
        <w:t xml:space="preserve"> cancelación de cuotas de créditos, tarjetas o productos financieros adquiridos por el cliente, con frecuencia y montos coherentes con su perfil. Ejemplo: pago mensual de la cuota de un crédito de vivienda.</w:t>
      </w:r>
    </w:p>
    <w:p w14:paraId="7C9729F0" w14:textId="77777777" w:rsidR="009C7B60" w:rsidRPr="009C7B60" w:rsidRDefault="009C7B60" w:rsidP="00B54952">
      <w:pPr>
        <w:pStyle w:val="NormalWeb"/>
        <w:numPr>
          <w:ilvl w:val="0"/>
          <w:numId w:val="22"/>
        </w:numPr>
        <w:rPr>
          <w:rFonts w:ascii="Arial" w:hAnsi="Arial" w:cs="Arial"/>
          <w:sz w:val="20"/>
          <w:szCs w:val="20"/>
        </w:rPr>
      </w:pPr>
      <w:r w:rsidRPr="009C4414">
        <w:rPr>
          <w:rFonts w:ascii="Arial" w:hAnsi="Arial" w:cs="Arial"/>
          <w:b/>
          <w:bCs/>
          <w:sz w:val="20"/>
          <w:szCs w:val="20"/>
        </w:rPr>
        <w:t xml:space="preserve">Pago de servicios y gastos regulares: </w:t>
      </w:r>
      <w:r w:rsidRPr="009C4414">
        <w:rPr>
          <w:rFonts w:ascii="Arial" w:hAnsi="Arial" w:cs="Arial"/>
          <w:sz w:val="20"/>
          <w:szCs w:val="20"/>
        </w:rPr>
        <w:t>transf</w:t>
      </w:r>
      <w:r w:rsidRPr="009C7B60">
        <w:rPr>
          <w:rFonts w:ascii="Arial" w:hAnsi="Arial" w:cs="Arial"/>
          <w:sz w:val="20"/>
          <w:szCs w:val="20"/>
        </w:rPr>
        <w:t>erencias o débitos destinados a cubrir servicios públicos, seguros o gastos del hogar que corresponden al nivel de vida del cliente. Ejemplo: pago automático mensual de servicios de energía, agua o telefonía.</w:t>
      </w:r>
    </w:p>
    <w:p w14:paraId="4E30CD41" w14:textId="77777777" w:rsidR="009C7B60" w:rsidRPr="009C7B60" w:rsidRDefault="009C7B60" w:rsidP="00B54952">
      <w:pPr>
        <w:pStyle w:val="NormalWeb"/>
        <w:numPr>
          <w:ilvl w:val="0"/>
          <w:numId w:val="22"/>
        </w:numPr>
        <w:rPr>
          <w:rFonts w:ascii="Arial" w:hAnsi="Arial" w:cs="Arial"/>
          <w:sz w:val="20"/>
          <w:szCs w:val="20"/>
        </w:rPr>
      </w:pPr>
      <w:r w:rsidRPr="009C4414">
        <w:rPr>
          <w:rFonts w:ascii="Arial" w:hAnsi="Arial" w:cs="Arial"/>
          <w:b/>
          <w:bCs/>
          <w:sz w:val="20"/>
          <w:szCs w:val="20"/>
        </w:rPr>
        <w:t>Transferencia entre cuentas propias:</w:t>
      </w:r>
      <w:r w:rsidRPr="009C7B60">
        <w:rPr>
          <w:rFonts w:ascii="Arial" w:hAnsi="Arial" w:cs="Arial"/>
          <w:sz w:val="20"/>
          <w:szCs w:val="20"/>
        </w:rPr>
        <w:t xml:space="preserve"> movimiento de dinero entre cuentas del mismo titular en la misma entidad o entre entidades diferentes, sin cambio en la titularidad de los recursos. Ejemplo: traslado de fondos de cuenta corriente a cuenta de ahorros para administrar gastos.</w:t>
      </w:r>
    </w:p>
    <w:p w14:paraId="413F1433" w14:textId="77777777" w:rsidR="009C7B60" w:rsidRPr="009C7B60" w:rsidRDefault="009C7B60" w:rsidP="00B54952">
      <w:pPr>
        <w:pStyle w:val="NormalWeb"/>
        <w:numPr>
          <w:ilvl w:val="0"/>
          <w:numId w:val="22"/>
        </w:numPr>
        <w:rPr>
          <w:rFonts w:ascii="Arial" w:hAnsi="Arial" w:cs="Arial"/>
          <w:sz w:val="20"/>
          <w:szCs w:val="20"/>
        </w:rPr>
      </w:pPr>
      <w:r w:rsidRPr="009C4414">
        <w:rPr>
          <w:rFonts w:ascii="Arial" w:hAnsi="Arial" w:cs="Arial"/>
          <w:sz w:val="20"/>
          <w:szCs w:val="20"/>
        </w:rPr>
        <w:t>Pago a proveedores o empleados:</w:t>
      </w:r>
      <w:r w:rsidRPr="009C7B60">
        <w:rPr>
          <w:rFonts w:ascii="Arial" w:hAnsi="Arial" w:cs="Arial"/>
          <w:sz w:val="20"/>
          <w:szCs w:val="20"/>
        </w:rPr>
        <w:t xml:space="preserve"> desembolso de recursos por parte de una empresa hacia sus proveedores o colaboradores, dentro de su ciclo operativo normal. Ejemplo: transferencia semanal de nómina a empleados de una empresa comercial.</w:t>
      </w:r>
    </w:p>
    <w:p w14:paraId="2BF6BD59" w14:textId="77777777" w:rsidR="009C7B60" w:rsidRPr="009C7B60" w:rsidRDefault="009C7B60" w:rsidP="00B54952">
      <w:pPr>
        <w:pStyle w:val="NormalWeb"/>
        <w:numPr>
          <w:ilvl w:val="0"/>
          <w:numId w:val="22"/>
        </w:numPr>
        <w:rPr>
          <w:rFonts w:ascii="Arial" w:hAnsi="Arial" w:cs="Arial"/>
          <w:sz w:val="20"/>
          <w:szCs w:val="20"/>
        </w:rPr>
      </w:pPr>
      <w:r w:rsidRPr="009C4414">
        <w:rPr>
          <w:rFonts w:ascii="Arial" w:hAnsi="Arial" w:cs="Arial"/>
          <w:b/>
          <w:bCs/>
          <w:sz w:val="20"/>
          <w:szCs w:val="20"/>
        </w:rPr>
        <w:t>Retiro en efectivo proporcional al perfil:</w:t>
      </w:r>
      <w:r w:rsidRPr="009C7B60">
        <w:rPr>
          <w:rFonts w:ascii="Arial" w:hAnsi="Arial" w:cs="Arial"/>
          <w:sz w:val="20"/>
          <w:szCs w:val="20"/>
        </w:rPr>
        <w:t xml:space="preserve"> extracción de dinero en montos acordes con el nivel de ingresos y el comportamiento financiero habitual del cliente. Ejemplo: retiro mensual en cajero automático equivalente al gasto personal habitual del cliente.</w:t>
      </w:r>
    </w:p>
    <w:p w14:paraId="317C0CB4" w14:textId="10F60CC8" w:rsidR="009C7B60" w:rsidRPr="00B54952" w:rsidRDefault="009C7B60" w:rsidP="0007033F">
      <w:pPr>
        <w:pStyle w:val="NormalWeb"/>
        <w:numPr>
          <w:ilvl w:val="0"/>
          <w:numId w:val="22"/>
        </w:numPr>
        <w:spacing w:line="276" w:lineRule="auto"/>
        <w:rPr>
          <w:rFonts w:ascii="Arial" w:hAnsi="Arial" w:cs="Arial"/>
          <w:sz w:val="20"/>
          <w:szCs w:val="20"/>
        </w:rPr>
      </w:pPr>
      <w:r w:rsidRPr="009C4414">
        <w:rPr>
          <w:rFonts w:ascii="Arial" w:hAnsi="Arial" w:cs="Arial"/>
          <w:b/>
          <w:bCs/>
          <w:sz w:val="20"/>
          <w:szCs w:val="20"/>
        </w:rPr>
        <w:t xml:space="preserve">Recepción de pagos por actividad económica: </w:t>
      </w:r>
      <w:r w:rsidRPr="009C7B60">
        <w:rPr>
          <w:rFonts w:ascii="Arial" w:hAnsi="Arial" w:cs="Arial"/>
          <w:sz w:val="20"/>
          <w:szCs w:val="20"/>
        </w:rPr>
        <w:t>ingreso de recursos provenientes de clientes o compradores, coherente con la actividad comercial o profesional declarada. Ejemplo: consignación de un cliente por la compra de mercancía a una empresa distribuidora.</w:t>
      </w:r>
      <w:commentRangeEnd w:id="4"/>
      <w:r w:rsidR="007C2D1B" w:rsidRPr="00B54952">
        <w:rPr>
          <w:rStyle w:val="Refdecomentario"/>
          <w:rFonts w:ascii="Arial" w:hAnsi="Arial" w:cs="Arial"/>
          <w:sz w:val="20"/>
          <w:szCs w:val="20"/>
        </w:rPr>
        <w:commentReference w:id="4"/>
      </w:r>
    </w:p>
    <w:p w14:paraId="508918B9" w14:textId="09E1E436" w:rsidR="00772ECB" w:rsidRPr="0007033F" w:rsidRDefault="00772ECB" w:rsidP="00772ECB">
      <w:pPr>
        <w:pStyle w:val="NormalWeb"/>
        <w:spacing w:line="276" w:lineRule="auto"/>
        <w:rPr>
          <w:rFonts w:ascii="Arial" w:hAnsi="Arial" w:cs="Arial"/>
          <w:sz w:val="20"/>
          <w:szCs w:val="20"/>
        </w:rPr>
      </w:pPr>
      <w:r w:rsidRPr="00772ECB">
        <w:rPr>
          <w:rFonts w:ascii="Arial" w:hAnsi="Arial" w:cs="Arial"/>
          <w:sz w:val="20"/>
          <w:szCs w:val="20"/>
        </w:rPr>
        <w:t>Las operaciones descritas comparten una característica esencial</w:t>
      </w:r>
      <w:r>
        <w:rPr>
          <w:rFonts w:ascii="Arial" w:hAnsi="Arial" w:cs="Arial"/>
          <w:sz w:val="20"/>
          <w:szCs w:val="20"/>
        </w:rPr>
        <w:t xml:space="preserve">, </w:t>
      </w:r>
      <w:r w:rsidRPr="00772ECB">
        <w:rPr>
          <w:rFonts w:ascii="Arial" w:hAnsi="Arial" w:cs="Arial"/>
          <w:sz w:val="20"/>
          <w:szCs w:val="20"/>
        </w:rPr>
        <w:t>son predecibles, verificables y coherentes con el perfil financiero del cliente. Esta consistencia es precisamente lo que permite a las organizaciones detectar cuándo una transacción se aparta del comportamiento esperado y requiere un análisis más detallado, situación que caracteriza a las operaciones inusuales, desarrolladas en el siguiente apartado.</w:t>
      </w:r>
    </w:p>
    <w:p w14:paraId="37E2CAD7" w14:textId="14667C7F" w:rsidR="0050514F" w:rsidRPr="0007033F" w:rsidRDefault="0050514F" w:rsidP="0007033F">
      <w:pPr>
        <w:pStyle w:val="Normal0"/>
        <w:rPr>
          <w:b/>
          <w:sz w:val="20"/>
          <w:szCs w:val="20"/>
        </w:rPr>
      </w:pPr>
    </w:p>
    <w:p w14:paraId="3AC2CC7C" w14:textId="39F30A46" w:rsidR="00856182" w:rsidRPr="0007033F" w:rsidRDefault="00856182" w:rsidP="0007033F">
      <w:pPr>
        <w:pStyle w:val="Normal0"/>
        <w:rPr>
          <w:b/>
          <w:sz w:val="20"/>
          <w:szCs w:val="20"/>
        </w:rPr>
      </w:pPr>
      <w:r w:rsidRPr="00FD1AB2">
        <w:rPr>
          <w:b/>
          <w:sz w:val="20"/>
          <w:szCs w:val="20"/>
        </w:rPr>
        <w:t>2.2 Operaciones inusuales</w:t>
      </w:r>
      <w:r w:rsidRPr="0007033F">
        <w:rPr>
          <w:b/>
          <w:sz w:val="20"/>
          <w:szCs w:val="20"/>
        </w:rPr>
        <w:br/>
      </w:r>
    </w:p>
    <w:p w14:paraId="79B8A7DD" w14:textId="77777777" w:rsidR="00856182" w:rsidRPr="0007033F" w:rsidRDefault="00856182" w:rsidP="0007033F">
      <w:pPr>
        <w:pStyle w:val="NormalWeb"/>
        <w:spacing w:line="276" w:lineRule="auto"/>
        <w:rPr>
          <w:rFonts w:ascii="Arial" w:hAnsi="Arial" w:cs="Arial"/>
          <w:sz w:val="20"/>
          <w:szCs w:val="20"/>
          <w:lang w:eastAsia="es-CO"/>
        </w:rPr>
      </w:pPr>
      <w:r w:rsidRPr="0007033F">
        <w:rPr>
          <w:rFonts w:ascii="Arial" w:hAnsi="Arial" w:cs="Arial"/>
          <w:sz w:val="20"/>
          <w:szCs w:val="20"/>
        </w:rPr>
        <w:t>Las operaciones inusuales son aquellas transacciones financieras que presentan características atípicas o que no corresponden con el comportamiento habitual del cliente según su perfil financiero, su actividad económica o el tipo de relación que mantiene con la entidad. Estas operaciones pueden generar alertas dentro de los sistemas de monitoreo, ya que se apartan de los patrones normales previamente establecidos para el cliente.</w:t>
      </w:r>
    </w:p>
    <w:p w14:paraId="7044336D" w14:textId="77777777" w:rsidR="00E43230" w:rsidRDefault="00E43230" w:rsidP="0007033F">
      <w:pPr>
        <w:pStyle w:val="NormalWeb"/>
        <w:spacing w:line="276" w:lineRule="auto"/>
        <w:rPr>
          <w:rFonts w:ascii="Arial" w:hAnsi="Arial" w:cs="Arial"/>
          <w:sz w:val="20"/>
          <w:szCs w:val="20"/>
        </w:rPr>
      </w:pPr>
      <w:r w:rsidRPr="00E43230">
        <w:rPr>
          <w:rFonts w:ascii="Arial" w:hAnsi="Arial" w:cs="Arial"/>
          <w:sz w:val="20"/>
          <w:szCs w:val="20"/>
        </w:rPr>
        <w:t xml:space="preserve">Dentro del sistema SARLAFT, la identificación de operaciones inusuales constituye un mecanismo importante para la prevención del lavado de activos y la financiación del terrorismo. Cuando una organización detecta transacciones que no se ajustan al perfil del cliente, debe realizar un análisis más detallado con el fin de </w:t>
      </w:r>
      <w:r w:rsidRPr="00E43230">
        <w:rPr>
          <w:rFonts w:ascii="Arial" w:hAnsi="Arial" w:cs="Arial"/>
          <w:sz w:val="20"/>
          <w:szCs w:val="20"/>
        </w:rPr>
        <w:lastRenderedPageBreak/>
        <w:t>determinar si dichas operaciones tienen una justificación legítima o si pueden estar relacionadas con actividades ilícitas.</w:t>
      </w:r>
    </w:p>
    <w:p w14:paraId="4CCF5237" w14:textId="2A83102B" w:rsidR="00096D31" w:rsidRDefault="00096D31" w:rsidP="0007033F">
      <w:pPr>
        <w:pStyle w:val="NormalWeb"/>
        <w:spacing w:line="276" w:lineRule="auto"/>
        <w:rPr>
          <w:rFonts w:ascii="Arial" w:hAnsi="Arial" w:cs="Arial"/>
          <w:sz w:val="20"/>
          <w:szCs w:val="20"/>
        </w:rPr>
      </w:pPr>
      <w:r w:rsidRPr="00096D31">
        <w:rPr>
          <w:rFonts w:ascii="Arial" w:hAnsi="Arial" w:cs="Arial"/>
          <w:sz w:val="20"/>
          <w:szCs w:val="20"/>
        </w:rPr>
        <w:t>Una operación inusual no implica necesariamente la existencia de una actividad ilegal. Existen situaciones legítimas que pueden generar variaciones en el comportamiento financiero habitual del cliente y que, tras un proceso de verificación y análisis, cuentan con una justificación válida. La siguiente infografía presenta los cuatro contextos más frecuentes en los que puede originarse una operación inusual dentro del sistema SARLAFT.</w:t>
      </w:r>
    </w:p>
    <w:p w14:paraId="7BEB887B" w14:textId="05C20429" w:rsidR="00CC027E" w:rsidRPr="000247D5" w:rsidRDefault="000247D5" w:rsidP="0007033F">
      <w:pPr>
        <w:pStyle w:val="NormalWeb"/>
        <w:spacing w:line="276" w:lineRule="auto"/>
        <w:rPr>
          <w:rFonts w:ascii="Arial" w:hAnsi="Arial" w:cs="Arial"/>
          <w:b/>
          <w:bCs/>
          <w:sz w:val="20"/>
          <w:szCs w:val="20"/>
        </w:rPr>
      </w:pPr>
      <w:r w:rsidRPr="000247D5">
        <w:rPr>
          <w:rFonts w:ascii="Arial" w:hAnsi="Arial" w:cs="Arial"/>
          <w:b/>
          <w:bCs/>
          <w:sz w:val="20"/>
          <w:szCs w:val="20"/>
        </w:rPr>
        <w:t>Contextos que originan una operación inusual</w:t>
      </w:r>
    </w:p>
    <w:p w14:paraId="1EAD2EF1" w14:textId="7951F4DE" w:rsidR="00AB28F4" w:rsidRDefault="002471FB" w:rsidP="0007033F">
      <w:pPr>
        <w:pStyle w:val="NormalWeb"/>
        <w:spacing w:line="276" w:lineRule="auto"/>
        <w:rPr>
          <w:rFonts w:ascii="Arial" w:hAnsi="Arial" w:cs="Arial"/>
          <w:sz w:val="20"/>
          <w:szCs w:val="20"/>
        </w:rPr>
      </w:pPr>
      <w:commentRangeStart w:id="5"/>
      <w:r>
        <w:rPr>
          <w:noProof/>
        </w:rPr>
        <w:drawing>
          <wp:inline distT="0" distB="0" distL="0" distR="0" wp14:anchorId="582BD9A4" wp14:editId="47BD72A4">
            <wp:extent cx="4669276" cy="3885840"/>
            <wp:effectExtent l="0" t="0" r="0" b="635"/>
            <wp:docPr id="1453655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55524" name=""/>
                    <pic:cNvPicPr/>
                  </pic:nvPicPr>
                  <pic:blipFill>
                    <a:blip r:embed="rId23"/>
                    <a:stretch>
                      <a:fillRect/>
                    </a:stretch>
                  </pic:blipFill>
                  <pic:spPr>
                    <a:xfrm>
                      <a:off x="0" y="0"/>
                      <a:ext cx="4672974" cy="3888917"/>
                    </a:xfrm>
                    <a:prstGeom prst="rect">
                      <a:avLst/>
                    </a:prstGeom>
                  </pic:spPr>
                </pic:pic>
              </a:graphicData>
            </a:graphic>
          </wp:inline>
        </w:drawing>
      </w:r>
      <w:commentRangeEnd w:id="5"/>
      <w:r w:rsidR="00CC1459">
        <w:rPr>
          <w:rStyle w:val="Refdecomentario"/>
          <w:rFonts w:ascii="Arial" w:hAnsi="Arial" w:cs="Arial"/>
          <w:sz w:val="20"/>
          <w:szCs w:val="20"/>
        </w:rPr>
        <w:commentReference w:id="5"/>
      </w:r>
    </w:p>
    <w:p w14:paraId="61A3797D" w14:textId="77777777" w:rsidR="002471FB" w:rsidRPr="0007033F" w:rsidRDefault="002471FB" w:rsidP="0007033F">
      <w:pPr>
        <w:pStyle w:val="NormalWeb"/>
        <w:spacing w:line="276" w:lineRule="auto"/>
        <w:rPr>
          <w:rFonts w:ascii="Arial" w:hAnsi="Arial" w:cs="Arial"/>
          <w:sz w:val="20"/>
          <w:szCs w:val="20"/>
        </w:rPr>
      </w:pPr>
    </w:p>
    <w:p w14:paraId="693AA95D" w14:textId="77777777" w:rsidR="00856182" w:rsidRDefault="00856182" w:rsidP="00943A82">
      <w:pPr>
        <w:pStyle w:val="NormalWeb"/>
        <w:shd w:val="clear" w:color="auto" w:fill="E5DFEC" w:themeFill="accent4" w:themeFillTint="33"/>
        <w:spacing w:line="276" w:lineRule="auto"/>
        <w:rPr>
          <w:rFonts w:ascii="Arial" w:hAnsi="Arial" w:cs="Arial"/>
          <w:sz w:val="20"/>
          <w:szCs w:val="20"/>
        </w:rPr>
      </w:pPr>
      <w:r w:rsidRPr="0007033F">
        <w:rPr>
          <w:rFonts w:ascii="Arial" w:hAnsi="Arial" w:cs="Arial"/>
          <w:sz w:val="20"/>
          <w:szCs w:val="20"/>
        </w:rPr>
        <w:t>La detección oportuna de operaciones inusuales permite a las organizaciones fortalecer sus mecanismos de control y monitoreo dentro del sistema SARLAFT. A través del análisis de estas transacciones, las entidades pueden identificar posibles riesgos, solicitar información adicional al cliente y adoptar medidas preventivas que contribuyan a evitar el uso indebido del sistema financiero para actividades ilícitas.</w:t>
      </w:r>
    </w:p>
    <w:p w14:paraId="45976183" w14:textId="77777777" w:rsidR="00943A82" w:rsidRDefault="00943A82" w:rsidP="0007033F">
      <w:pPr>
        <w:pStyle w:val="NormalWeb"/>
        <w:spacing w:line="276" w:lineRule="auto"/>
        <w:rPr>
          <w:rFonts w:ascii="Arial" w:hAnsi="Arial" w:cs="Arial"/>
          <w:sz w:val="20"/>
          <w:szCs w:val="20"/>
        </w:rPr>
      </w:pPr>
    </w:p>
    <w:p w14:paraId="56D1BBBD" w14:textId="77777777" w:rsidR="00C13C88" w:rsidRDefault="00C13C88" w:rsidP="0007033F">
      <w:pPr>
        <w:pStyle w:val="NormalWeb"/>
        <w:spacing w:line="276" w:lineRule="auto"/>
        <w:rPr>
          <w:rFonts w:ascii="Arial" w:hAnsi="Arial" w:cs="Arial"/>
          <w:sz w:val="20"/>
          <w:szCs w:val="20"/>
        </w:rPr>
      </w:pPr>
    </w:p>
    <w:p w14:paraId="1C01930E" w14:textId="77777777" w:rsidR="00C13C88" w:rsidRPr="0007033F" w:rsidRDefault="00C13C88" w:rsidP="0007033F">
      <w:pPr>
        <w:pStyle w:val="NormalWeb"/>
        <w:spacing w:line="276" w:lineRule="auto"/>
        <w:rPr>
          <w:rFonts w:ascii="Arial" w:hAnsi="Arial" w:cs="Arial"/>
          <w:sz w:val="20"/>
          <w:szCs w:val="20"/>
        </w:rPr>
      </w:pPr>
    </w:p>
    <w:p w14:paraId="531EC76F" w14:textId="667E0520" w:rsidR="00B03AFE" w:rsidRDefault="00856182" w:rsidP="0007033F">
      <w:pPr>
        <w:pStyle w:val="NormalWeb"/>
        <w:spacing w:line="276" w:lineRule="auto"/>
        <w:rPr>
          <w:rFonts w:ascii="Arial" w:hAnsi="Arial" w:cs="Arial"/>
          <w:sz w:val="20"/>
          <w:szCs w:val="20"/>
        </w:rPr>
      </w:pPr>
      <w:r w:rsidRPr="0007033F">
        <w:rPr>
          <w:rFonts w:ascii="Arial" w:hAnsi="Arial" w:cs="Arial"/>
          <w:sz w:val="20"/>
          <w:szCs w:val="20"/>
        </w:rPr>
        <w:lastRenderedPageBreak/>
        <w:t>Entre algunos ejemplos de operaciones inusuales se encuentran los siguientes:</w:t>
      </w:r>
    </w:p>
    <w:p w14:paraId="2B052813" w14:textId="54D407EE" w:rsidR="00B40E33" w:rsidRPr="00B40E33" w:rsidRDefault="00B40E33" w:rsidP="00B40E33">
      <w:pPr>
        <w:pStyle w:val="Prrafodelista"/>
        <w:numPr>
          <w:ilvl w:val="0"/>
          <w:numId w:val="26"/>
        </w:numPr>
        <w:spacing w:line="240" w:lineRule="auto"/>
        <w:rPr>
          <w:rFonts w:eastAsia="Times New Roman"/>
          <w:sz w:val="20"/>
          <w:szCs w:val="20"/>
          <w:lang w:eastAsia="es-CO"/>
        </w:rPr>
      </w:pPr>
      <w:commentRangeStart w:id="6"/>
      <w:r w:rsidRPr="00B40E33">
        <w:rPr>
          <w:rFonts w:eastAsia="Times New Roman"/>
          <w:b/>
          <w:bCs/>
          <w:sz w:val="20"/>
          <w:szCs w:val="20"/>
          <w:lang w:eastAsia="es-CO"/>
        </w:rPr>
        <w:t>Exceso en el promedio habitual:</w:t>
      </w:r>
      <w:r w:rsidRPr="00B40E33">
        <w:rPr>
          <w:rFonts w:eastAsia="Times New Roman"/>
          <w:sz w:val="20"/>
          <w:szCs w:val="20"/>
          <w:lang w:eastAsia="es-CO"/>
        </w:rPr>
        <w:t xml:space="preserve"> movimientos de dinero que superan de manera significativa el monto promedio de las transacciones registradas en el historial financiero del cliente. </w:t>
      </w:r>
    </w:p>
    <w:p w14:paraId="7FDF1F50" w14:textId="410274CA" w:rsidR="00B40E33" w:rsidRPr="00B40E33" w:rsidRDefault="00B40E33" w:rsidP="00B40E33">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Depósitos o transferencias sin justificación:</w:t>
      </w:r>
      <w:r w:rsidRPr="00B40E33">
        <w:rPr>
          <w:rFonts w:eastAsia="Times New Roman"/>
          <w:sz w:val="20"/>
          <w:szCs w:val="20"/>
          <w:lang w:eastAsia="es-CO"/>
        </w:rPr>
        <w:t xml:space="preserve"> operaciones frecuentes cuyos recursos no tienen una explicación comercial, laboral o personal verificable que respalde su realización. </w:t>
      </w:r>
    </w:p>
    <w:p w14:paraId="2DC14C08" w14:textId="4AF3BBDC" w:rsidR="00B40E33" w:rsidRPr="00B40E33" w:rsidRDefault="00B40E33" w:rsidP="00B40E33">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Inconsistencia con la actividad económica:</w:t>
      </w:r>
      <w:r w:rsidRPr="00B40E33">
        <w:rPr>
          <w:rFonts w:eastAsia="Times New Roman"/>
          <w:sz w:val="20"/>
          <w:szCs w:val="20"/>
          <w:lang w:eastAsia="es-CO"/>
        </w:rPr>
        <w:t xml:space="preserve"> transacciones cuyo monto, frecuencia u origen no corresponden con la actividad económica declarada por el cliente ante la entidad. </w:t>
      </w:r>
    </w:p>
    <w:p w14:paraId="6B8E8E12" w14:textId="6D5E0483" w:rsidR="00B40E33" w:rsidRPr="00B40E33" w:rsidRDefault="00B40E33" w:rsidP="00B40E33">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Movimientos entre múltiples cuentas:</w:t>
      </w:r>
      <w:r w:rsidRPr="00B40E33">
        <w:rPr>
          <w:rFonts w:eastAsia="Times New Roman"/>
          <w:sz w:val="20"/>
          <w:szCs w:val="20"/>
          <w:lang w:eastAsia="es-CO"/>
        </w:rPr>
        <w:t xml:space="preserve"> traslados de dinero entre varias cuentas sin una razón comercial o financiera aparente que justifique la fragmentación de los recursos. </w:t>
      </w:r>
    </w:p>
    <w:p w14:paraId="56ED2719" w14:textId="00A9289D" w:rsidR="00B40E33" w:rsidRPr="00B40E33" w:rsidRDefault="00B40E33" w:rsidP="00B40E33">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Incremento repentino en transacciones:</w:t>
      </w:r>
      <w:r w:rsidRPr="00B40E33">
        <w:rPr>
          <w:rFonts w:eastAsia="Times New Roman"/>
          <w:sz w:val="20"/>
          <w:szCs w:val="20"/>
          <w:lang w:eastAsia="es-CO"/>
        </w:rPr>
        <w:t xml:space="preserve"> aumento súbito en el número o volumen de operaciones realizadas por el cliente sin que exista un cambio verificable en su actividad económica. </w:t>
      </w:r>
    </w:p>
    <w:p w14:paraId="6301CCE9" w14:textId="384D964B" w:rsidR="00B40E33" w:rsidRPr="00B40E33" w:rsidRDefault="00B40E33" w:rsidP="00B40E33">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Transferencias a zonas de alto riesgo:</w:t>
      </w:r>
      <w:r w:rsidRPr="00B40E33">
        <w:rPr>
          <w:rFonts w:eastAsia="Times New Roman"/>
          <w:sz w:val="20"/>
          <w:szCs w:val="20"/>
          <w:lang w:eastAsia="es-CO"/>
        </w:rPr>
        <w:t xml:space="preserve"> envíos de dinero hacia países o jurisdicciones que presentan deficiencias en sus sistemas de prevención del lavado de activos y la financiación del terrorismo. </w:t>
      </w:r>
    </w:p>
    <w:p w14:paraId="543AA8DE" w14:textId="77777777" w:rsidR="002926F8" w:rsidRDefault="00B40E33" w:rsidP="00B40E33">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Uso excesivo de efectivo:</w:t>
      </w:r>
      <w:r w:rsidRPr="00B40E33">
        <w:rPr>
          <w:rFonts w:eastAsia="Times New Roman"/>
          <w:sz w:val="20"/>
          <w:szCs w:val="20"/>
          <w:lang w:eastAsia="es-CO"/>
        </w:rPr>
        <w:t xml:space="preserve"> manejo frecuente de grandes cantidades de dinero en efectivo que no guarda relación con la actividad económica ni con el perfil financiero del cliente. </w:t>
      </w:r>
    </w:p>
    <w:p w14:paraId="63430FDC" w14:textId="2B5E1AE6" w:rsidR="00B03AFE" w:rsidRPr="00B40E33" w:rsidRDefault="00B40E33" w:rsidP="00B40E33">
      <w:pPr>
        <w:pStyle w:val="Prrafodelista"/>
        <w:numPr>
          <w:ilvl w:val="0"/>
          <w:numId w:val="26"/>
        </w:numPr>
        <w:spacing w:line="240" w:lineRule="auto"/>
        <w:rPr>
          <w:rFonts w:eastAsia="Times New Roman"/>
          <w:sz w:val="20"/>
          <w:szCs w:val="20"/>
          <w:lang w:eastAsia="es-CO"/>
        </w:rPr>
      </w:pPr>
      <w:r w:rsidRPr="00B40E33">
        <w:rPr>
          <w:b/>
          <w:bCs/>
          <w:sz w:val="20"/>
          <w:szCs w:val="20"/>
          <w:lang w:eastAsia="es-CO"/>
        </w:rPr>
        <w:t>Operaciones realizadas por terceros:</w:t>
      </w:r>
      <w:r w:rsidRPr="00B40E33">
        <w:rPr>
          <w:sz w:val="20"/>
          <w:szCs w:val="20"/>
          <w:lang w:eastAsia="es-CO"/>
        </w:rPr>
        <w:t xml:space="preserve"> transacciones ejecutadas por personas sin vínculo comercial o familiar verificable con el cliente titular de la cuenta o del producto financiero.</w:t>
      </w:r>
      <w:commentRangeEnd w:id="6"/>
      <w:r w:rsidR="007924C0" w:rsidRPr="00B40E33">
        <w:rPr>
          <w:rStyle w:val="Refdecomentario"/>
          <w:rFonts w:eastAsia="Times New Roman"/>
          <w:sz w:val="20"/>
          <w:szCs w:val="20"/>
          <w:lang w:eastAsia="es-CO"/>
        </w:rPr>
        <w:commentReference w:id="6"/>
      </w:r>
    </w:p>
    <w:p w14:paraId="7169F1C3" w14:textId="6EB71CC6" w:rsidR="002926F8" w:rsidRDefault="00B21B93" w:rsidP="0007033F">
      <w:pPr>
        <w:pStyle w:val="NormalWeb"/>
        <w:spacing w:line="276" w:lineRule="auto"/>
        <w:rPr>
          <w:rFonts w:ascii="Arial" w:hAnsi="Arial" w:cs="Arial"/>
          <w:sz w:val="20"/>
          <w:szCs w:val="20"/>
        </w:rPr>
      </w:pPr>
      <w:r w:rsidRPr="00B21B93">
        <w:rPr>
          <w:rFonts w:ascii="Arial" w:hAnsi="Arial" w:cs="Arial"/>
          <w:sz w:val="20"/>
          <w:szCs w:val="20"/>
        </w:rPr>
        <w:t>Las situaciones descritas no constituyen por sí solas evidencias de actividad ilícita, pero sí representan señales que obligan a la organización a iniciar un proceso de verificación. La detección oportuna de estas transacciones y su análisis riguroso determinan si la operación cuenta con una justificación legítima o si debe ser escalada al siguiente nivel de control dentro del sistema SARLAFT.</w:t>
      </w:r>
    </w:p>
    <w:p w14:paraId="1FDB901A" w14:textId="3326BE69" w:rsidR="002926F8" w:rsidRDefault="00124E10" w:rsidP="0007033F">
      <w:pPr>
        <w:pStyle w:val="NormalWeb"/>
        <w:spacing w:line="276" w:lineRule="auto"/>
        <w:rPr>
          <w:rFonts w:ascii="Arial" w:hAnsi="Arial" w:cs="Arial"/>
          <w:sz w:val="20"/>
          <w:szCs w:val="20"/>
        </w:rPr>
      </w:pPr>
      <w:r w:rsidRPr="00124E10">
        <w:rPr>
          <w:rFonts w:ascii="Arial" w:hAnsi="Arial" w:cs="Arial"/>
          <w:sz w:val="20"/>
          <w:szCs w:val="20"/>
        </w:rPr>
        <w:t>Cuando el proceso de verificación no logra justificar adecuadamente el origen o la finalidad de los recursos involucrados en una operación inusual, esta adquiere una condición de mayor gravedad dentro del sistema de monitoreo. Este es el punto de partida de las operaciones sospechosas, cuyas características, criterios de identificación y obligaciones de reporte se desarrollan en el siguiente apartado.</w:t>
      </w:r>
    </w:p>
    <w:p w14:paraId="3BDDE09E" w14:textId="14ECB6E2" w:rsidR="00856182" w:rsidRPr="0007033F" w:rsidRDefault="00856182" w:rsidP="0007033F">
      <w:pPr>
        <w:pStyle w:val="Normal0"/>
        <w:rPr>
          <w:b/>
          <w:sz w:val="20"/>
          <w:szCs w:val="20"/>
        </w:rPr>
      </w:pPr>
      <w:r w:rsidRPr="00540B2E">
        <w:rPr>
          <w:b/>
          <w:sz w:val="20"/>
          <w:szCs w:val="20"/>
        </w:rPr>
        <w:t>2.3 Operaciones sospechosas</w:t>
      </w:r>
    </w:p>
    <w:p w14:paraId="5D194615" w14:textId="77777777" w:rsidR="00856182" w:rsidRDefault="00856182" w:rsidP="0007033F">
      <w:pPr>
        <w:pStyle w:val="NormalWeb"/>
        <w:spacing w:line="276" w:lineRule="auto"/>
        <w:rPr>
          <w:rFonts w:ascii="Arial" w:hAnsi="Arial" w:cs="Arial"/>
          <w:sz w:val="20"/>
          <w:szCs w:val="20"/>
        </w:rPr>
      </w:pPr>
      <w:r w:rsidRPr="0007033F">
        <w:rPr>
          <w:rFonts w:ascii="Arial" w:hAnsi="Arial" w:cs="Arial"/>
          <w:sz w:val="20"/>
          <w:szCs w:val="20"/>
        </w:rPr>
        <w:t>Las operaciones sospechosas son aquellas transacciones financieras que, después de un proceso de análisis, presentan indicios o características que pueden estar relacionadas con actividades de lavado de activos o financiación del terrorismo. A diferencia de las operaciones inusuales, que inicialmente generan una alerta por apartarse del comportamiento habitual del cliente, las operaciones sospechosas surgen cuando, tras una revisión detallada, no es posible justificar adecuadamente el origen o la finalidad de los recursos involucrados.</w:t>
      </w:r>
    </w:p>
    <w:p w14:paraId="42E4C7A5" w14:textId="3F23058E" w:rsidR="00AA2DB7" w:rsidRDefault="00503497" w:rsidP="0007033F">
      <w:pPr>
        <w:pStyle w:val="NormalWeb"/>
        <w:spacing w:line="276" w:lineRule="auto"/>
        <w:rPr>
          <w:rFonts w:ascii="Arial" w:hAnsi="Arial" w:cs="Arial"/>
          <w:sz w:val="20"/>
          <w:szCs w:val="20"/>
        </w:rPr>
      </w:pPr>
      <w:r w:rsidRPr="00503497">
        <w:rPr>
          <w:rFonts w:ascii="Arial" w:hAnsi="Arial" w:cs="Arial"/>
          <w:sz w:val="20"/>
          <w:szCs w:val="20"/>
        </w:rPr>
        <w:t xml:space="preserve">Una herramienta clave dentro del sistema SARLAFT es la capacidad de distinguir entre una operación inusual y una operación sospechosa, ya que ambos conceptos comparten características </w:t>
      </w:r>
      <w:r w:rsidR="00D729AC" w:rsidRPr="00503497">
        <w:rPr>
          <w:rFonts w:ascii="Arial" w:hAnsi="Arial" w:cs="Arial"/>
          <w:sz w:val="20"/>
          <w:szCs w:val="20"/>
        </w:rPr>
        <w:t>similares,</w:t>
      </w:r>
      <w:r w:rsidRPr="00503497">
        <w:rPr>
          <w:rFonts w:ascii="Arial" w:hAnsi="Arial" w:cs="Arial"/>
          <w:sz w:val="20"/>
          <w:szCs w:val="20"/>
        </w:rPr>
        <w:t xml:space="preserve"> pero implican niveles de riesgo y acciones institucionales diferentes. La siguiente figura presenta esta distinción de manera clara y visual, con el fin de orientar el proceso de análisis y </w:t>
      </w:r>
      <w:r w:rsidR="00D729AC">
        <w:rPr>
          <w:rFonts w:ascii="Arial" w:hAnsi="Arial" w:cs="Arial"/>
          <w:sz w:val="20"/>
          <w:szCs w:val="20"/>
        </w:rPr>
        <w:t xml:space="preserve">la </w:t>
      </w:r>
      <w:r w:rsidRPr="00503497">
        <w:rPr>
          <w:rFonts w:ascii="Arial" w:hAnsi="Arial" w:cs="Arial"/>
          <w:sz w:val="20"/>
          <w:szCs w:val="20"/>
        </w:rPr>
        <w:t>toma de decisiones dentro de las organizaciones.</w:t>
      </w:r>
    </w:p>
    <w:p w14:paraId="45884235" w14:textId="1478B0A7" w:rsidR="00545874" w:rsidRDefault="00E54181" w:rsidP="0007033F">
      <w:pPr>
        <w:pStyle w:val="NormalWeb"/>
        <w:spacing w:line="276" w:lineRule="auto"/>
        <w:rPr>
          <w:rFonts w:ascii="Arial" w:hAnsi="Arial" w:cs="Arial"/>
          <w:sz w:val="20"/>
          <w:szCs w:val="20"/>
        </w:rPr>
      </w:pPr>
      <w:r w:rsidRPr="00E54181">
        <w:rPr>
          <w:rFonts w:ascii="Arial" w:hAnsi="Arial" w:cs="Arial"/>
          <w:b/>
          <w:bCs/>
          <w:sz w:val="20"/>
          <w:szCs w:val="20"/>
        </w:rPr>
        <w:t xml:space="preserve">Figura </w:t>
      </w:r>
      <w:r w:rsidR="00A03DC6">
        <w:rPr>
          <w:rFonts w:ascii="Arial" w:hAnsi="Arial" w:cs="Arial"/>
          <w:b/>
          <w:bCs/>
          <w:sz w:val="20"/>
          <w:szCs w:val="20"/>
        </w:rPr>
        <w:t>2</w:t>
      </w:r>
      <w:r w:rsidRPr="00E54181">
        <w:rPr>
          <w:rFonts w:ascii="Arial" w:hAnsi="Arial" w:cs="Arial"/>
          <w:b/>
          <w:bCs/>
          <w:sz w:val="20"/>
          <w:szCs w:val="20"/>
        </w:rPr>
        <w:t>.</w:t>
      </w:r>
      <w:r>
        <w:rPr>
          <w:rFonts w:ascii="Arial" w:hAnsi="Arial" w:cs="Arial"/>
          <w:sz w:val="20"/>
          <w:szCs w:val="20"/>
        </w:rPr>
        <w:t xml:space="preserve"> </w:t>
      </w:r>
      <w:r w:rsidRPr="00E54181">
        <w:rPr>
          <w:rFonts w:ascii="Arial" w:hAnsi="Arial" w:cs="Arial"/>
          <w:sz w:val="20"/>
          <w:szCs w:val="20"/>
        </w:rPr>
        <w:t>¿Es la operación sospechosa o inusual?</w:t>
      </w:r>
    </w:p>
    <w:p w14:paraId="77D4AB9C" w14:textId="77777777" w:rsidR="00545874" w:rsidRDefault="00545874" w:rsidP="0007033F">
      <w:pPr>
        <w:pStyle w:val="NormalWeb"/>
        <w:spacing w:line="276" w:lineRule="auto"/>
        <w:rPr>
          <w:rFonts w:ascii="Arial" w:hAnsi="Arial" w:cs="Arial"/>
          <w:sz w:val="20"/>
          <w:szCs w:val="20"/>
        </w:rPr>
      </w:pPr>
    </w:p>
    <w:p w14:paraId="0A320DE3" w14:textId="77777777" w:rsidR="00545874" w:rsidRDefault="00545874" w:rsidP="0007033F">
      <w:pPr>
        <w:pStyle w:val="NormalWeb"/>
        <w:spacing w:line="276" w:lineRule="auto"/>
        <w:rPr>
          <w:rFonts w:ascii="Arial" w:hAnsi="Arial" w:cs="Arial"/>
          <w:sz w:val="20"/>
          <w:szCs w:val="20"/>
        </w:rPr>
      </w:pPr>
    </w:p>
    <w:p w14:paraId="1A0E75BA" w14:textId="645C2458" w:rsidR="00AA2DB7" w:rsidRDefault="00AA2DB7" w:rsidP="0007033F">
      <w:pPr>
        <w:pStyle w:val="NormalWeb"/>
        <w:spacing w:line="276" w:lineRule="auto"/>
        <w:rPr>
          <w:rFonts w:ascii="Arial" w:hAnsi="Arial" w:cs="Arial"/>
          <w:sz w:val="20"/>
          <w:szCs w:val="20"/>
        </w:rPr>
      </w:pPr>
      <w:commentRangeStart w:id="7"/>
      <w:r>
        <w:rPr>
          <w:noProof/>
        </w:rPr>
        <w:lastRenderedPageBreak/>
        <w:drawing>
          <wp:inline distT="0" distB="0" distL="0" distR="0" wp14:anchorId="3DEB430C" wp14:editId="513B69EC">
            <wp:extent cx="5097293" cy="2328964"/>
            <wp:effectExtent l="0" t="0" r="8255" b="0"/>
            <wp:docPr id="617437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37148" name=""/>
                    <pic:cNvPicPr/>
                  </pic:nvPicPr>
                  <pic:blipFill rotWithShape="1">
                    <a:blip r:embed="rId24"/>
                    <a:srcRect t="22623" r="-591"/>
                    <a:stretch>
                      <a:fillRect/>
                    </a:stretch>
                  </pic:blipFill>
                  <pic:spPr bwMode="auto">
                    <a:xfrm>
                      <a:off x="0" y="0"/>
                      <a:ext cx="5097293" cy="2328964"/>
                    </a:xfrm>
                    <a:prstGeom prst="rect">
                      <a:avLst/>
                    </a:prstGeom>
                    <a:ln>
                      <a:noFill/>
                    </a:ln>
                    <a:extLst>
                      <a:ext uri="{53640926-AAD7-44D8-BBD7-CCE9431645EC}">
                        <a14:shadowObscured xmlns:a14="http://schemas.microsoft.com/office/drawing/2010/main"/>
                      </a:ext>
                    </a:extLst>
                  </pic:spPr>
                </pic:pic>
              </a:graphicData>
            </a:graphic>
          </wp:inline>
        </w:drawing>
      </w:r>
      <w:commentRangeEnd w:id="7"/>
      <w:r w:rsidR="007E5F82">
        <w:rPr>
          <w:rStyle w:val="Refdecomentario"/>
          <w:rFonts w:ascii="Arial" w:hAnsi="Arial" w:cs="Arial"/>
          <w:sz w:val="20"/>
          <w:szCs w:val="20"/>
        </w:rPr>
        <w:commentReference w:id="7"/>
      </w:r>
    </w:p>
    <w:p w14:paraId="2DA26886" w14:textId="77777777" w:rsidR="00856182" w:rsidRPr="0007033F" w:rsidRDefault="00856182" w:rsidP="0007033F">
      <w:pPr>
        <w:pStyle w:val="NormalWeb"/>
        <w:spacing w:line="276" w:lineRule="auto"/>
        <w:rPr>
          <w:rFonts w:ascii="Arial" w:hAnsi="Arial" w:cs="Arial"/>
          <w:sz w:val="20"/>
          <w:szCs w:val="20"/>
        </w:rPr>
      </w:pPr>
      <w:r w:rsidRPr="0007033F">
        <w:rPr>
          <w:rFonts w:ascii="Arial" w:hAnsi="Arial" w:cs="Arial"/>
          <w:sz w:val="20"/>
          <w:szCs w:val="20"/>
        </w:rPr>
        <w:t>Dentro del sistema SARLAFT, la identificación de operaciones sospechosas constituye un elemento clave para la prevención de actividades ilícitas dentro del sistema financiero. Cuando una organización detecta este tipo de transacciones, debe aplicar procedimientos internos de análisis y documentación que permitan evaluar la naturaleza de la operación y determinar si existen elementos suficientes para considerarla sospechosa.</w:t>
      </w:r>
    </w:p>
    <w:p w14:paraId="4A90AECD" w14:textId="77777777" w:rsidR="00856182" w:rsidRPr="0007033F" w:rsidRDefault="00856182" w:rsidP="0034469F">
      <w:pPr>
        <w:pStyle w:val="NormalWeb"/>
        <w:shd w:val="clear" w:color="auto" w:fill="DDD9C3" w:themeFill="background2" w:themeFillShade="E6"/>
        <w:spacing w:line="276" w:lineRule="auto"/>
        <w:rPr>
          <w:rFonts w:ascii="Arial" w:hAnsi="Arial" w:cs="Arial"/>
          <w:sz w:val="20"/>
          <w:szCs w:val="20"/>
        </w:rPr>
      </w:pPr>
      <w:r w:rsidRPr="0007033F">
        <w:rPr>
          <w:rFonts w:ascii="Arial" w:hAnsi="Arial" w:cs="Arial"/>
          <w:sz w:val="20"/>
          <w:szCs w:val="20"/>
        </w:rPr>
        <w:t>Asimismo, cuando una operación es clasificada como sospechosa, la entidad tiene la obligación de reportarla a las autoridades competentes a través de los mecanismos establecidos por la normativa vigente. En el caso de Colombia, este reporte se realiza a la Unidad de Información y Análisis Financiero (UIAF), entidad encargada de recibir, analizar y procesar información relacionada con posibles actividades de lavado de activos y financiación del terrorismo.</w:t>
      </w:r>
    </w:p>
    <w:p w14:paraId="2B8ECB4F" w14:textId="77777777" w:rsidR="00856182" w:rsidRPr="0007033F" w:rsidRDefault="00856182" w:rsidP="0007033F">
      <w:pPr>
        <w:pStyle w:val="NormalWeb"/>
        <w:spacing w:line="276" w:lineRule="auto"/>
        <w:rPr>
          <w:rFonts w:ascii="Arial" w:hAnsi="Arial" w:cs="Arial"/>
          <w:sz w:val="20"/>
          <w:szCs w:val="20"/>
        </w:rPr>
      </w:pPr>
      <w:r w:rsidRPr="0007033F">
        <w:rPr>
          <w:rFonts w:ascii="Arial" w:hAnsi="Arial" w:cs="Arial"/>
          <w:sz w:val="20"/>
          <w:szCs w:val="20"/>
        </w:rPr>
        <w:t>La identificación y reporte de operaciones sospechosas permite fortalecer los mecanismos de control dentro del sistema financiero y contribuye a la lucha contra el crimen organizado. A través de estos procesos, las organizaciones colaboran con las autoridades en la detección de actividades ilícitas, protegen la integridad de sus operaciones y promueven la transparencia en el manejo de los recursos financieros.</w:t>
      </w:r>
    </w:p>
    <w:p w14:paraId="201A7190" w14:textId="77777777" w:rsidR="00856182" w:rsidRPr="0007033F" w:rsidRDefault="00856182" w:rsidP="0007033F">
      <w:pPr>
        <w:pStyle w:val="NormalWeb"/>
        <w:spacing w:line="276" w:lineRule="auto"/>
        <w:rPr>
          <w:rFonts w:ascii="Arial" w:hAnsi="Arial" w:cs="Arial"/>
          <w:sz w:val="20"/>
          <w:szCs w:val="20"/>
        </w:rPr>
      </w:pPr>
      <w:r w:rsidRPr="0007033F">
        <w:rPr>
          <w:rFonts w:ascii="Arial" w:hAnsi="Arial" w:cs="Arial"/>
          <w:sz w:val="20"/>
          <w:szCs w:val="20"/>
        </w:rPr>
        <w:t>Entre algunos ejemplos de operaciones sospechosas se encuentran los siguientes:</w:t>
      </w:r>
    </w:p>
    <w:p w14:paraId="31836F50" w14:textId="77777777" w:rsidR="00856182" w:rsidRPr="0007033F" w:rsidRDefault="00856182" w:rsidP="00C14539">
      <w:pPr>
        <w:pStyle w:val="NormalWeb"/>
        <w:numPr>
          <w:ilvl w:val="0"/>
          <w:numId w:val="6"/>
        </w:numPr>
        <w:spacing w:line="276" w:lineRule="auto"/>
        <w:rPr>
          <w:rFonts w:ascii="Arial" w:hAnsi="Arial" w:cs="Arial"/>
          <w:sz w:val="20"/>
          <w:szCs w:val="20"/>
        </w:rPr>
      </w:pPr>
      <w:commentRangeStart w:id="8"/>
      <w:r w:rsidRPr="0007033F">
        <w:rPr>
          <w:rFonts w:ascii="Arial" w:hAnsi="Arial" w:cs="Arial"/>
          <w:sz w:val="20"/>
          <w:szCs w:val="20"/>
        </w:rPr>
        <w:t>Transacciones que no tienen una justificación económica o legal clara.</w:t>
      </w:r>
    </w:p>
    <w:p w14:paraId="1A522D47" w14:textId="77777777" w:rsidR="00856182" w:rsidRPr="0007033F" w:rsidRDefault="00856182" w:rsidP="00C14539">
      <w:pPr>
        <w:pStyle w:val="NormalWeb"/>
        <w:numPr>
          <w:ilvl w:val="0"/>
          <w:numId w:val="6"/>
        </w:numPr>
        <w:spacing w:line="276" w:lineRule="auto"/>
        <w:rPr>
          <w:rFonts w:ascii="Arial" w:hAnsi="Arial" w:cs="Arial"/>
          <w:sz w:val="20"/>
          <w:szCs w:val="20"/>
        </w:rPr>
      </w:pPr>
      <w:r w:rsidRPr="0007033F">
        <w:rPr>
          <w:rFonts w:ascii="Arial" w:hAnsi="Arial" w:cs="Arial"/>
          <w:sz w:val="20"/>
          <w:szCs w:val="20"/>
        </w:rPr>
        <w:t>Movimientos de grandes sumas de dinero sin relación con la actividad económica del cliente.</w:t>
      </w:r>
    </w:p>
    <w:p w14:paraId="5D9FAEC5" w14:textId="77777777" w:rsidR="00856182" w:rsidRPr="0007033F" w:rsidRDefault="00856182" w:rsidP="00C14539">
      <w:pPr>
        <w:pStyle w:val="NormalWeb"/>
        <w:numPr>
          <w:ilvl w:val="0"/>
          <w:numId w:val="6"/>
        </w:numPr>
        <w:spacing w:line="276" w:lineRule="auto"/>
        <w:rPr>
          <w:rFonts w:ascii="Arial" w:hAnsi="Arial" w:cs="Arial"/>
          <w:sz w:val="20"/>
          <w:szCs w:val="20"/>
        </w:rPr>
      </w:pPr>
      <w:r w:rsidRPr="0007033F">
        <w:rPr>
          <w:rFonts w:ascii="Arial" w:hAnsi="Arial" w:cs="Arial"/>
          <w:sz w:val="20"/>
          <w:szCs w:val="20"/>
        </w:rPr>
        <w:t>Operaciones realizadas con el objetivo aparente de evitar controles o reportes regulatorios.</w:t>
      </w:r>
    </w:p>
    <w:p w14:paraId="52009B53" w14:textId="77777777" w:rsidR="00856182" w:rsidRPr="0007033F" w:rsidRDefault="00856182" w:rsidP="00C14539">
      <w:pPr>
        <w:pStyle w:val="NormalWeb"/>
        <w:numPr>
          <w:ilvl w:val="0"/>
          <w:numId w:val="6"/>
        </w:numPr>
        <w:spacing w:line="276" w:lineRule="auto"/>
        <w:rPr>
          <w:rFonts w:ascii="Arial" w:hAnsi="Arial" w:cs="Arial"/>
          <w:sz w:val="20"/>
          <w:szCs w:val="20"/>
        </w:rPr>
      </w:pPr>
      <w:r w:rsidRPr="0007033F">
        <w:rPr>
          <w:rFonts w:ascii="Arial" w:hAnsi="Arial" w:cs="Arial"/>
          <w:sz w:val="20"/>
          <w:szCs w:val="20"/>
        </w:rPr>
        <w:t>Transferencias frecuentes entre cuentas con el propósito de ocultar el origen de los recursos.</w:t>
      </w:r>
    </w:p>
    <w:p w14:paraId="7C539E3C" w14:textId="77777777" w:rsidR="00856182" w:rsidRPr="0007033F" w:rsidRDefault="00856182" w:rsidP="00C14539">
      <w:pPr>
        <w:pStyle w:val="NormalWeb"/>
        <w:numPr>
          <w:ilvl w:val="0"/>
          <w:numId w:val="6"/>
        </w:numPr>
        <w:spacing w:line="276" w:lineRule="auto"/>
        <w:rPr>
          <w:rFonts w:ascii="Arial" w:hAnsi="Arial" w:cs="Arial"/>
          <w:sz w:val="20"/>
          <w:szCs w:val="20"/>
        </w:rPr>
      </w:pPr>
      <w:r w:rsidRPr="0007033F">
        <w:rPr>
          <w:rFonts w:ascii="Arial" w:hAnsi="Arial" w:cs="Arial"/>
          <w:sz w:val="20"/>
          <w:szCs w:val="20"/>
        </w:rPr>
        <w:t>Uso de intermediarios o terceros sin una razón clara para realizar transacciones financieras.</w:t>
      </w:r>
    </w:p>
    <w:p w14:paraId="2EEA50E5" w14:textId="77777777" w:rsidR="00856182" w:rsidRPr="0007033F" w:rsidRDefault="00856182" w:rsidP="00C14539">
      <w:pPr>
        <w:pStyle w:val="NormalWeb"/>
        <w:numPr>
          <w:ilvl w:val="0"/>
          <w:numId w:val="6"/>
        </w:numPr>
        <w:spacing w:line="276" w:lineRule="auto"/>
        <w:rPr>
          <w:rFonts w:ascii="Arial" w:hAnsi="Arial" w:cs="Arial"/>
          <w:sz w:val="20"/>
          <w:szCs w:val="20"/>
        </w:rPr>
      </w:pPr>
      <w:r w:rsidRPr="0007033F">
        <w:rPr>
          <w:rFonts w:ascii="Arial" w:hAnsi="Arial" w:cs="Arial"/>
          <w:sz w:val="20"/>
          <w:szCs w:val="20"/>
        </w:rPr>
        <w:t>Movimientos financieros vinculados con personas o entidades investigadas por actividades ilícitas.</w:t>
      </w:r>
    </w:p>
    <w:p w14:paraId="6E2E26A6" w14:textId="77777777" w:rsidR="00856182" w:rsidRPr="0007033F" w:rsidRDefault="00856182" w:rsidP="00C14539">
      <w:pPr>
        <w:pStyle w:val="NormalWeb"/>
        <w:numPr>
          <w:ilvl w:val="0"/>
          <w:numId w:val="6"/>
        </w:numPr>
        <w:spacing w:line="276" w:lineRule="auto"/>
        <w:rPr>
          <w:rFonts w:ascii="Arial" w:hAnsi="Arial" w:cs="Arial"/>
          <w:sz w:val="20"/>
          <w:szCs w:val="20"/>
        </w:rPr>
      </w:pPr>
      <w:r w:rsidRPr="0007033F">
        <w:rPr>
          <w:rFonts w:ascii="Arial" w:hAnsi="Arial" w:cs="Arial"/>
          <w:sz w:val="20"/>
          <w:szCs w:val="20"/>
        </w:rPr>
        <w:t>Depósitos o retiros de grandes cantidades de dinero en efectivo sin explicación válida.</w:t>
      </w:r>
    </w:p>
    <w:p w14:paraId="7B8D96C0" w14:textId="77777777" w:rsidR="00856182" w:rsidRPr="0007033F" w:rsidRDefault="00856182" w:rsidP="00C14539">
      <w:pPr>
        <w:pStyle w:val="NormalWeb"/>
        <w:numPr>
          <w:ilvl w:val="0"/>
          <w:numId w:val="6"/>
        </w:numPr>
        <w:spacing w:line="276" w:lineRule="auto"/>
        <w:rPr>
          <w:rFonts w:ascii="Arial" w:hAnsi="Arial" w:cs="Arial"/>
          <w:sz w:val="20"/>
          <w:szCs w:val="20"/>
        </w:rPr>
      </w:pPr>
      <w:r w:rsidRPr="0007033F">
        <w:rPr>
          <w:rFonts w:ascii="Arial" w:hAnsi="Arial" w:cs="Arial"/>
          <w:sz w:val="20"/>
          <w:szCs w:val="20"/>
        </w:rPr>
        <w:t>Operaciones que presentan estructuras complejas destinadas a dificultar el seguimiento del dinero.</w:t>
      </w:r>
      <w:commentRangeEnd w:id="8"/>
      <w:r w:rsidR="004A15DA" w:rsidRPr="0007033F">
        <w:rPr>
          <w:rStyle w:val="Refdecomentario"/>
          <w:rFonts w:ascii="Arial" w:hAnsi="Arial" w:cs="Arial"/>
          <w:sz w:val="20"/>
          <w:szCs w:val="20"/>
        </w:rPr>
        <w:commentReference w:id="8"/>
      </w:r>
    </w:p>
    <w:p w14:paraId="08E42E52" w14:textId="41254F8F" w:rsidR="00C11330" w:rsidRDefault="00C11330" w:rsidP="0007033F">
      <w:pPr>
        <w:pStyle w:val="Normal0"/>
        <w:rPr>
          <w:bCs/>
          <w:sz w:val="20"/>
          <w:szCs w:val="20"/>
        </w:rPr>
      </w:pPr>
      <w:r w:rsidRPr="00C11330">
        <w:rPr>
          <w:bCs/>
          <w:sz w:val="20"/>
          <w:szCs w:val="20"/>
        </w:rPr>
        <w:t>Las situaciones descritas activan la obligación normativa de elaborar y enviar el Reporte de Operaciones Sospechosas (ROS) a la Unidad de Información y Análisis Financiero (UIAF), sin que sea necesario tener certeza absoluta sobre la actividad ilícita, sino indicios razonables que justifiquen el reporte. Este mecanismo protege a las organizaciones frente a riesgos legales y reputacionales, y contribuye al fortalecimiento del sistema de control financiero en Colombia.</w:t>
      </w:r>
    </w:p>
    <w:p w14:paraId="40D87B08" w14:textId="77777777" w:rsidR="00F76688" w:rsidRDefault="00F76688" w:rsidP="0007033F">
      <w:pPr>
        <w:pStyle w:val="Normal0"/>
        <w:rPr>
          <w:bCs/>
          <w:sz w:val="20"/>
          <w:szCs w:val="20"/>
        </w:rPr>
      </w:pPr>
    </w:p>
    <w:p w14:paraId="08CD494D" w14:textId="592E1923" w:rsidR="00F76688" w:rsidRPr="00C11330" w:rsidRDefault="00F76688" w:rsidP="0007033F">
      <w:pPr>
        <w:pStyle w:val="Normal0"/>
        <w:rPr>
          <w:bCs/>
          <w:sz w:val="20"/>
          <w:szCs w:val="20"/>
        </w:rPr>
      </w:pPr>
      <w:r w:rsidRPr="00F76688">
        <w:rPr>
          <w:bCs/>
          <w:sz w:val="20"/>
          <w:szCs w:val="20"/>
        </w:rPr>
        <w:lastRenderedPageBreak/>
        <w:t>La detección de operaciones sospechosas depende, en gran medida, de la capacidad de las organizaciones para reconocer con anticipación los indicadores que alertan sobre un posible riesgo. Estos indicadores, conocidos como señales de alerta, constituyen el primer eslabón en la cadena de control del sistema SARLAFT y se describen</w:t>
      </w:r>
      <w:r>
        <w:rPr>
          <w:bCs/>
          <w:sz w:val="20"/>
          <w:szCs w:val="20"/>
        </w:rPr>
        <w:t xml:space="preserve"> </w:t>
      </w:r>
      <w:r w:rsidR="00C4600C">
        <w:rPr>
          <w:bCs/>
          <w:sz w:val="20"/>
          <w:szCs w:val="20"/>
        </w:rPr>
        <w:t xml:space="preserve">a continuación. </w:t>
      </w:r>
    </w:p>
    <w:p w14:paraId="77B358CB" w14:textId="77777777" w:rsidR="00C11330" w:rsidRPr="0007033F" w:rsidRDefault="00C11330" w:rsidP="0007033F">
      <w:pPr>
        <w:pStyle w:val="Normal0"/>
        <w:rPr>
          <w:b/>
          <w:sz w:val="20"/>
          <w:szCs w:val="20"/>
        </w:rPr>
      </w:pPr>
    </w:p>
    <w:p w14:paraId="7569328B" w14:textId="03BCDF97" w:rsidR="0050514F" w:rsidRPr="0007033F" w:rsidRDefault="00856182" w:rsidP="0007033F">
      <w:pPr>
        <w:pStyle w:val="Normal0"/>
        <w:rPr>
          <w:b/>
          <w:sz w:val="20"/>
          <w:szCs w:val="20"/>
        </w:rPr>
      </w:pPr>
      <w:r w:rsidRPr="0007033F">
        <w:rPr>
          <w:b/>
          <w:sz w:val="20"/>
          <w:szCs w:val="20"/>
        </w:rPr>
        <w:t>2.4 Señales de alerta en las transacciones financieras</w:t>
      </w:r>
    </w:p>
    <w:p w14:paraId="57DB937F" w14:textId="77777777" w:rsidR="00856182" w:rsidRPr="0007033F" w:rsidRDefault="00856182" w:rsidP="0007033F">
      <w:pPr>
        <w:pStyle w:val="NormalWeb"/>
        <w:spacing w:line="276" w:lineRule="auto"/>
        <w:rPr>
          <w:rFonts w:ascii="Arial" w:hAnsi="Arial" w:cs="Arial"/>
          <w:sz w:val="20"/>
          <w:szCs w:val="20"/>
          <w:lang w:eastAsia="es-CO"/>
        </w:rPr>
      </w:pPr>
      <w:r w:rsidRPr="0007033F">
        <w:rPr>
          <w:rFonts w:ascii="Arial" w:hAnsi="Arial" w:cs="Arial"/>
          <w:sz w:val="20"/>
          <w:szCs w:val="20"/>
        </w:rPr>
        <w:t>Las señales de alerta en las transacciones financieras son indicadores o comportamientos que pueden evidenciar posibles riesgos relacionados con el lavado de activos o la financiación del terrorismo. Estas señales permiten a las organizaciones identificar situaciones que se apartan del comportamiento financiero habitual de los clientes y que pueden requerir un análisis más detallado dentro del sistema SARLAFT.</w:t>
      </w:r>
    </w:p>
    <w:p w14:paraId="1DB6490E" w14:textId="5086503F" w:rsidR="00856182" w:rsidRPr="0007033F" w:rsidRDefault="00D87526" w:rsidP="006B4AAC">
      <w:pPr>
        <w:pStyle w:val="NormalWeb"/>
        <w:shd w:val="clear" w:color="auto" w:fill="D6E3BC" w:themeFill="accent3" w:themeFillTint="66"/>
        <w:spacing w:line="276"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4384" behindDoc="0" locked="0" layoutInCell="1" allowOverlap="1" wp14:anchorId="4BC15E8C" wp14:editId="3B03B8A6">
                <wp:simplePos x="0" y="0"/>
                <wp:positionH relativeFrom="column">
                  <wp:posOffset>165127</wp:posOffset>
                </wp:positionH>
                <wp:positionV relativeFrom="paragraph">
                  <wp:posOffset>814664</wp:posOffset>
                </wp:positionV>
                <wp:extent cx="4961106" cy="904673"/>
                <wp:effectExtent l="57150" t="38100" r="68580" b="86360"/>
                <wp:wrapNone/>
                <wp:docPr id="1170053652" name="Rectángulo: esquinas redondeadas 14"/>
                <wp:cNvGraphicFramePr/>
                <a:graphic xmlns:a="http://schemas.openxmlformats.org/drawingml/2006/main">
                  <a:graphicData uri="http://schemas.microsoft.com/office/word/2010/wordprocessingShape">
                    <wps:wsp>
                      <wps:cNvSpPr/>
                      <wps:spPr>
                        <a:xfrm>
                          <a:off x="0" y="0"/>
                          <a:ext cx="4961106" cy="904673"/>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43D41A5A" w14:textId="4B9B3CF5" w:rsidR="00D87526" w:rsidRPr="00D87526" w:rsidRDefault="00D87526" w:rsidP="00D87526">
                            <w:pPr>
                              <w:jc w:val="center"/>
                              <w:rPr>
                                <w:sz w:val="20"/>
                                <w:szCs w:val="20"/>
                              </w:rPr>
                            </w:pPr>
                            <w:r w:rsidRPr="00D87526">
                              <w:rPr>
                                <w:sz w:val="20"/>
                                <w:szCs w:val="20"/>
                              </w:rPr>
                              <w:t>Una señal de alerta no equivale a una actividad ilícita</w:t>
                            </w:r>
                            <w:r w:rsidR="00685C2C">
                              <w:rPr>
                                <w:sz w:val="20"/>
                                <w:szCs w:val="20"/>
                              </w:rPr>
                              <w:t xml:space="preserve">, </w:t>
                            </w:r>
                            <w:r w:rsidRPr="00D87526">
                              <w:rPr>
                                <w:sz w:val="20"/>
                                <w:szCs w:val="20"/>
                              </w:rPr>
                              <w:t>es un indicador que activa el proceso de verificación y análisis dentro de la organización.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C15E8C" id="Rectángulo: esquinas redondeadas 14" o:spid="_x0000_s1029" style="position:absolute;margin-left:13pt;margin-top:64.15pt;width:390.65pt;height:71.2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" fillcolor="#bfb1d0 [1623]" strokecolor="#795d9b [3047]">
                <v:fill color2="#ece7f1 [503]" rotate="t" angle="180" colors="0 #c9b5e8;22938f #d9cbee;1 #f0eaf9" focus="100%" type="gradient"/>
                <v:shadow on="t" color="black" opacity="24903f" origin=",.5" offset="0,.55556mm"/>
                <v:textbox>
                  <w:txbxContent>
                    <w:p w14:paraId="43D41A5A" w14:textId="4B9B3CF5" w:rsidR="00D87526" w:rsidRPr="00D87526" w:rsidRDefault="00D87526" w:rsidP="00D87526">
                      <w:pPr>
                        <w:jc w:val="center"/>
                        <w:rPr>
                          <w:sz w:val="20"/>
                          <w:szCs w:val="20"/>
                        </w:rPr>
                      </w:pPr>
                      <w:r w:rsidRPr="00D87526">
                        <w:rPr>
                          <w:sz w:val="20"/>
                          <w:szCs w:val="20"/>
                        </w:rPr>
                        <w:t>Una señal de alerta no equivale a una actividad ilícita</w:t>
                      </w:r>
                      <w:r w:rsidR="00685C2C">
                        <w:rPr>
                          <w:sz w:val="20"/>
                          <w:szCs w:val="20"/>
                        </w:rPr>
                        <w:t xml:space="preserve">, </w:t>
                      </w:r>
                      <w:r w:rsidRPr="00D87526">
                        <w:rPr>
                          <w:sz w:val="20"/>
                          <w:szCs w:val="20"/>
                        </w:rPr>
                        <w:t>es un indicador que activa el proceso de verificación y análisis dentro de la organización.</w:t>
                      </w:r>
                    </w:p>
                  </w:txbxContent>
                </v:textbox>
              </v:roundrect>
            </w:pict>
          </mc:Fallback>
        </mc:AlternateContent>
      </w:r>
      <w:r w:rsidR="00856182" w:rsidRPr="0007033F">
        <w:rPr>
          <w:rFonts w:ascii="Arial" w:hAnsi="Arial" w:cs="Arial"/>
          <w:sz w:val="20"/>
          <w:szCs w:val="20"/>
        </w:rPr>
        <w:t>En el proceso de monitoreo de operaciones financieras, las entidades deben establecer mecanismos que faciliten la detección de estas señales de alerta. Dichos mecanismos pueden incluir sistemas de monitoreo automatizado, análisis de patrones de comportamiento financiero y revisión de transacciones que presenten características atípicas o inconsistentes con el perfil del cliente.</w:t>
      </w:r>
    </w:p>
    <w:p w14:paraId="232B1F39" w14:textId="77777777" w:rsidR="00D87526" w:rsidRDefault="00D87526" w:rsidP="0007033F">
      <w:pPr>
        <w:pStyle w:val="NormalWeb"/>
        <w:spacing w:line="276" w:lineRule="auto"/>
        <w:rPr>
          <w:rFonts w:ascii="Arial" w:hAnsi="Arial" w:cs="Arial"/>
          <w:color w:val="C0504D" w:themeColor="accent2"/>
          <w:sz w:val="20"/>
          <w:szCs w:val="20"/>
        </w:rPr>
      </w:pPr>
    </w:p>
    <w:p w14:paraId="2EE2C10C" w14:textId="77777777" w:rsidR="00D87526" w:rsidRDefault="00D87526" w:rsidP="0007033F">
      <w:pPr>
        <w:pStyle w:val="NormalWeb"/>
        <w:spacing w:line="276" w:lineRule="auto"/>
        <w:rPr>
          <w:rFonts w:ascii="Arial" w:hAnsi="Arial" w:cs="Arial"/>
          <w:color w:val="C0504D" w:themeColor="accent2"/>
          <w:sz w:val="20"/>
          <w:szCs w:val="20"/>
        </w:rPr>
      </w:pPr>
    </w:p>
    <w:p w14:paraId="0B304C4A" w14:textId="77777777" w:rsidR="00D87526" w:rsidRDefault="00D87526" w:rsidP="0007033F">
      <w:pPr>
        <w:pStyle w:val="NormalWeb"/>
        <w:spacing w:line="276" w:lineRule="auto"/>
        <w:rPr>
          <w:rFonts w:ascii="Arial" w:hAnsi="Arial" w:cs="Arial"/>
          <w:color w:val="C0504D" w:themeColor="accent2"/>
          <w:sz w:val="20"/>
          <w:szCs w:val="20"/>
        </w:rPr>
      </w:pPr>
    </w:p>
    <w:p w14:paraId="751D505C" w14:textId="539B1313" w:rsidR="00856182" w:rsidRPr="0007033F" w:rsidRDefault="00856182" w:rsidP="0007033F">
      <w:pPr>
        <w:pStyle w:val="NormalWeb"/>
        <w:spacing w:line="276" w:lineRule="auto"/>
        <w:rPr>
          <w:rFonts w:ascii="Arial" w:hAnsi="Arial" w:cs="Arial"/>
          <w:sz w:val="20"/>
          <w:szCs w:val="20"/>
        </w:rPr>
      </w:pPr>
      <w:r w:rsidRPr="0007033F">
        <w:rPr>
          <w:rFonts w:ascii="Arial" w:hAnsi="Arial" w:cs="Arial"/>
          <w:sz w:val="20"/>
          <w:szCs w:val="20"/>
        </w:rPr>
        <w:t>En muchos casos, estas situaciones pueden tener explicaciones legítimas relacionadas con cambios en la actividad económica del cliente o con operaciones extraordinarias. Sin embargo, cuando se identifican estas señales, las organizaciones deben realizar procesos de verificación y análisis que permitan determinar la naturaleza de la transacción.</w:t>
      </w:r>
    </w:p>
    <w:p w14:paraId="00A0D50F" w14:textId="77777777" w:rsidR="00856182" w:rsidRPr="0007033F" w:rsidRDefault="00856182" w:rsidP="0007033F">
      <w:pPr>
        <w:pStyle w:val="NormalWeb"/>
        <w:spacing w:line="276" w:lineRule="auto"/>
        <w:rPr>
          <w:rFonts w:ascii="Arial" w:hAnsi="Arial" w:cs="Arial"/>
          <w:sz w:val="20"/>
          <w:szCs w:val="20"/>
        </w:rPr>
      </w:pPr>
      <w:r w:rsidRPr="0007033F">
        <w:rPr>
          <w:rFonts w:ascii="Arial" w:hAnsi="Arial" w:cs="Arial"/>
          <w:sz w:val="20"/>
          <w:szCs w:val="20"/>
        </w:rPr>
        <w:t>La identificación oportuna de señales de alerta contribuye al fortalecimiento de los mecanismos de control dentro de las organizaciones y facilita la detección temprana de posibles riesgos asociados al lavado de activos y la financiación del terrorismo. A través del análisis de estas señales, las entidades pueden adoptar medidas preventivas, solicitar información adicional a los clientes y, cuando sea necesario, reportar operaciones sospechosas a las autoridades competentes.</w:t>
      </w:r>
    </w:p>
    <w:p w14:paraId="351A48D6" w14:textId="77777777" w:rsidR="00856182" w:rsidRDefault="00856182" w:rsidP="0007033F">
      <w:pPr>
        <w:pStyle w:val="NormalWeb"/>
        <w:spacing w:line="276" w:lineRule="auto"/>
        <w:rPr>
          <w:rFonts w:ascii="Arial" w:hAnsi="Arial" w:cs="Arial"/>
          <w:sz w:val="20"/>
          <w:szCs w:val="20"/>
        </w:rPr>
      </w:pPr>
      <w:r w:rsidRPr="0007033F">
        <w:rPr>
          <w:rFonts w:ascii="Arial" w:hAnsi="Arial" w:cs="Arial"/>
          <w:sz w:val="20"/>
          <w:szCs w:val="20"/>
        </w:rPr>
        <w:t>Entre algunas de las principales señales de alerta en las transacciones financieras se encuentran las siguientes:</w:t>
      </w:r>
    </w:p>
    <w:p w14:paraId="12456FD4" w14:textId="0F769FBD" w:rsidR="00FE5973" w:rsidRPr="00FE5973" w:rsidRDefault="00FE5973" w:rsidP="00FE5973">
      <w:pPr>
        <w:pStyle w:val="NormalWeb"/>
        <w:numPr>
          <w:ilvl w:val="0"/>
          <w:numId w:val="27"/>
        </w:numPr>
        <w:spacing w:line="276" w:lineRule="auto"/>
        <w:rPr>
          <w:rFonts w:ascii="Arial" w:hAnsi="Arial" w:cs="Arial"/>
          <w:sz w:val="20"/>
          <w:szCs w:val="20"/>
        </w:rPr>
      </w:pPr>
      <w:commentRangeStart w:id="9"/>
      <w:r w:rsidRPr="00FE5973">
        <w:rPr>
          <w:rFonts w:ascii="Arial" w:hAnsi="Arial" w:cs="Arial"/>
          <w:b/>
          <w:bCs/>
          <w:sz w:val="20"/>
          <w:szCs w:val="20"/>
        </w:rPr>
        <w:t>Movimientos inconsistentes con el perfil:</w:t>
      </w:r>
      <w:r w:rsidRPr="00FE5973">
        <w:rPr>
          <w:rFonts w:ascii="Arial" w:hAnsi="Arial" w:cs="Arial"/>
          <w:sz w:val="20"/>
          <w:szCs w:val="20"/>
        </w:rPr>
        <w:t xml:space="preserve"> transacciones cuyo monto u origen no corresponden con la actividad económica declarada por el cliente. Ejemplo: depósitos diarios en efectivo por parte de un cliente que declaró ser empleado con ingresos fijos mensuales. </w:t>
      </w:r>
    </w:p>
    <w:p w14:paraId="0CDFD22A" w14:textId="59F6D061" w:rsidR="00FE5973" w:rsidRPr="00FE5973" w:rsidRDefault="00FE5973" w:rsidP="00FE5973">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Incremento repentino de transacciones:</w:t>
      </w:r>
      <w:r w:rsidRPr="00FE5973">
        <w:rPr>
          <w:rFonts w:ascii="Arial" w:hAnsi="Arial" w:cs="Arial"/>
          <w:sz w:val="20"/>
          <w:szCs w:val="20"/>
        </w:rPr>
        <w:t xml:space="preserve"> aumento súbito en el número o volumen de operaciones sin que exista un cambio verificable en la actividad económica del cliente. Ejemplo: cliente que pasa de realizar dos transacciones mensuales a veinte en una semana. </w:t>
      </w:r>
    </w:p>
    <w:p w14:paraId="018E46F0" w14:textId="14771EC7" w:rsidR="00FE5973" w:rsidRPr="00FE5973" w:rsidRDefault="00FE5973" w:rsidP="00FE5973">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Uso excesivo de efectivo:</w:t>
      </w:r>
      <w:r w:rsidRPr="00FE5973">
        <w:rPr>
          <w:rFonts w:ascii="Arial" w:hAnsi="Arial" w:cs="Arial"/>
          <w:sz w:val="20"/>
          <w:szCs w:val="20"/>
        </w:rPr>
        <w:t xml:space="preserve"> manejo frecuente de grandes sumas en efectivo que no guardan relación con el perfil financiero ni con la actividad económica habitual del cliente. Ejemplo: comerciante que deposita diariamente montos elevados en efectivo sin soporte de ventas. </w:t>
      </w:r>
    </w:p>
    <w:p w14:paraId="4A442912" w14:textId="1AE55DE1" w:rsidR="00FE5973" w:rsidRPr="00FE5973" w:rsidRDefault="00FE5973" w:rsidP="00FE5973">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Transferencias a zonas de alto riesgo:</w:t>
      </w:r>
      <w:r w:rsidRPr="00FE5973">
        <w:rPr>
          <w:rFonts w:ascii="Arial" w:hAnsi="Arial" w:cs="Arial"/>
          <w:sz w:val="20"/>
          <w:szCs w:val="20"/>
        </w:rPr>
        <w:t xml:space="preserve"> envíos recurrentes de dinero hacia países o jurisdicciones con deficiencias reconocidas en sus sistemas de prevención del lavado de activos. Ejemplo: transferencias semanales hacia países incluidos en listas internacionales de alto riesgo financiero. </w:t>
      </w:r>
    </w:p>
    <w:p w14:paraId="33E8871C" w14:textId="33AB9DAA" w:rsidR="00FE5973" w:rsidRPr="00FE5973" w:rsidRDefault="00FE5973" w:rsidP="00FE5973">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lastRenderedPageBreak/>
        <w:t>Apertura injustificada de cuentas:</w:t>
      </w:r>
      <w:r w:rsidRPr="00FE5973">
        <w:rPr>
          <w:rFonts w:ascii="Arial" w:hAnsi="Arial" w:cs="Arial"/>
          <w:sz w:val="20"/>
          <w:szCs w:val="20"/>
        </w:rPr>
        <w:t xml:space="preserve"> creación de múltiples productos financieros por parte de un mismo cliente sin una razón comercial o personal verificable que lo justifique. Ejemplo: apertura de cinco cuentas de ahorros en diferentes entidades en un periodo de treinta días. </w:t>
      </w:r>
    </w:p>
    <w:p w14:paraId="7A940DDE" w14:textId="7A0711EC" w:rsidR="00FE5973" w:rsidRPr="00FE5973" w:rsidRDefault="00FE5973" w:rsidP="00FE5973">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Operaciones realizadas por terceros:</w:t>
      </w:r>
      <w:r w:rsidRPr="00FE5973">
        <w:rPr>
          <w:rFonts w:ascii="Arial" w:hAnsi="Arial" w:cs="Arial"/>
          <w:sz w:val="20"/>
          <w:szCs w:val="20"/>
        </w:rPr>
        <w:t xml:space="preserve"> transacciones ejecutadas por personas sin vínculo comercial o familiar comprobable con el titular del producto financiero. Ejemplo: terceros que realizan depósitos frecuentes en la cuenta de un cliente con el que no tienen relación demostrable. </w:t>
      </w:r>
    </w:p>
    <w:p w14:paraId="1CE4EF8B" w14:textId="3C25E1D1" w:rsidR="00FE5973" w:rsidRPr="00FE5973" w:rsidRDefault="00FE5973" w:rsidP="00FE5973">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Fragmentación de transacciones:</w:t>
      </w:r>
      <w:r w:rsidRPr="00FE5973">
        <w:rPr>
          <w:rFonts w:ascii="Arial" w:hAnsi="Arial" w:cs="Arial"/>
          <w:sz w:val="20"/>
          <w:szCs w:val="20"/>
        </w:rPr>
        <w:t xml:space="preserve"> división de grandes sumas en múltiples operaciones de menor valor con el propósito de evadir los umbrales de reporte regulatorio. Ejemplo: cliente que realiza tres depósitos consecutivos de nueve millones de pesos para evitar el reporte obligatorio de diez millones. </w:t>
      </w:r>
    </w:p>
    <w:p w14:paraId="15C65E92" w14:textId="66B54E60" w:rsidR="00FE5973" w:rsidRPr="00FE5973" w:rsidRDefault="00FE5973" w:rsidP="00FE5973">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Cancelación anticipada de productos:</w:t>
      </w:r>
      <w:r w:rsidRPr="00FE5973">
        <w:rPr>
          <w:rFonts w:ascii="Arial" w:hAnsi="Arial" w:cs="Arial"/>
          <w:sz w:val="20"/>
          <w:szCs w:val="20"/>
        </w:rPr>
        <w:t xml:space="preserve"> liquidación prematura de productos financieros sin justificación económica clara, especialmente cuando implica pérdidas para el cliente. Ejemplo: cancelación anticipada de un CDT asumiendo penalidades, sin una razón financiera que lo sustente. </w:t>
      </w:r>
    </w:p>
    <w:p w14:paraId="45F4619C" w14:textId="53037277" w:rsidR="00B6385D" w:rsidRPr="00B6385D" w:rsidRDefault="00FE5973" w:rsidP="00B6385D">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Estructuras financieras complejas:</w:t>
      </w:r>
      <w:r w:rsidRPr="00FE5973">
        <w:rPr>
          <w:rFonts w:ascii="Arial" w:hAnsi="Arial" w:cs="Arial"/>
          <w:sz w:val="20"/>
          <w:szCs w:val="20"/>
        </w:rPr>
        <w:t xml:space="preserve"> operaciones que involucran múltiples instrumentos, cuentas o entidades sin una justificación económica clara, orientadas a dificultar el seguimiento del dinero. Ejemplo: recursos que transitan por cuatro cuentas en distintas entidades antes de llegar a su destino final sin propósito comercial evidente.</w:t>
      </w:r>
      <w:commentRangeEnd w:id="9"/>
      <w:r w:rsidR="00BA3526" w:rsidRPr="00B6385D">
        <w:rPr>
          <w:rStyle w:val="Refdecomentario"/>
          <w:rFonts w:ascii="Arial" w:hAnsi="Arial" w:cs="Arial"/>
          <w:sz w:val="20"/>
          <w:szCs w:val="20"/>
        </w:rPr>
        <w:commentReference w:id="9"/>
      </w:r>
    </w:p>
    <w:p w14:paraId="0EDB9458" w14:textId="66B275FE" w:rsidR="00B6385D" w:rsidRPr="00BF5987" w:rsidRDefault="00B6385D" w:rsidP="00B6385D">
      <w:pPr>
        <w:pStyle w:val="NormalWeb"/>
        <w:spacing w:line="276" w:lineRule="auto"/>
        <w:rPr>
          <w:rFonts w:ascii="Arial" w:hAnsi="Arial" w:cs="Arial"/>
          <w:sz w:val="20"/>
          <w:szCs w:val="20"/>
        </w:rPr>
      </w:pPr>
      <w:r w:rsidRPr="00B6385D">
        <w:rPr>
          <w:rFonts w:ascii="Arial" w:hAnsi="Arial" w:cs="Arial"/>
          <w:sz w:val="20"/>
          <w:szCs w:val="20"/>
        </w:rPr>
        <w:t>El reconocimiento oportuno de estas señales depende de la capacidad de las organizaciones para analizar el comportamiento financiero de sus clientes de manera integral y permanente. Ninguna señal debe evaluarse de forma aislada</w:t>
      </w:r>
      <w:r w:rsidR="00FE54DC">
        <w:rPr>
          <w:rFonts w:ascii="Arial" w:hAnsi="Arial" w:cs="Arial"/>
          <w:sz w:val="20"/>
          <w:szCs w:val="20"/>
        </w:rPr>
        <w:t xml:space="preserve">, </w:t>
      </w:r>
      <w:r w:rsidRPr="00B6385D">
        <w:rPr>
          <w:rFonts w:ascii="Arial" w:hAnsi="Arial" w:cs="Arial"/>
          <w:sz w:val="20"/>
          <w:szCs w:val="20"/>
        </w:rPr>
        <w:t>su valor radica en el patrón que configura con otras transacciones y en la coherencia que guarda con el perfil financiero del cliente. Cuando estas señales persisten o se combinan entre sí sin una justificación verificable, las organizaciones tienen la obligación de activar los mecanismos de reporte establecidos por el sistema SARLAFT.</w:t>
      </w:r>
    </w:p>
    <w:p w14:paraId="51A5AE24" w14:textId="77777777" w:rsidR="00856182" w:rsidRPr="0007033F" w:rsidRDefault="00856182" w:rsidP="0007033F">
      <w:pPr>
        <w:pStyle w:val="Ttulo3"/>
        <w:rPr>
          <w:b/>
          <w:color w:val="auto"/>
          <w:sz w:val="20"/>
          <w:szCs w:val="20"/>
        </w:rPr>
      </w:pPr>
      <w:r w:rsidRPr="001541A9">
        <w:rPr>
          <w:b/>
          <w:color w:val="auto"/>
          <w:sz w:val="20"/>
          <w:szCs w:val="20"/>
        </w:rPr>
        <w:t>3. Sistemas de reporte en la prevención del LA/FT</w:t>
      </w:r>
    </w:p>
    <w:p w14:paraId="41029CD1" w14:textId="77777777" w:rsidR="00856182" w:rsidRPr="0007033F" w:rsidRDefault="00856182"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Los sistemas de reporte constituyen un elemento fundamental dentro de las estrategias de prevención del lavado de activos y la financiación del terrorismo (LA/FT), ya que permiten a las organizaciones informar a las autoridades competentes sobre operaciones que puedan representar un riesgo para la integridad del sistema financiero. Estos sistemas facilitan el intercambio de información entre las entidades vigiladas y los organismos de control encargados de analizar posibles actividades ilícitas.</w:t>
      </w:r>
    </w:p>
    <w:p w14:paraId="1C46D080" w14:textId="77777777" w:rsidR="00856182" w:rsidRPr="0007033F" w:rsidRDefault="00856182"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En el marco del sistema SARLAFT, las organizaciones tienen la responsabilidad de implementar mecanismos que permitan identificar, analizar y reportar operaciones que presenten características inusuales o sospechosas. Estos reportes se realizan siguiendo procedimientos establecidos por la normativa vigente y permiten que las autoridades competentes realicen procesos de análisis e investigación sobre las transacciones que puedan estar relacionadas con actividades ilícitas.</w:t>
      </w:r>
    </w:p>
    <w:p w14:paraId="63B9786B" w14:textId="77777777" w:rsidR="00856182" w:rsidRPr="0007033F" w:rsidRDefault="00856182" w:rsidP="00F4441B">
      <w:pPr>
        <w:shd w:val="clear" w:color="auto" w:fill="FDE9D9" w:themeFill="accent6" w:themeFillTint="33"/>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los sistemas de reporte contribuyen al fortalecimiento de los mecanismos de control dentro del sistema financiero, ya que promueven la transparencia en las operaciones y facilitan la detección temprana de posibles riesgos asociados al lavado de activos y la financiación del terrorismo. La adecuada aplicación de estos sistemas permite a las organizaciones cumplir con sus obligaciones regulatorias y colaborar con las autoridades en la lucha contra el crimen financiero.</w:t>
      </w:r>
    </w:p>
    <w:p w14:paraId="5D4D8A5E" w14:textId="77777777" w:rsidR="00856182" w:rsidRPr="0007033F" w:rsidRDefault="00856182"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Para garantizar la efectividad de los procesos de prevención del LA/FT, las organizaciones deben conocer y aplicar los diferentes tipos de reportes establecidos por las autoridades de supervisión y control. Estos reportes permiten registrar información relevante sobre determinadas operaciones financieras que, por sus características o comportamiento, requieren ser informadas a los organismos competentes para su análisis.</w:t>
      </w:r>
    </w:p>
    <w:p w14:paraId="27314CDB" w14:textId="0DDE4B8A" w:rsidR="00856182" w:rsidRPr="0007033F" w:rsidRDefault="00856182" w:rsidP="0007033F">
      <w:pPr>
        <w:pStyle w:val="Normal0"/>
        <w:rPr>
          <w:b/>
          <w:sz w:val="20"/>
          <w:szCs w:val="20"/>
        </w:rPr>
      </w:pPr>
    </w:p>
    <w:p w14:paraId="2404A269" w14:textId="770A2413" w:rsidR="00856182" w:rsidRDefault="00856182" w:rsidP="0007033F">
      <w:pPr>
        <w:pStyle w:val="Normal0"/>
        <w:rPr>
          <w:sz w:val="20"/>
          <w:szCs w:val="20"/>
        </w:rPr>
      </w:pPr>
      <w:r w:rsidRPr="0007033F">
        <w:rPr>
          <w:b/>
          <w:sz w:val="20"/>
          <w:szCs w:val="20"/>
        </w:rPr>
        <w:t>Tabla 4.</w:t>
      </w:r>
      <w:r w:rsidRPr="0007033F">
        <w:rPr>
          <w:sz w:val="20"/>
          <w:szCs w:val="20"/>
        </w:rPr>
        <w:t xml:space="preserve"> Principales sistemas de reporte en la prevención </w:t>
      </w:r>
      <w:r w:rsidR="00931B58" w:rsidRPr="0007033F">
        <w:rPr>
          <w:sz w:val="20"/>
          <w:szCs w:val="20"/>
        </w:rPr>
        <w:t xml:space="preserve">del </w:t>
      </w:r>
      <w:r w:rsidR="00931B58" w:rsidRPr="00931B58">
        <w:rPr>
          <w:sz w:val="20"/>
          <w:szCs w:val="20"/>
        </w:rPr>
        <w:t xml:space="preserve">lavado de activos y la financiación del terrorismo </w:t>
      </w:r>
    </w:p>
    <w:p w14:paraId="70C0FA19" w14:textId="77777777" w:rsidR="00931B58" w:rsidRPr="0007033F" w:rsidRDefault="00931B58" w:rsidP="0007033F">
      <w:pPr>
        <w:pStyle w:val="Normal0"/>
        <w:rPr>
          <w:b/>
          <w:sz w:val="20"/>
          <w:szCs w:val="20"/>
        </w:rPr>
      </w:pPr>
    </w:p>
    <w:tbl>
      <w:tblPr>
        <w:tblStyle w:val="Tabladecuadrcula4"/>
        <w:tblW w:w="0" w:type="auto"/>
        <w:tblLook w:val="04A0" w:firstRow="1" w:lastRow="0" w:firstColumn="1" w:lastColumn="0" w:noHBand="0" w:noVBand="1"/>
      </w:tblPr>
      <w:tblGrid>
        <w:gridCol w:w="2805"/>
        <w:gridCol w:w="7157"/>
      </w:tblGrid>
      <w:tr w:rsidR="00856182" w:rsidRPr="0007033F" w14:paraId="0087F7A2" w14:textId="77777777" w:rsidTr="009717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BA2F6" w14:textId="77777777" w:rsidR="00856182" w:rsidRPr="0007033F" w:rsidRDefault="00856182" w:rsidP="0007033F">
            <w:pPr>
              <w:jc w:val="center"/>
              <w:rPr>
                <w:rFonts w:eastAsia="Times New Roman"/>
                <w:b w:val="0"/>
                <w:bCs w:val="0"/>
                <w:sz w:val="20"/>
                <w:szCs w:val="20"/>
                <w:lang w:eastAsia="es-CO"/>
              </w:rPr>
            </w:pPr>
            <w:r w:rsidRPr="0007033F">
              <w:rPr>
                <w:rFonts w:eastAsia="Times New Roman"/>
                <w:sz w:val="20"/>
                <w:szCs w:val="20"/>
                <w:lang w:eastAsia="es-CO"/>
              </w:rPr>
              <w:t>Tipo de reporte</w:t>
            </w:r>
          </w:p>
        </w:tc>
        <w:tc>
          <w:tcPr>
            <w:tcW w:w="0" w:type="auto"/>
            <w:hideMark/>
          </w:tcPr>
          <w:p w14:paraId="37277A34" w14:textId="77777777" w:rsidR="00856182" w:rsidRPr="0007033F" w:rsidRDefault="00856182" w:rsidP="0007033F">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Descripción</w:t>
            </w:r>
          </w:p>
        </w:tc>
      </w:tr>
      <w:tr w:rsidR="00856182" w:rsidRPr="0007033F" w14:paraId="594BF34C" w14:textId="77777777" w:rsidTr="00971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3B40D" w14:textId="77777777" w:rsidR="00856182" w:rsidRPr="0007033F" w:rsidRDefault="00856182" w:rsidP="0007033F">
            <w:pPr>
              <w:rPr>
                <w:rFonts w:eastAsia="Times New Roman"/>
                <w:sz w:val="20"/>
                <w:szCs w:val="20"/>
                <w:lang w:eastAsia="es-CO"/>
              </w:rPr>
            </w:pPr>
            <w:r w:rsidRPr="0007033F">
              <w:rPr>
                <w:rFonts w:eastAsia="Times New Roman"/>
                <w:sz w:val="20"/>
                <w:szCs w:val="20"/>
                <w:lang w:eastAsia="es-CO"/>
              </w:rPr>
              <w:t>Reporte de Operaciones Sospechosas (ROS)</w:t>
            </w:r>
          </w:p>
        </w:tc>
        <w:tc>
          <w:tcPr>
            <w:tcW w:w="0" w:type="auto"/>
            <w:hideMark/>
          </w:tcPr>
          <w:p w14:paraId="098F4B64" w14:textId="77777777" w:rsidR="00856182" w:rsidRPr="0007033F" w:rsidRDefault="00856182"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Informe que las entidades envían a la autoridad competente cuando identifican operaciones que pueden estar relacionadas con actividades de lavado de activos o financiación del terrorismo.</w:t>
            </w:r>
          </w:p>
        </w:tc>
      </w:tr>
      <w:tr w:rsidR="00856182" w:rsidRPr="0007033F" w14:paraId="28E6A1CB" w14:textId="77777777" w:rsidTr="00971753">
        <w:tc>
          <w:tcPr>
            <w:cnfStyle w:val="001000000000" w:firstRow="0" w:lastRow="0" w:firstColumn="1" w:lastColumn="0" w:oddVBand="0" w:evenVBand="0" w:oddHBand="0" w:evenHBand="0" w:firstRowFirstColumn="0" w:firstRowLastColumn="0" w:lastRowFirstColumn="0" w:lastRowLastColumn="0"/>
            <w:tcW w:w="0" w:type="auto"/>
            <w:hideMark/>
          </w:tcPr>
          <w:p w14:paraId="51C19EBF" w14:textId="77777777" w:rsidR="00856182" w:rsidRPr="0007033F" w:rsidRDefault="00856182" w:rsidP="0007033F">
            <w:pPr>
              <w:rPr>
                <w:rFonts w:eastAsia="Times New Roman"/>
                <w:sz w:val="20"/>
                <w:szCs w:val="20"/>
                <w:lang w:eastAsia="es-CO"/>
              </w:rPr>
            </w:pPr>
            <w:r w:rsidRPr="0007033F">
              <w:rPr>
                <w:rFonts w:eastAsia="Times New Roman"/>
                <w:sz w:val="20"/>
                <w:szCs w:val="20"/>
                <w:lang w:eastAsia="es-CO"/>
              </w:rPr>
              <w:t>Reporte de transacciones en efectivo</w:t>
            </w:r>
          </w:p>
        </w:tc>
        <w:tc>
          <w:tcPr>
            <w:tcW w:w="0" w:type="auto"/>
            <w:hideMark/>
          </w:tcPr>
          <w:p w14:paraId="0BF3F40F" w14:textId="77777777" w:rsidR="00856182" w:rsidRPr="0007033F" w:rsidRDefault="00856182"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Registro de operaciones realizadas en efectivo que superan determinados montos establecidos por la normativa.</w:t>
            </w:r>
          </w:p>
        </w:tc>
      </w:tr>
      <w:tr w:rsidR="00856182" w:rsidRPr="0007033F" w14:paraId="2827C3A2" w14:textId="77777777" w:rsidTr="00971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9A105" w14:textId="77777777" w:rsidR="00856182" w:rsidRPr="0007033F" w:rsidRDefault="00856182" w:rsidP="0007033F">
            <w:pPr>
              <w:rPr>
                <w:rFonts w:eastAsia="Times New Roman"/>
                <w:sz w:val="20"/>
                <w:szCs w:val="20"/>
                <w:lang w:eastAsia="es-CO"/>
              </w:rPr>
            </w:pPr>
            <w:r w:rsidRPr="0007033F">
              <w:rPr>
                <w:rFonts w:eastAsia="Times New Roman"/>
                <w:sz w:val="20"/>
                <w:szCs w:val="20"/>
                <w:lang w:eastAsia="es-CO"/>
              </w:rPr>
              <w:t>Reporte de operaciones múltiples</w:t>
            </w:r>
          </w:p>
        </w:tc>
        <w:tc>
          <w:tcPr>
            <w:tcW w:w="0" w:type="auto"/>
            <w:hideMark/>
          </w:tcPr>
          <w:p w14:paraId="6203001A" w14:textId="77777777" w:rsidR="00856182" w:rsidRPr="0007033F" w:rsidRDefault="00856182"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Reporte de varias transacciones realizadas por un mismo cliente que, en conjunto, superan los límites establecidos por la regulación.</w:t>
            </w:r>
          </w:p>
        </w:tc>
      </w:tr>
      <w:tr w:rsidR="00856182" w:rsidRPr="0007033F" w14:paraId="00DA2BCA" w14:textId="77777777" w:rsidTr="00971753">
        <w:tc>
          <w:tcPr>
            <w:cnfStyle w:val="001000000000" w:firstRow="0" w:lastRow="0" w:firstColumn="1" w:lastColumn="0" w:oddVBand="0" w:evenVBand="0" w:oddHBand="0" w:evenHBand="0" w:firstRowFirstColumn="0" w:firstRowLastColumn="0" w:lastRowFirstColumn="0" w:lastRowLastColumn="0"/>
            <w:tcW w:w="0" w:type="auto"/>
            <w:hideMark/>
          </w:tcPr>
          <w:p w14:paraId="1888DDB1" w14:textId="77777777" w:rsidR="00856182" w:rsidRPr="0007033F" w:rsidRDefault="00856182" w:rsidP="0007033F">
            <w:pPr>
              <w:rPr>
                <w:rFonts w:eastAsia="Times New Roman"/>
                <w:sz w:val="20"/>
                <w:szCs w:val="20"/>
                <w:lang w:eastAsia="es-CO"/>
              </w:rPr>
            </w:pPr>
            <w:r w:rsidRPr="0007033F">
              <w:rPr>
                <w:rFonts w:eastAsia="Times New Roman"/>
                <w:sz w:val="20"/>
                <w:szCs w:val="20"/>
                <w:lang w:eastAsia="es-CO"/>
              </w:rPr>
              <w:t>Reporte de ausencia de operaciones sospechosas</w:t>
            </w:r>
          </w:p>
        </w:tc>
        <w:tc>
          <w:tcPr>
            <w:tcW w:w="0" w:type="auto"/>
            <w:hideMark/>
          </w:tcPr>
          <w:p w14:paraId="55AD9FD9" w14:textId="77777777" w:rsidR="00856182" w:rsidRPr="0007033F" w:rsidRDefault="00856182"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Informe que las entidades presentan para indicar que, durante un periodo determinado, no se detectaron operaciones sospechosas.</w:t>
            </w:r>
          </w:p>
        </w:tc>
      </w:tr>
      <w:tr w:rsidR="00856182" w:rsidRPr="0007033F" w14:paraId="52C09ACC" w14:textId="77777777" w:rsidTr="00971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EA3B2" w14:textId="77777777" w:rsidR="00856182" w:rsidRPr="0007033F" w:rsidRDefault="00856182" w:rsidP="0007033F">
            <w:pPr>
              <w:rPr>
                <w:rFonts w:eastAsia="Times New Roman"/>
                <w:sz w:val="20"/>
                <w:szCs w:val="20"/>
                <w:lang w:eastAsia="es-CO"/>
              </w:rPr>
            </w:pPr>
            <w:r w:rsidRPr="0007033F">
              <w:rPr>
                <w:rFonts w:eastAsia="Times New Roman"/>
                <w:sz w:val="20"/>
                <w:szCs w:val="20"/>
                <w:lang w:eastAsia="es-CO"/>
              </w:rPr>
              <w:t>Reportes regulatorios periódicos</w:t>
            </w:r>
          </w:p>
        </w:tc>
        <w:tc>
          <w:tcPr>
            <w:tcW w:w="0" w:type="auto"/>
            <w:hideMark/>
          </w:tcPr>
          <w:p w14:paraId="2E6AD02A" w14:textId="77777777" w:rsidR="00856182" w:rsidRPr="0007033F" w:rsidRDefault="00856182"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Información que las entidades deben remitir periódicamente a las autoridades para el seguimiento y control de las operaciones financieras.</w:t>
            </w:r>
          </w:p>
        </w:tc>
      </w:tr>
    </w:tbl>
    <w:p w14:paraId="3F07C0BC" w14:textId="77777777" w:rsidR="00856182" w:rsidRPr="0007033F" w:rsidRDefault="00856182" w:rsidP="0007033F">
      <w:pPr>
        <w:pStyle w:val="Normal0"/>
        <w:rPr>
          <w:b/>
          <w:sz w:val="20"/>
          <w:szCs w:val="20"/>
        </w:rPr>
      </w:pPr>
    </w:p>
    <w:p w14:paraId="1D9FCF7B" w14:textId="615E5D21" w:rsidR="005C527E" w:rsidRPr="00E30DFC" w:rsidRDefault="005C527E" w:rsidP="0007033F">
      <w:pPr>
        <w:pStyle w:val="Normal0"/>
        <w:rPr>
          <w:bCs/>
          <w:sz w:val="20"/>
          <w:szCs w:val="20"/>
        </w:rPr>
      </w:pPr>
      <w:r w:rsidRPr="005C527E">
        <w:rPr>
          <w:bCs/>
          <w:sz w:val="20"/>
          <w:szCs w:val="20"/>
        </w:rPr>
        <w:t>Los tipos de reportes presentados en la tabla anterior reflejan la diversidad de mecanismos que las organizaciones deben implementar para cumplir con sus obligaciones dentro del sistema SARLAFT. Cada uno de ellos responde a situaciones específicas y contribuye, desde su ámbito particular, a la detección y prevención del lavado de activos y la financiación del terrorismo, aspectos que se desarrollan en detalle en los siguientes apartados.</w:t>
      </w:r>
    </w:p>
    <w:p w14:paraId="4541C5FA" w14:textId="77777777" w:rsidR="005C527E" w:rsidRPr="0007033F" w:rsidRDefault="005C527E" w:rsidP="0007033F">
      <w:pPr>
        <w:pStyle w:val="Normal0"/>
        <w:rPr>
          <w:b/>
          <w:sz w:val="20"/>
          <w:szCs w:val="20"/>
        </w:rPr>
      </w:pPr>
    </w:p>
    <w:p w14:paraId="3E8A345F" w14:textId="77777777" w:rsidR="0007033F" w:rsidRDefault="008960CE" w:rsidP="0007033F">
      <w:pPr>
        <w:pStyle w:val="Normal0"/>
        <w:rPr>
          <w:sz w:val="20"/>
          <w:szCs w:val="20"/>
        </w:rPr>
      </w:pPr>
      <w:r w:rsidRPr="0007033F">
        <w:rPr>
          <w:b/>
          <w:sz w:val="20"/>
          <w:szCs w:val="20"/>
        </w:rPr>
        <w:t>3.1 Reporte de operaciones sospechosas (ROS)</w:t>
      </w:r>
      <w:r w:rsidRPr="0007033F">
        <w:rPr>
          <w:b/>
          <w:sz w:val="20"/>
          <w:szCs w:val="20"/>
        </w:rPr>
        <w:br/>
      </w:r>
    </w:p>
    <w:p w14:paraId="09DED719" w14:textId="1B44EECF" w:rsidR="008960CE" w:rsidRPr="0007033F" w:rsidRDefault="008960CE" w:rsidP="003C72D8">
      <w:pPr>
        <w:pStyle w:val="Normal0"/>
        <w:shd w:val="clear" w:color="auto" w:fill="F2DBDB" w:themeFill="accent2" w:themeFillTint="33"/>
        <w:rPr>
          <w:b/>
          <w:sz w:val="20"/>
          <w:szCs w:val="20"/>
        </w:rPr>
      </w:pPr>
      <w:r w:rsidRPr="0007033F">
        <w:rPr>
          <w:sz w:val="20"/>
          <w:szCs w:val="20"/>
        </w:rPr>
        <w:t>El Reporte de Operaciones Sospechosas (ROS) es uno de los mecanismos más importantes dentro del sistema SARLAFT para la prevención del lavado de activos y la financiación del terrorismo. Este reporte consiste en la comunicación formal que realizan las entidades vigiladas a las autoridades competentes cuando identifican transacciones que presentan indicios de estar relacionadas con actividades ilícitas o que no tienen una justificación económica clara.</w:t>
      </w:r>
    </w:p>
    <w:p w14:paraId="44EE9101" w14:textId="58666AC6" w:rsidR="008960CE" w:rsidRDefault="00924FDB" w:rsidP="0007033F">
      <w:pPr>
        <w:pStyle w:val="NormalWeb"/>
        <w:spacing w:line="276"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5408" behindDoc="0" locked="0" layoutInCell="1" allowOverlap="1" wp14:anchorId="6C1B1CE5" wp14:editId="6ED4F539">
                <wp:simplePos x="0" y="0"/>
                <wp:positionH relativeFrom="column">
                  <wp:posOffset>28940</wp:posOffset>
                </wp:positionH>
                <wp:positionV relativeFrom="paragraph">
                  <wp:posOffset>1135339</wp:posOffset>
                </wp:positionV>
                <wp:extent cx="6021421" cy="992222"/>
                <wp:effectExtent l="57150" t="38100" r="74930" b="93980"/>
                <wp:wrapNone/>
                <wp:docPr id="1935148751" name="Rectángulo: esquinas redondeadas 16"/>
                <wp:cNvGraphicFramePr/>
                <a:graphic xmlns:a="http://schemas.openxmlformats.org/drawingml/2006/main">
                  <a:graphicData uri="http://schemas.microsoft.com/office/word/2010/wordprocessingShape">
                    <wps:wsp>
                      <wps:cNvSpPr/>
                      <wps:spPr>
                        <a:xfrm>
                          <a:off x="0" y="0"/>
                          <a:ext cx="6021421" cy="992222"/>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4AFB860A" w14:textId="6F9F69B3" w:rsidR="00924FDB" w:rsidRPr="0039774E" w:rsidRDefault="0039774E" w:rsidP="00924FDB">
                            <w:pPr>
                              <w:jc w:val="center"/>
                              <w:rPr>
                                <w:sz w:val="20"/>
                                <w:szCs w:val="20"/>
                              </w:rPr>
                            </w:pPr>
                            <w:r w:rsidRPr="0039774E">
                              <w:rPr>
                                <w:sz w:val="20"/>
                                <w:szCs w:val="20"/>
                              </w:rPr>
                              <w:t>El reporte de operaciones sospechosas permite alertar a las autoridades sobre transacciones que presentan comportamientos inusuales, facilitando su análisis y contribuyendo a la prevención de actividades ilícitas.</w:t>
                            </w:r>
                          </w:p>
                          <w:p w14:paraId="3EE74C58" w14:textId="77777777" w:rsidR="0039774E" w:rsidRPr="0039774E" w:rsidRDefault="0039774E">
                            <w:pP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1B1CE5" id="Rectángulo: esquinas redondeadas 16" o:spid="_x0000_s1030" style="position:absolute;margin-left:2.3pt;margin-top:89.4pt;width:474.15pt;height:78.1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" fillcolor="#bfb1d0 [1623]" strokecolor="#795d9b [3047]">
                <v:fill color2="#ece7f1 [503]" rotate="t" angle="180" colors="0 #c9b5e8;22938f #d9cbee;1 #f0eaf9" focus="100%" type="gradient"/>
                <v:shadow on="t" color="black" opacity="24903f" origin=",.5" offset="0,.55556mm"/>
                <v:textbox>
                  <w:txbxContent>
                    <w:p w14:paraId="4AFB860A" w14:textId="6F9F69B3" w:rsidR="00924FDB" w:rsidRPr="0039774E" w:rsidRDefault="0039774E" w:rsidP="00924FDB">
                      <w:pPr>
                        <w:jc w:val="center"/>
                        <w:rPr>
                          <w:sz w:val="20"/>
                          <w:szCs w:val="20"/>
                        </w:rPr>
                      </w:pPr>
                      <w:r w:rsidRPr="0039774E">
                        <w:rPr>
                          <w:sz w:val="20"/>
                          <w:szCs w:val="20"/>
                        </w:rPr>
                        <w:t>El reporte de operaciones sospechosas permite alertar a las autoridades sobre transacciones que presentan comportamientos inusuales, facilitando su análisis y contribuyendo a la prevención de actividades ilícitas.</w:t>
                      </w:r>
                    </w:p>
                    <w:p w14:paraId="3EE74C58" w14:textId="77777777" w:rsidR="0039774E" w:rsidRPr="0039774E" w:rsidRDefault="0039774E">
                      <w:pPr>
                        <w:rPr>
                          <w:sz w:val="20"/>
                          <w:szCs w:val="20"/>
                        </w:rPr>
                      </w:pPr>
                    </w:p>
                  </w:txbxContent>
                </v:textbox>
              </v:roundrect>
            </w:pict>
          </mc:Fallback>
        </mc:AlternateContent>
      </w:r>
      <w:r w:rsidR="008960CE" w:rsidRPr="0007033F">
        <w:rPr>
          <w:rFonts w:ascii="Arial" w:hAnsi="Arial" w:cs="Arial"/>
          <w:sz w:val="20"/>
          <w:szCs w:val="20"/>
        </w:rPr>
        <w:t>En el contexto del sistema financiero colombiano, el ROS debe ser enviado a la Unidad de Información y Análisis Financiero (UIAF), entidad encargada de recibir, analizar y procesar la información relacionada con posibles operaciones vinculadas al lavado de activos o a la financiación del terrorismo. Este reporte permite que las autoridades competentes realicen análisis especializados que contribuyan a la detección y prevención de actividades ilícitas dentro del sistema económico.</w:t>
      </w:r>
    </w:p>
    <w:p w14:paraId="0EBD6E42" w14:textId="77777777" w:rsidR="00924FDB" w:rsidRDefault="00924FDB" w:rsidP="0007033F">
      <w:pPr>
        <w:pStyle w:val="NormalWeb"/>
        <w:spacing w:line="276" w:lineRule="auto"/>
        <w:rPr>
          <w:rFonts w:ascii="Arial" w:hAnsi="Arial" w:cs="Arial"/>
          <w:sz w:val="20"/>
          <w:szCs w:val="20"/>
        </w:rPr>
      </w:pPr>
    </w:p>
    <w:p w14:paraId="4BFEE931" w14:textId="77777777" w:rsidR="00924FDB" w:rsidRDefault="00924FDB" w:rsidP="0007033F">
      <w:pPr>
        <w:pStyle w:val="NormalWeb"/>
        <w:spacing w:line="276" w:lineRule="auto"/>
        <w:rPr>
          <w:rFonts w:ascii="Arial" w:hAnsi="Arial" w:cs="Arial"/>
          <w:sz w:val="20"/>
          <w:szCs w:val="20"/>
        </w:rPr>
      </w:pPr>
    </w:p>
    <w:p w14:paraId="24CE648C" w14:textId="77777777" w:rsidR="00924FDB" w:rsidRPr="0007033F" w:rsidRDefault="00924FDB" w:rsidP="0007033F">
      <w:pPr>
        <w:pStyle w:val="NormalWeb"/>
        <w:spacing w:line="276" w:lineRule="auto"/>
        <w:rPr>
          <w:rFonts w:ascii="Arial" w:hAnsi="Arial" w:cs="Arial"/>
          <w:sz w:val="20"/>
          <w:szCs w:val="20"/>
        </w:rPr>
      </w:pPr>
    </w:p>
    <w:p w14:paraId="0F3DB2AD" w14:textId="77777777" w:rsidR="008960CE" w:rsidRPr="0007033F" w:rsidRDefault="008960CE" w:rsidP="0007033F">
      <w:pPr>
        <w:pStyle w:val="NormalWeb"/>
        <w:spacing w:line="276" w:lineRule="auto"/>
        <w:rPr>
          <w:rFonts w:ascii="Arial" w:hAnsi="Arial" w:cs="Arial"/>
          <w:sz w:val="20"/>
          <w:szCs w:val="20"/>
        </w:rPr>
      </w:pPr>
      <w:r w:rsidRPr="0007033F">
        <w:rPr>
          <w:rFonts w:ascii="Arial" w:hAnsi="Arial" w:cs="Arial"/>
          <w:sz w:val="20"/>
          <w:szCs w:val="20"/>
        </w:rPr>
        <w:t>Es importante señalar que el reporte de operaciones sospechosas se basa en el análisis que realizan las organizaciones sobre las transacciones de sus clientes. Cuando una entidad identifica una operación que no corresponde con el perfil financiero del cliente o que presenta señales de alerta, debe aplicar procedimientos de análisis interno para determinar si la operación debe ser reportada como sospechosa.</w:t>
      </w:r>
    </w:p>
    <w:p w14:paraId="5BB04FD4" w14:textId="77777777" w:rsidR="009B303F" w:rsidRDefault="009B303F" w:rsidP="0007033F">
      <w:pPr>
        <w:pStyle w:val="NormalWeb"/>
        <w:spacing w:line="276" w:lineRule="auto"/>
        <w:rPr>
          <w:rFonts w:ascii="Arial" w:hAnsi="Arial" w:cs="Arial"/>
          <w:sz w:val="20"/>
          <w:szCs w:val="20"/>
        </w:rPr>
      </w:pPr>
      <w:r w:rsidRPr="009B303F">
        <w:rPr>
          <w:rFonts w:ascii="Arial" w:hAnsi="Arial" w:cs="Arial"/>
          <w:sz w:val="20"/>
          <w:szCs w:val="20"/>
        </w:rPr>
        <w:lastRenderedPageBreak/>
        <w:t>A su vez, el reporte de operaciones sospechosas constituye una herramienta clave para fortalecer la cooperación entre las entidades del sistema financiero y los organismos de control. A través de estos reportes, las organizaciones contribuyen activamente a la prevención del lavado de activos y la financiación del terrorismo, fortaleciendo la transparencia en las operaciones financieras y apoyando las acciones de las autoridades en la lucha contra el crimen organizado.</w:t>
      </w:r>
    </w:p>
    <w:p w14:paraId="060120B9" w14:textId="3AB56354" w:rsidR="008960CE" w:rsidRDefault="008960CE" w:rsidP="0007033F">
      <w:pPr>
        <w:pStyle w:val="NormalWeb"/>
        <w:spacing w:line="276" w:lineRule="auto"/>
        <w:rPr>
          <w:rFonts w:ascii="Arial" w:hAnsi="Arial" w:cs="Arial"/>
          <w:sz w:val="20"/>
          <w:szCs w:val="20"/>
        </w:rPr>
      </w:pPr>
      <w:r w:rsidRPr="0007033F">
        <w:rPr>
          <w:rFonts w:ascii="Arial" w:hAnsi="Arial" w:cs="Arial"/>
          <w:sz w:val="20"/>
          <w:szCs w:val="20"/>
        </w:rPr>
        <w:t>Entre algunos aspectos importantes relacionados con el reporte de operaciones sospechosas (ROS) se encuentran los siguientes:</w:t>
      </w:r>
    </w:p>
    <w:p w14:paraId="5A045840" w14:textId="000AE309" w:rsidR="006F0A3D" w:rsidRPr="006F0A3D" w:rsidRDefault="006F0A3D" w:rsidP="006F0A3D">
      <w:pPr>
        <w:pStyle w:val="NormalWeb"/>
        <w:numPr>
          <w:ilvl w:val="0"/>
          <w:numId w:val="28"/>
        </w:numPr>
        <w:spacing w:line="276" w:lineRule="auto"/>
        <w:rPr>
          <w:rFonts w:ascii="Arial" w:hAnsi="Arial" w:cs="Arial"/>
          <w:sz w:val="20"/>
          <w:szCs w:val="20"/>
        </w:rPr>
      </w:pPr>
      <w:commentRangeStart w:id="10"/>
      <w:r w:rsidRPr="006F0A3D">
        <w:rPr>
          <w:rFonts w:ascii="Arial" w:hAnsi="Arial" w:cs="Arial"/>
          <w:b/>
          <w:bCs/>
          <w:sz w:val="20"/>
          <w:szCs w:val="20"/>
        </w:rPr>
        <w:t>Identificación de la operación:</w:t>
      </w:r>
      <w:r w:rsidRPr="006F0A3D">
        <w:rPr>
          <w:rFonts w:ascii="Arial" w:hAnsi="Arial" w:cs="Arial"/>
          <w:sz w:val="20"/>
          <w:szCs w:val="20"/>
        </w:rPr>
        <w:t xml:space="preserve"> debe elaborarse cuando una operación presenta indicios de estar relacionada con actividades ilícitas. </w:t>
      </w:r>
    </w:p>
    <w:p w14:paraId="73BA821D" w14:textId="33A891F6" w:rsidR="006F0A3D" w:rsidRPr="006F0A3D" w:rsidRDefault="006F0A3D" w:rsidP="006F0A3D">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Análisis interno:</w:t>
      </w:r>
      <w:r w:rsidRPr="006F0A3D">
        <w:rPr>
          <w:rFonts w:ascii="Arial" w:hAnsi="Arial" w:cs="Arial"/>
          <w:sz w:val="20"/>
          <w:szCs w:val="20"/>
        </w:rPr>
        <w:t xml:space="preserve"> se basa en la evaluación realizada por la entidad sobre las operaciones de sus clientes. </w:t>
      </w:r>
    </w:p>
    <w:p w14:paraId="551E7DD5" w14:textId="620A0C5C" w:rsidR="006F0A3D" w:rsidRPr="006F0A3D" w:rsidRDefault="006F0A3D" w:rsidP="006F0A3D">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Envío del reporte:</w:t>
      </w:r>
      <w:r w:rsidRPr="006F0A3D">
        <w:rPr>
          <w:rFonts w:ascii="Arial" w:hAnsi="Arial" w:cs="Arial"/>
          <w:sz w:val="20"/>
          <w:szCs w:val="20"/>
        </w:rPr>
        <w:t xml:space="preserve"> debe remitirse a la Unidad de Información y Análisis Financiero (UIAF). </w:t>
      </w:r>
    </w:p>
    <w:p w14:paraId="0DCE326B" w14:textId="1B078ED2" w:rsidR="006F0A3D" w:rsidRPr="006F0A3D" w:rsidRDefault="006F0A3D" w:rsidP="006F0A3D">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Criterio de sospecha:</w:t>
      </w:r>
      <w:r w:rsidRPr="006F0A3D">
        <w:rPr>
          <w:rFonts w:ascii="Arial" w:hAnsi="Arial" w:cs="Arial"/>
          <w:sz w:val="20"/>
          <w:szCs w:val="20"/>
        </w:rPr>
        <w:t xml:space="preserve"> no requiere certeza absoluta sobre la actividad ilícita, sino indicios razonables. </w:t>
      </w:r>
    </w:p>
    <w:p w14:paraId="3A70E4C6" w14:textId="1ED05360" w:rsidR="006F0A3D" w:rsidRPr="006F0A3D" w:rsidRDefault="006F0A3D" w:rsidP="006F0A3D">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Confidencialidad de la información:</w:t>
      </w:r>
      <w:r w:rsidRPr="006F0A3D">
        <w:rPr>
          <w:rFonts w:ascii="Arial" w:hAnsi="Arial" w:cs="Arial"/>
          <w:sz w:val="20"/>
          <w:szCs w:val="20"/>
        </w:rPr>
        <w:t xml:space="preserve"> la información contenida en el reporte es de carácter reservado. </w:t>
      </w:r>
    </w:p>
    <w:p w14:paraId="180558B9" w14:textId="57E76379" w:rsidR="006F0A3D" w:rsidRPr="006F0A3D" w:rsidRDefault="006F0A3D" w:rsidP="006F0A3D">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Cumplimiento de plazos:</w:t>
      </w:r>
      <w:r w:rsidRPr="006F0A3D">
        <w:rPr>
          <w:rFonts w:ascii="Arial" w:hAnsi="Arial" w:cs="Arial"/>
          <w:sz w:val="20"/>
          <w:szCs w:val="20"/>
        </w:rPr>
        <w:t xml:space="preserve"> el reporte debe realizarse dentro de los tiempos establecidos por la normativa vigente. </w:t>
      </w:r>
    </w:p>
    <w:p w14:paraId="0C786614" w14:textId="2938729C" w:rsidR="006F0A3D" w:rsidRPr="006F0A3D" w:rsidRDefault="006F0A3D" w:rsidP="006F0A3D">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Finalidad del reporte:</w:t>
      </w:r>
      <w:r w:rsidRPr="006F0A3D">
        <w:rPr>
          <w:rFonts w:ascii="Arial" w:hAnsi="Arial" w:cs="Arial"/>
          <w:sz w:val="20"/>
          <w:szCs w:val="20"/>
        </w:rPr>
        <w:t xml:space="preserve"> permite a las autoridades realizar análisis e investigaciones sobre posibles delitos financieros.</w:t>
      </w:r>
      <w:commentRangeEnd w:id="10"/>
      <w:r w:rsidR="004D5402" w:rsidRPr="006F0A3D">
        <w:rPr>
          <w:rStyle w:val="Refdecomentario"/>
          <w:rFonts w:ascii="Arial" w:hAnsi="Arial" w:cs="Arial"/>
          <w:sz w:val="20"/>
          <w:szCs w:val="20"/>
        </w:rPr>
        <w:commentReference w:id="10"/>
      </w:r>
    </w:p>
    <w:p w14:paraId="31E157C6" w14:textId="08C72265" w:rsidR="0050514F" w:rsidRDefault="00E30DFC" w:rsidP="0007033F">
      <w:pPr>
        <w:pStyle w:val="Normal0"/>
        <w:rPr>
          <w:bCs/>
          <w:sz w:val="20"/>
          <w:szCs w:val="20"/>
        </w:rPr>
      </w:pPr>
      <w:r w:rsidRPr="00E30DFC">
        <w:rPr>
          <w:bCs/>
          <w:sz w:val="20"/>
          <w:szCs w:val="20"/>
        </w:rPr>
        <w:t>La correcta elaboración y envío oportuno del ROS es una de las obligaciones más importantes que tienen las entidades dentro del sistema SARLAFT. Su cumplimiento no solo fortalece los mecanismos de control frente al crimen financiero, sino que también protege a las organizaciones de posibles responsabilidades legales derivadas de la omisión en el reporte de operaciones sospechosas.</w:t>
      </w:r>
    </w:p>
    <w:p w14:paraId="4FFE026A" w14:textId="77777777" w:rsidR="00527D29" w:rsidRDefault="00527D29" w:rsidP="0007033F">
      <w:pPr>
        <w:pStyle w:val="Normal0"/>
        <w:rPr>
          <w:bCs/>
          <w:sz w:val="20"/>
          <w:szCs w:val="20"/>
        </w:rPr>
      </w:pPr>
    </w:p>
    <w:p w14:paraId="502AAA66" w14:textId="4A5C6414" w:rsidR="004C1EBF" w:rsidRDefault="00527D29" w:rsidP="00312345">
      <w:pPr>
        <w:pStyle w:val="Normal0"/>
        <w:shd w:val="clear" w:color="auto" w:fill="DBE5F1" w:themeFill="accent1" w:themeFillTint="33"/>
        <w:rPr>
          <w:bCs/>
          <w:sz w:val="20"/>
          <w:szCs w:val="20"/>
        </w:rPr>
      </w:pPr>
      <w:r w:rsidRPr="00527D29">
        <w:rPr>
          <w:bCs/>
          <w:sz w:val="20"/>
          <w:szCs w:val="20"/>
        </w:rPr>
        <w:t>Además de los reportes asociados a operaciones sospechosas, las organizaciones deben considerar otros mecanismos de control orientados al registro y seguimiento de transacciones que, por sus características, pueden representar un riesgo dentro del sistema financiero. Entre estos mecanismos se encuentran aquellos relacionados con el manejo de dinero en efectivo, los cuales requieren un control específico debido a su mayor nivel de exposición a posibles usos indebidos.</w:t>
      </w:r>
    </w:p>
    <w:p w14:paraId="65C35B65" w14:textId="77777777" w:rsidR="0007033F" w:rsidRDefault="0007033F" w:rsidP="0007033F">
      <w:pPr>
        <w:pStyle w:val="Normal0"/>
        <w:rPr>
          <w:b/>
          <w:sz w:val="20"/>
          <w:szCs w:val="20"/>
        </w:rPr>
      </w:pPr>
    </w:p>
    <w:p w14:paraId="7BC6EA44" w14:textId="5707EAB1" w:rsidR="008960CE" w:rsidRPr="0007033F" w:rsidRDefault="008960CE" w:rsidP="0007033F">
      <w:pPr>
        <w:pStyle w:val="Normal0"/>
        <w:rPr>
          <w:b/>
          <w:sz w:val="20"/>
          <w:szCs w:val="20"/>
        </w:rPr>
      </w:pPr>
      <w:r w:rsidRPr="0007033F">
        <w:rPr>
          <w:b/>
          <w:sz w:val="20"/>
          <w:szCs w:val="20"/>
        </w:rPr>
        <w:t>3</w:t>
      </w:r>
      <w:r w:rsidRPr="00D97491">
        <w:rPr>
          <w:b/>
          <w:sz w:val="20"/>
          <w:szCs w:val="20"/>
        </w:rPr>
        <w:t>.2 Reporte de transacciones en efectivo</w:t>
      </w:r>
    </w:p>
    <w:p w14:paraId="6F2A6B9E" w14:textId="77777777" w:rsidR="008960CE" w:rsidRPr="0007033F" w:rsidRDefault="008960CE" w:rsidP="0007033F">
      <w:pPr>
        <w:pStyle w:val="NormalWeb"/>
        <w:spacing w:line="276" w:lineRule="auto"/>
        <w:rPr>
          <w:rFonts w:ascii="Arial" w:hAnsi="Arial" w:cs="Arial"/>
          <w:sz w:val="20"/>
          <w:szCs w:val="20"/>
          <w:lang w:eastAsia="es-CO"/>
        </w:rPr>
      </w:pPr>
      <w:r w:rsidRPr="0007033F">
        <w:rPr>
          <w:rFonts w:ascii="Arial" w:hAnsi="Arial" w:cs="Arial"/>
          <w:sz w:val="20"/>
          <w:szCs w:val="20"/>
        </w:rPr>
        <w:t>El reporte de transacciones en efectivo es un mecanismo de control utilizado dentro del sistema SARLAFT para registrar y reportar operaciones realizadas con dinero en efectivo que superan determinados montos establecidos por la normativa vigente. Este tipo de reporte permite a las entidades financieras y a las organizaciones vigiladas informar a las autoridades competentes sobre movimientos significativos de dinero en efectivo que podrían representar un riesgo relacionado con el lavado de activos o la financiación del terrorismo.</w:t>
      </w:r>
    </w:p>
    <w:p w14:paraId="3339566D" w14:textId="029C283C" w:rsidR="00843497" w:rsidRPr="0007033F" w:rsidRDefault="00843497" w:rsidP="0007033F">
      <w:pPr>
        <w:pStyle w:val="NormalWeb"/>
        <w:spacing w:line="276" w:lineRule="auto"/>
        <w:rPr>
          <w:rFonts w:ascii="Arial" w:hAnsi="Arial" w:cs="Arial"/>
          <w:sz w:val="20"/>
          <w:szCs w:val="20"/>
        </w:rPr>
      </w:pPr>
      <w:r w:rsidRPr="00843497">
        <w:rPr>
          <w:rFonts w:ascii="Arial" w:hAnsi="Arial" w:cs="Arial"/>
          <w:sz w:val="20"/>
          <w:szCs w:val="20"/>
        </w:rPr>
        <w:t>Dentro del sistema financiero, las operaciones en efectivo pueden presentar mayores riesgos debido a que este tipo de transacciones dificulta el seguimiento del origen y destino de los recursos. Por esta razón, las autoridades regulatorias han establecido obligaciones para que las entidades registren y reporten este tipo de operaciones cuando superan ciertos límites definidos por la regulación.</w:t>
      </w:r>
    </w:p>
    <w:p w14:paraId="1988BC8D" w14:textId="77777777" w:rsidR="00011043" w:rsidRDefault="008960CE" w:rsidP="0007033F">
      <w:pPr>
        <w:pStyle w:val="NormalWeb"/>
        <w:spacing w:line="276" w:lineRule="auto"/>
        <w:rPr>
          <w:rFonts w:ascii="Arial" w:hAnsi="Arial" w:cs="Arial"/>
          <w:sz w:val="20"/>
          <w:szCs w:val="20"/>
        </w:rPr>
      </w:pPr>
      <w:r w:rsidRPr="0007033F">
        <w:rPr>
          <w:rFonts w:ascii="Arial" w:hAnsi="Arial" w:cs="Arial"/>
          <w:sz w:val="20"/>
          <w:szCs w:val="20"/>
        </w:rPr>
        <w:t xml:space="preserve">El reporte de transacciones en efectivo permite a las autoridades contar con información relevante para el análisis de posibles actividades ilícitas dentro del sistema financiero. A través de estos reportes, entidades </w:t>
      </w:r>
      <w:r w:rsidRPr="0007033F">
        <w:rPr>
          <w:rFonts w:ascii="Arial" w:hAnsi="Arial" w:cs="Arial"/>
          <w:sz w:val="20"/>
          <w:szCs w:val="20"/>
        </w:rPr>
        <w:lastRenderedPageBreak/>
        <w:t xml:space="preserve">como la Unidad de Información y Análisis Financiero (UIAF) pueden identificar patrones de comportamiento </w:t>
      </w:r>
      <w:r w:rsidR="00011043">
        <w:rPr>
          <w:rFonts w:ascii="Arial" w:hAnsi="Arial" w:cs="Arial"/>
          <w:sz w:val="20"/>
          <w:szCs w:val="20"/>
        </w:rPr>
        <w:t>como:</w:t>
      </w:r>
    </w:p>
    <w:p w14:paraId="40DA5023" w14:textId="13293CD9" w:rsidR="00011043" w:rsidRDefault="00011043" w:rsidP="0007033F">
      <w:pPr>
        <w:pStyle w:val="NormalWeb"/>
        <w:spacing w:line="276" w:lineRule="auto"/>
        <w:rPr>
          <w:rFonts w:ascii="Arial" w:hAnsi="Arial" w:cs="Arial"/>
          <w:sz w:val="20"/>
          <w:szCs w:val="20"/>
        </w:rPr>
      </w:pPr>
      <w:r>
        <w:rPr>
          <w:rFonts w:ascii="Arial" w:hAnsi="Arial" w:cs="Arial"/>
          <w:noProof/>
          <w:sz w:val="20"/>
          <w:szCs w:val="20"/>
        </w:rPr>
        <w:drawing>
          <wp:inline distT="0" distB="0" distL="0" distR="0" wp14:anchorId="30100249" wp14:editId="0C0E4321">
            <wp:extent cx="4815191" cy="2451370"/>
            <wp:effectExtent l="19050" t="0" r="24130" b="0"/>
            <wp:docPr id="780204619"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2FFC8C6A" w14:textId="77777777" w:rsidR="000A4AB4" w:rsidRDefault="000A4AB4" w:rsidP="0007033F">
      <w:pPr>
        <w:pStyle w:val="NormalWeb"/>
        <w:spacing w:line="276" w:lineRule="auto"/>
        <w:rPr>
          <w:rFonts w:ascii="Arial" w:hAnsi="Arial" w:cs="Arial"/>
          <w:sz w:val="20"/>
          <w:szCs w:val="20"/>
        </w:rPr>
      </w:pPr>
      <w:r w:rsidRPr="000A4AB4">
        <w:rPr>
          <w:rFonts w:ascii="Arial" w:hAnsi="Arial" w:cs="Arial"/>
          <w:sz w:val="20"/>
          <w:szCs w:val="20"/>
        </w:rPr>
        <w:t>Igualmente, la implementación de este tipo de reportes fortalece los mecanismos de control dentro de las organizaciones, ya que promueve una mayor transparencia en las operaciones financieras realizadas por los clientes. El seguimiento de las transacciones en efectivo contribuye a mejorar los sistemas de monitoreo y facilita la detección temprana de operaciones que puedan representar riesgos para la integridad del sistema financiero.</w:t>
      </w:r>
    </w:p>
    <w:p w14:paraId="6BE80501" w14:textId="34B699EA" w:rsidR="00D816E0" w:rsidRDefault="00D816E0" w:rsidP="0007033F">
      <w:pPr>
        <w:pStyle w:val="NormalWeb"/>
        <w:spacing w:line="276" w:lineRule="auto"/>
        <w:rPr>
          <w:rFonts w:ascii="Arial" w:hAnsi="Arial" w:cs="Arial"/>
          <w:sz w:val="20"/>
          <w:szCs w:val="20"/>
        </w:rPr>
      </w:pPr>
      <w:r w:rsidRPr="00D816E0">
        <w:rPr>
          <w:rFonts w:ascii="Arial" w:hAnsi="Arial" w:cs="Arial"/>
          <w:sz w:val="20"/>
          <w:szCs w:val="20"/>
        </w:rPr>
        <w:t>Algunas transacciones en efectivo pueden presentar características que requieren ser reportadas, debido a su monto, frecuencia o comportamiento frente al perfil del cliente:</w:t>
      </w:r>
    </w:p>
    <w:p w14:paraId="548B8BAA" w14:textId="4EB93B44" w:rsidR="009A00F1" w:rsidRPr="009A00F1" w:rsidRDefault="009A00F1" w:rsidP="009A00F1">
      <w:pPr>
        <w:pStyle w:val="NormalWeb"/>
        <w:numPr>
          <w:ilvl w:val="0"/>
          <w:numId w:val="29"/>
        </w:numPr>
        <w:spacing w:line="276" w:lineRule="auto"/>
        <w:rPr>
          <w:rFonts w:ascii="Arial" w:hAnsi="Arial" w:cs="Arial"/>
          <w:sz w:val="20"/>
          <w:szCs w:val="20"/>
        </w:rPr>
      </w:pPr>
      <w:commentRangeStart w:id="11"/>
      <w:r w:rsidRPr="009A00F1">
        <w:rPr>
          <w:rFonts w:ascii="Arial" w:hAnsi="Arial" w:cs="Arial"/>
          <w:b/>
          <w:bCs/>
          <w:sz w:val="20"/>
          <w:szCs w:val="20"/>
        </w:rPr>
        <w:t>Depósitos en efectivo:</w:t>
      </w:r>
      <w:r w:rsidRPr="009A00F1">
        <w:rPr>
          <w:rFonts w:ascii="Arial" w:hAnsi="Arial" w:cs="Arial"/>
          <w:sz w:val="20"/>
          <w:szCs w:val="20"/>
        </w:rPr>
        <w:t xml:space="preserve"> operaciones que superan los montos establecidos por la normativa vigente. </w:t>
      </w:r>
    </w:p>
    <w:p w14:paraId="0879CAA9" w14:textId="25512BFA" w:rsidR="009A00F1" w:rsidRPr="009A00F1" w:rsidRDefault="009A00F1" w:rsidP="009A00F1">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Retiros en efectivo:</w:t>
      </w:r>
      <w:r w:rsidRPr="009A00F1">
        <w:rPr>
          <w:rFonts w:ascii="Arial" w:hAnsi="Arial" w:cs="Arial"/>
          <w:sz w:val="20"/>
          <w:szCs w:val="20"/>
        </w:rPr>
        <w:t xml:space="preserve"> extracciones de grandes cantidades de dinero realizadas en una sola o varias operaciones. </w:t>
      </w:r>
    </w:p>
    <w:p w14:paraId="43606DF7" w14:textId="44896482" w:rsidR="009A00F1" w:rsidRPr="009A00F1" w:rsidRDefault="009A00F1" w:rsidP="009A00F1">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Operaciones frecuentes:</w:t>
      </w:r>
      <w:r w:rsidRPr="009A00F1">
        <w:rPr>
          <w:rFonts w:ascii="Arial" w:hAnsi="Arial" w:cs="Arial"/>
          <w:sz w:val="20"/>
          <w:szCs w:val="20"/>
        </w:rPr>
        <w:t xml:space="preserve"> transacciones en efectivo realizadas de manera repetitiva en un corto periodo de tiempo. </w:t>
      </w:r>
    </w:p>
    <w:p w14:paraId="65677BE3" w14:textId="4514EB18" w:rsidR="009A00F1" w:rsidRPr="009A00F1" w:rsidRDefault="009A00F1" w:rsidP="009A00F1">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Depósitos de terceros:</w:t>
      </w:r>
      <w:r w:rsidRPr="009A00F1">
        <w:rPr>
          <w:rFonts w:ascii="Arial" w:hAnsi="Arial" w:cs="Arial"/>
          <w:sz w:val="20"/>
          <w:szCs w:val="20"/>
        </w:rPr>
        <w:t xml:space="preserve"> consignaciones efectuadas por personas distintas al titular de la cuenta. </w:t>
      </w:r>
    </w:p>
    <w:p w14:paraId="4E08A787" w14:textId="692DDAD3" w:rsidR="009A00F1" w:rsidRPr="009A00F1" w:rsidRDefault="009A00F1" w:rsidP="009A00F1">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Movimientos no justificados:</w:t>
      </w:r>
      <w:r w:rsidRPr="009A00F1">
        <w:rPr>
          <w:rFonts w:ascii="Arial" w:hAnsi="Arial" w:cs="Arial"/>
          <w:sz w:val="20"/>
          <w:szCs w:val="20"/>
        </w:rPr>
        <w:t xml:space="preserve"> transacciones que no corresponden con la actividad económica del cliente. </w:t>
      </w:r>
    </w:p>
    <w:p w14:paraId="3D0FCDBF" w14:textId="0296ADFD" w:rsidR="009A00F1" w:rsidRPr="009A00F1" w:rsidRDefault="009A00F1" w:rsidP="009A00F1">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Fraccionamiento de operaciones:</w:t>
      </w:r>
      <w:r w:rsidRPr="009A00F1">
        <w:rPr>
          <w:rFonts w:ascii="Arial" w:hAnsi="Arial" w:cs="Arial"/>
          <w:sz w:val="20"/>
          <w:szCs w:val="20"/>
        </w:rPr>
        <w:t xml:space="preserve"> división de depósitos en montos menores con el fin de evitar controles o reportes. </w:t>
      </w:r>
    </w:p>
    <w:p w14:paraId="25DF8489" w14:textId="0DE984F9" w:rsidR="009A00F1" w:rsidRPr="009A00F1" w:rsidRDefault="009A00F1" w:rsidP="009A00F1">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Conversión de efectivo:</w:t>
      </w:r>
      <w:r w:rsidRPr="009A00F1">
        <w:rPr>
          <w:rFonts w:ascii="Arial" w:hAnsi="Arial" w:cs="Arial"/>
          <w:sz w:val="20"/>
          <w:szCs w:val="20"/>
        </w:rPr>
        <w:t xml:space="preserve"> cambio de grandes cantidades de dinero en efectivo a otros instrumentos financieros.</w:t>
      </w:r>
      <w:commentRangeEnd w:id="11"/>
      <w:r w:rsidR="00331765" w:rsidRPr="009A00F1">
        <w:rPr>
          <w:rStyle w:val="Refdecomentario"/>
          <w:rFonts w:ascii="Arial" w:hAnsi="Arial" w:cs="Arial"/>
          <w:sz w:val="20"/>
          <w:szCs w:val="20"/>
        </w:rPr>
        <w:commentReference w:id="11"/>
      </w:r>
    </w:p>
    <w:p w14:paraId="5B6BD300" w14:textId="1CF83642" w:rsidR="00643D8F" w:rsidRPr="00FC550D" w:rsidRDefault="00AF2D8F" w:rsidP="00FC550D">
      <w:pPr>
        <w:pStyle w:val="NormalWeb"/>
        <w:spacing w:line="276" w:lineRule="auto"/>
        <w:rPr>
          <w:rFonts w:ascii="Arial" w:hAnsi="Arial" w:cs="Arial"/>
          <w:sz w:val="20"/>
          <w:szCs w:val="20"/>
        </w:rPr>
      </w:pPr>
      <w:r w:rsidRPr="00AF2D8F">
        <w:rPr>
          <w:rFonts w:ascii="Arial" w:hAnsi="Arial" w:cs="Arial"/>
          <w:sz w:val="20"/>
          <w:szCs w:val="20"/>
        </w:rPr>
        <w:t>El adecuado registro y reporte de estas transacciones en efectivo contribuye a la trazabilidad de los recursos dentro del sistema financiero y fortalece la capacidad de las autoridades para detectar posibles operaciones relacionadas con el lavado de activos. Este mecanismo se articula con otros procesos de control que permiten identificar patrones en la realización de múltiples transacciones por parte de un mismo cliente, lo cual facilita un análisis más integral de su comportamiento financiero.</w:t>
      </w:r>
    </w:p>
    <w:p w14:paraId="124F4D63" w14:textId="6E51A702" w:rsidR="008960CE" w:rsidRPr="0007033F" w:rsidRDefault="008960CE" w:rsidP="0007033F">
      <w:pPr>
        <w:pStyle w:val="Normal0"/>
        <w:rPr>
          <w:b/>
          <w:sz w:val="20"/>
          <w:szCs w:val="20"/>
        </w:rPr>
      </w:pPr>
    </w:p>
    <w:p w14:paraId="4D80EF29" w14:textId="218B4747" w:rsidR="008960CE" w:rsidRPr="0007033F" w:rsidRDefault="008960CE" w:rsidP="0007033F">
      <w:pPr>
        <w:pStyle w:val="Normal0"/>
        <w:rPr>
          <w:b/>
          <w:sz w:val="20"/>
          <w:szCs w:val="20"/>
        </w:rPr>
      </w:pPr>
      <w:r w:rsidRPr="0007033F">
        <w:rPr>
          <w:b/>
          <w:sz w:val="20"/>
          <w:szCs w:val="20"/>
        </w:rPr>
        <w:lastRenderedPageBreak/>
        <w:t>3.3 Reporte de operaciones múltiples</w:t>
      </w:r>
    </w:p>
    <w:p w14:paraId="16EF100D" w14:textId="77777777" w:rsidR="008960CE" w:rsidRPr="0007033F" w:rsidRDefault="008960CE" w:rsidP="0007033F">
      <w:pPr>
        <w:pStyle w:val="NormalWeb"/>
        <w:spacing w:line="276" w:lineRule="auto"/>
        <w:rPr>
          <w:rFonts w:ascii="Arial" w:hAnsi="Arial" w:cs="Arial"/>
          <w:sz w:val="20"/>
          <w:szCs w:val="20"/>
          <w:lang w:eastAsia="es-CO"/>
        </w:rPr>
      </w:pPr>
      <w:r w:rsidRPr="0007033F">
        <w:rPr>
          <w:rFonts w:ascii="Arial" w:hAnsi="Arial" w:cs="Arial"/>
          <w:sz w:val="20"/>
          <w:szCs w:val="20"/>
        </w:rPr>
        <w:t>El reporte de operaciones múltiples es un mecanismo de control utilizado dentro del sistema SARLAFT para identificar y registrar varias transacciones realizadas por un mismo cliente que, en conjunto, pueden representar un riesgo asociado al lavado de activos o la financiación del terrorismo. Este tipo de reporte se aplica cuando un cliente realiza varias operaciones individuales que, aunque por separado no superan los límites establecidos por la normativa, al sumarse alcanzan montos que requieren ser reportados a las autoridades competentes.</w:t>
      </w:r>
    </w:p>
    <w:p w14:paraId="1541CCA0" w14:textId="4A3C6F02" w:rsidR="00840B80" w:rsidRDefault="00840B80" w:rsidP="0007033F">
      <w:pPr>
        <w:pStyle w:val="NormalWeb"/>
        <w:spacing w:line="276" w:lineRule="auto"/>
        <w:rPr>
          <w:rFonts w:ascii="Arial" w:hAnsi="Arial" w:cs="Arial"/>
          <w:sz w:val="20"/>
          <w:szCs w:val="20"/>
        </w:rPr>
      </w:pPr>
      <w:r w:rsidRPr="00840B80">
        <w:rPr>
          <w:rFonts w:ascii="Arial" w:hAnsi="Arial" w:cs="Arial"/>
          <w:sz w:val="20"/>
          <w:szCs w:val="20"/>
        </w:rPr>
        <w:t xml:space="preserve">En el contexto del sistema financiero, las operaciones múltiples pueden utilizarse como una estrategia para fragmentar grandes sumas de dinero en transacciones de menor valor con el objetivo de evadir controles establecidos por la normativa. Esta práctica, conocida como </w:t>
      </w:r>
      <w:r w:rsidRPr="003D6A89">
        <w:rPr>
          <w:rFonts w:ascii="Arial" w:hAnsi="Arial" w:cs="Arial"/>
          <w:b/>
          <w:bCs/>
          <w:sz w:val="20"/>
          <w:szCs w:val="20"/>
        </w:rPr>
        <w:t>estructuración o fraccionamiento de operaciones</w:t>
      </w:r>
      <w:r w:rsidRPr="00840B80">
        <w:rPr>
          <w:rFonts w:ascii="Arial" w:hAnsi="Arial" w:cs="Arial"/>
          <w:sz w:val="20"/>
          <w:szCs w:val="20"/>
        </w:rPr>
        <w:t xml:space="preserve">, dificulta la identificación del origen de los recursos y puede representar un riesgo dentro del sistema financiero. </w:t>
      </w:r>
      <w:r w:rsidR="0032057F">
        <w:rPr>
          <w:rFonts w:ascii="Arial" w:hAnsi="Arial" w:cs="Arial"/>
          <w:sz w:val="20"/>
          <w:szCs w:val="20"/>
        </w:rPr>
        <w:t xml:space="preserve">El siguiente recurso interactivo muestra </w:t>
      </w:r>
      <w:r w:rsidRPr="00840B80">
        <w:rPr>
          <w:rFonts w:ascii="Arial" w:hAnsi="Arial" w:cs="Arial"/>
          <w:sz w:val="20"/>
          <w:szCs w:val="20"/>
        </w:rPr>
        <w:t>cómo se desarrolla este comportamiento:</w:t>
      </w:r>
    </w:p>
    <w:p w14:paraId="0CF01236" w14:textId="1B0A7581" w:rsidR="00D37532" w:rsidRPr="0007033F" w:rsidRDefault="00FD6BD7" w:rsidP="0007033F">
      <w:pPr>
        <w:pStyle w:val="NormalWeb"/>
        <w:spacing w:line="276" w:lineRule="auto"/>
        <w:rPr>
          <w:rFonts w:ascii="Arial" w:hAnsi="Arial" w:cs="Arial"/>
          <w:sz w:val="20"/>
          <w:szCs w:val="20"/>
        </w:rPr>
      </w:pPr>
      <w:commentRangeStart w:id="12"/>
      <w:r>
        <w:rPr>
          <w:noProof/>
        </w:rPr>
        <w:drawing>
          <wp:inline distT="0" distB="0" distL="0" distR="0" wp14:anchorId="7DB049F7" wp14:editId="579057DA">
            <wp:extent cx="4572000" cy="4140064"/>
            <wp:effectExtent l="0" t="0" r="0" b="0"/>
            <wp:docPr id="2146917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7222" name=""/>
                    <pic:cNvPicPr/>
                  </pic:nvPicPr>
                  <pic:blipFill>
                    <a:blip r:embed="rId30"/>
                    <a:stretch>
                      <a:fillRect/>
                    </a:stretch>
                  </pic:blipFill>
                  <pic:spPr>
                    <a:xfrm>
                      <a:off x="0" y="0"/>
                      <a:ext cx="4576687" cy="4144309"/>
                    </a:xfrm>
                    <a:prstGeom prst="rect">
                      <a:avLst/>
                    </a:prstGeom>
                  </pic:spPr>
                </pic:pic>
              </a:graphicData>
            </a:graphic>
          </wp:inline>
        </w:drawing>
      </w:r>
      <w:commentRangeEnd w:id="12"/>
      <w:r w:rsidR="00E7184A" w:rsidRPr="0007033F">
        <w:rPr>
          <w:rStyle w:val="Refdecomentario"/>
          <w:rFonts w:ascii="Arial" w:hAnsi="Arial" w:cs="Arial"/>
          <w:sz w:val="20"/>
          <w:szCs w:val="20"/>
        </w:rPr>
        <w:commentReference w:id="12"/>
      </w:r>
    </w:p>
    <w:p w14:paraId="617A80C5" w14:textId="5CBD601E" w:rsidR="0009311D" w:rsidRDefault="00115793" w:rsidP="0007033F">
      <w:pPr>
        <w:pStyle w:val="NormalWeb"/>
        <w:spacing w:line="276"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6432" behindDoc="0" locked="0" layoutInCell="1" allowOverlap="1" wp14:anchorId="06C91922" wp14:editId="61FF13B0">
                <wp:simplePos x="0" y="0"/>
                <wp:positionH relativeFrom="column">
                  <wp:posOffset>193013</wp:posOffset>
                </wp:positionH>
                <wp:positionV relativeFrom="paragraph">
                  <wp:posOffset>823217</wp:posOffset>
                </wp:positionV>
                <wp:extent cx="4933139" cy="875895"/>
                <wp:effectExtent l="57150" t="38100" r="77470" b="95885"/>
                <wp:wrapNone/>
                <wp:docPr id="1767816464" name="Rectángulo: esquinas redondeadas 21"/>
                <wp:cNvGraphicFramePr/>
                <a:graphic xmlns:a="http://schemas.openxmlformats.org/drawingml/2006/main">
                  <a:graphicData uri="http://schemas.microsoft.com/office/word/2010/wordprocessingShape">
                    <wps:wsp>
                      <wps:cNvSpPr/>
                      <wps:spPr>
                        <a:xfrm>
                          <a:off x="0" y="0"/>
                          <a:ext cx="4933139" cy="87589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110AAF98" w14:textId="702D8EA4" w:rsidR="00AA0F8F" w:rsidRPr="00AA0F8F" w:rsidRDefault="00AA0F8F" w:rsidP="00AA0F8F">
                            <w:pPr>
                              <w:jc w:val="center"/>
                              <w:rPr>
                                <w:sz w:val="20"/>
                                <w:szCs w:val="20"/>
                              </w:rPr>
                            </w:pPr>
                            <w:r w:rsidRPr="00AA0F8F">
                              <w:rPr>
                                <w:sz w:val="20"/>
                                <w:szCs w:val="20"/>
                              </w:rPr>
                              <w:t>Los sistemas de control permiten analizar la frecuencia, el monto y la naturaleza de las operaciones para identificar aquellas que deben ser objeto de reporte.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C91922" id="Rectángulo: esquinas redondeadas 21" o:spid="_x0000_s1031" style="position:absolute;margin-left:15.2pt;margin-top:64.8pt;width:388.45pt;height:68.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" fillcolor="#bfb1d0 [1623]" strokecolor="#795d9b [3047]">
                <v:fill color2="#ece7f1 [503]" rotate="t" angle="180" colors="0 #c9b5e8;22938f #d9cbee;1 #f0eaf9" focus="100%" type="gradient"/>
                <v:shadow on="t" color="black" opacity="24903f" origin=",.5" offset="0,.55556mm"/>
                <v:textbox>
                  <w:txbxContent>
                    <w:p w14:paraId="110AAF98" w14:textId="702D8EA4" w:rsidR="00AA0F8F" w:rsidRPr="00AA0F8F" w:rsidRDefault="00AA0F8F" w:rsidP="00AA0F8F">
                      <w:pPr>
                        <w:jc w:val="center"/>
                        <w:rPr>
                          <w:sz w:val="20"/>
                          <w:szCs w:val="20"/>
                        </w:rPr>
                      </w:pPr>
                      <w:r w:rsidRPr="00AA0F8F">
                        <w:rPr>
                          <w:sz w:val="20"/>
                          <w:szCs w:val="20"/>
                        </w:rPr>
                        <w:t>Los sistemas de control permiten analizar la frecuencia, el monto y la naturaleza de las operaciones para identificar aquellas que deben ser objeto de reporte.</w:t>
                      </w:r>
                    </w:p>
                  </w:txbxContent>
                </v:textbox>
              </v:roundrect>
            </w:pict>
          </mc:Fallback>
        </mc:AlternateContent>
      </w:r>
      <w:r w:rsidR="0009311D" w:rsidRPr="0009311D">
        <w:rPr>
          <w:rFonts w:ascii="Arial" w:hAnsi="Arial" w:cs="Arial"/>
          <w:sz w:val="20"/>
          <w:szCs w:val="20"/>
        </w:rPr>
        <w:t>La representación anterior permite comprender cómo la división de un monto elevado en múltiples transacciones puede dificultar la detección de patrones inusuales. Este tipo de comportamiento requiere la implementación de mecanismos de monitoreo que faciliten la identificación de operaciones repetitivas o atípicas en un periodo determinado.</w:t>
      </w:r>
    </w:p>
    <w:p w14:paraId="24BED3D7" w14:textId="39E68D09" w:rsidR="00115793" w:rsidRDefault="00115793" w:rsidP="0007033F">
      <w:pPr>
        <w:pStyle w:val="NormalWeb"/>
        <w:spacing w:line="276" w:lineRule="auto"/>
        <w:rPr>
          <w:rFonts w:ascii="Arial" w:hAnsi="Arial" w:cs="Arial"/>
          <w:sz w:val="20"/>
          <w:szCs w:val="20"/>
        </w:rPr>
      </w:pPr>
    </w:p>
    <w:p w14:paraId="01C60B78" w14:textId="77777777" w:rsidR="00115793" w:rsidRDefault="00115793" w:rsidP="0007033F">
      <w:pPr>
        <w:pStyle w:val="NormalWeb"/>
        <w:spacing w:line="276" w:lineRule="auto"/>
        <w:rPr>
          <w:rFonts w:ascii="Arial" w:hAnsi="Arial" w:cs="Arial"/>
          <w:sz w:val="20"/>
          <w:szCs w:val="20"/>
        </w:rPr>
      </w:pPr>
    </w:p>
    <w:p w14:paraId="0FEF19B7" w14:textId="77777777" w:rsidR="008960CE" w:rsidRPr="0007033F" w:rsidRDefault="008960CE" w:rsidP="0007033F">
      <w:pPr>
        <w:pStyle w:val="NormalWeb"/>
        <w:spacing w:line="276" w:lineRule="auto"/>
        <w:rPr>
          <w:rFonts w:ascii="Arial" w:hAnsi="Arial" w:cs="Arial"/>
          <w:sz w:val="20"/>
          <w:szCs w:val="20"/>
        </w:rPr>
      </w:pPr>
      <w:r w:rsidRPr="0007033F">
        <w:rPr>
          <w:rFonts w:ascii="Arial" w:hAnsi="Arial" w:cs="Arial"/>
          <w:sz w:val="20"/>
          <w:szCs w:val="20"/>
        </w:rPr>
        <w:lastRenderedPageBreak/>
        <w:t>Entre algunos ejemplos de situaciones que pueden generar un reporte de operaciones múltiples se encuentran los siguientes:</w:t>
      </w:r>
    </w:p>
    <w:p w14:paraId="62BA3B66" w14:textId="77777777" w:rsidR="008960CE" w:rsidRPr="0007033F" w:rsidRDefault="008960CE" w:rsidP="00C14539">
      <w:pPr>
        <w:pStyle w:val="NormalWeb"/>
        <w:numPr>
          <w:ilvl w:val="0"/>
          <w:numId w:val="10"/>
        </w:numPr>
        <w:spacing w:line="276" w:lineRule="auto"/>
        <w:rPr>
          <w:rFonts w:ascii="Arial" w:hAnsi="Arial" w:cs="Arial"/>
          <w:sz w:val="20"/>
          <w:szCs w:val="20"/>
        </w:rPr>
      </w:pPr>
      <w:commentRangeStart w:id="13"/>
      <w:r w:rsidRPr="0007033F">
        <w:rPr>
          <w:rFonts w:ascii="Arial" w:hAnsi="Arial" w:cs="Arial"/>
          <w:sz w:val="20"/>
          <w:szCs w:val="20"/>
        </w:rPr>
        <w:t>Realización de varios depósitos en efectivo en un mismo día por montos similares.</w:t>
      </w:r>
    </w:p>
    <w:p w14:paraId="1D85A18E" w14:textId="77777777" w:rsidR="008960CE" w:rsidRPr="0007033F" w:rsidRDefault="008960CE" w:rsidP="00C14539">
      <w:pPr>
        <w:pStyle w:val="NormalWeb"/>
        <w:numPr>
          <w:ilvl w:val="0"/>
          <w:numId w:val="10"/>
        </w:numPr>
        <w:spacing w:line="276" w:lineRule="auto"/>
        <w:rPr>
          <w:rFonts w:ascii="Arial" w:hAnsi="Arial" w:cs="Arial"/>
          <w:sz w:val="20"/>
          <w:szCs w:val="20"/>
        </w:rPr>
      </w:pPr>
      <w:r w:rsidRPr="0007033F">
        <w:rPr>
          <w:rFonts w:ascii="Arial" w:hAnsi="Arial" w:cs="Arial"/>
          <w:sz w:val="20"/>
          <w:szCs w:val="20"/>
        </w:rPr>
        <w:t>Fragmentación de grandes sumas de dinero en múltiples transacciones pequeñas.</w:t>
      </w:r>
    </w:p>
    <w:p w14:paraId="2A9394D6" w14:textId="77777777" w:rsidR="008960CE" w:rsidRPr="0007033F" w:rsidRDefault="008960CE" w:rsidP="00C14539">
      <w:pPr>
        <w:pStyle w:val="NormalWeb"/>
        <w:numPr>
          <w:ilvl w:val="0"/>
          <w:numId w:val="10"/>
        </w:numPr>
        <w:spacing w:line="276" w:lineRule="auto"/>
        <w:rPr>
          <w:rFonts w:ascii="Arial" w:hAnsi="Arial" w:cs="Arial"/>
          <w:sz w:val="20"/>
          <w:szCs w:val="20"/>
        </w:rPr>
      </w:pPr>
      <w:r w:rsidRPr="0007033F">
        <w:rPr>
          <w:rFonts w:ascii="Arial" w:hAnsi="Arial" w:cs="Arial"/>
          <w:sz w:val="20"/>
          <w:szCs w:val="20"/>
        </w:rPr>
        <w:t>Depósitos frecuentes realizados en diferentes sucursales de una misma entidad.</w:t>
      </w:r>
    </w:p>
    <w:p w14:paraId="7AC19DD2" w14:textId="77777777" w:rsidR="008960CE" w:rsidRPr="0007033F" w:rsidRDefault="008960CE" w:rsidP="00C14539">
      <w:pPr>
        <w:pStyle w:val="NormalWeb"/>
        <w:numPr>
          <w:ilvl w:val="0"/>
          <w:numId w:val="10"/>
        </w:numPr>
        <w:spacing w:line="276" w:lineRule="auto"/>
        <w:rPr>
          <w:rFonts w:ascii="Arial" w:hAnsi="Arial" w:cs="Arial"/>
          <w:sz w:val="20"/>
          <w:szCs w:val="20"/>
        </w:rPr>
      </w:pPr>
      <w:r w:rsidRPr="0007033F">
        <w:rPr>
          <w:rFonts w:ascii="Arial" w:hAnsi="Arial" w:cs="Arial"/>
          <w:sz w:val="20"/>
          <w:szCs w:val="20"/>
        </w:rPr>
        <w:t>Transferencias consecutivas entre cuentas relacionadas con un mismo cliente.</w:t>
      </w:r>
    </w:p>
    <w:p w14:paraId="70D07773" w14:textId="77777777" w:rsidR="008960CE" w:rsidRPr="0007033F" w:rsidRDefault="008960CE" w:rsidP="00C14539">
      <w:pPr>
        <w:pStyle w:val="NormalWeb"/>
        <w:numPr>
          <w:ilvl w:val="0"/>
          <w:numId w:val="10"/>
        </w:numPr>
        <w:spacing w:line="276" w:lineRule="auto"/>
        <w:rPr>
          <w:rFonts w:ascii="Arial" w:hAnsi="Arial" w:cs="Arial"/>
          <w:sz w:val="20"/>
          <w:szCs w:val="20"/>
        </w:rPr>
      </w:pPr>
      <w:r w:rsidRPr="0007033F">
        <w:rPr>
          <w:rFonts w:ascii="Arial" w:hAnsi="Arial" w:cs="Arial"/>
          <w:sz w:val="20"/>
          <w:szCs w:val="20"/>
        </w:rPr>
        <w:t>Operaciones realizadas por varias personas en beneficio de un mismo titular de cuenta.</w:t>
      </w:r>
    </w:p>
    <w:p w14:paraId="088361DB" w14:textId="77777777" w:rsidR="008960CE" w:rsidRPr="0007033F" w:rsidRDefault="008960CE" w:rsidP="00C14539">
      <w:pPr>
        <w:pStyle w:val="NormalWeb"/>
        <w:numPr>
          <w:ilvl w:val="0"/>
          <w:numId w:val="10"/>
        </w:numPr>
        <w:spacing w:line="276" w:lineRule="auto"/>
        <w:rPr>
          <w:rFonts w:ascii="Arial" w:hAnsi="Arial" w:cs="Arial"/>
          <w:sz w:val="20"/>
          <w:szCs w:val="20"/>
        </w:rPr>
      </w:pPr>
      <w:r w:rsidRPr="0007033F">
        <w:rPr>
          <w:rFonts w:ascii="Arial" w:hAnsi="Arial" w:cs="Arial"/>
          <w:sz w:val="20"/>
          <w:szCs w:val="20"/>
        </w:rPr>
        <w:t>Movimientos repetitivos de dinero en periodos cortos de tiempo.</w:t>
      </w:r>
    </w:p>
    <w:p w14:paraId="334DB167" w14:textId="77777777" w:rsidR="008960CE" w:rsidRDefault="008960CE" w:rsidP="00C14539">
      <w:pPr>
        <w:pStyle w:val="NormalWeb"/>
        <w:numPr>
          <w:ilvl w:val="0"/>
          <w:numId w:val="10"/>
        </w:numPr>
        <w:spacing w:line="276" w:lineRule="auto"/>
        <w:rPr>
          <w:rFonts w:ascii="Arial" w:hAnsi="Arial" w:cs="Arial"/>
          <w:sz w:val="20"/>
          <w:szCs w:val="20"/>
        </w:rPr>
      </w:pPr>
      <w:r w:rsidRPr="0007033F">
        <w:rPr>
          <w:rFonts w:ascii="Arial" w:hAnsi="Arial" w:cs="Arial"/>
          <w:sz w:val="20"/>
          <w:szCs w:val="20"/>
        </w:rPr>
        <w:t>Uso de múltiples cuentas para movilizar recursos de manera fraccionada.</w:t>
      </w:r>
      <w:commentRangeEnd w:id="13"/>
      <w:r w:rsidR="00E06BF7">
        <w:rPr>
          <w:rStyle w:val="Refdecomentario"/>
          <w:rFonts w:ascii="Arial" w:hAnsi="Arial" w:cs="Arial"/>
          <w:sz w:val="20"/>
          <w:szCs w:val="20"/>
        </w:rPr>
        <w:commentReference w:id="13"/>
      </w:r>
    </w:p>
    <w:p w14:paraId="4DD3523B" w14:textId="780DBC4F" w:rsidR="008960CE" w:rsidRPr="004A6104" w:rsidRDefault="0060513F" w:rsidP="00A45469">
      <w:pPr>
        <w:pStyle w:val="NormalWeb"/>
        <w:spacing w:line="276" w:lineRule="auto"/>
        <w:rPr>
          <w:rFonts w:ascii="Arial" w:hAnsi="Arial" w:cs="Arial"/>
          <w:sz w:val="20"/>
          <w:szCs w:val="20"/>
        </w:rPr>
      </w:pPr>
      <w:r w:rsidRPr="0060513F">
        <w:rPr>
          <w:rFonts w:ascii="Arial" w:hAnsi="Arial" w:cs="Arial"/>
          <w:sz w:val="20"/>
          <w:szCs w:val="20"/>
        </w:rPr>
        <w:t xml:space="preserve">Las situaciones descritas permiten identificar patrones de comportamiento asociados a la realización de múltiples transacciones en un periodo determinado. Estos comportamientos facilitan el reconocimiento de operaciones que pueden requerir análisis y seguimiento por parte de las entidades, con el fin de evaluar su </w:t>
      </w:r>
      <w:r w:rsidRPr="004A6104">
        <w:rPr>
          <w:rFonts w:ascii="Arial" w:hAnsi="Arial" w:cs="Arial"/>
          <w:sz w:val="20"/>
          <w:szCs w:val="20"/>
        </w:rPr>
        <w:t>coherencia frente al perfil del cliente.</w:t>
      </w:r>
    </w:p>
    <w:p w14:paraId="2A069321" w14:textId="5C8A1C09" w:rsidR="008960CE" w:rsidRPr="004A6104" w:rsidRDefault="008960CE" w:rsidP="0007033F">
      <w:pPr>
        <w:pStyle w:val="Normal0"/>
        <w:rPr>
          <w:b/>
          <w:sz w:val="20"/>
          <w:szCs w:val="20"/>
        </w:rPr>
      </w:pPr>
      <w:r w:rsidRPr="004A6104">
        <w:rPr>
          <w:b/>
          <w:sz w:val="20"/>
          <w:szCs w:val="20"/>
        </w:rPr>
        <w:t>3.4 Importancia de los sistemas de reporte</w:t>
      </w:r>
    </w:p>
    <w:p w14:paraId="337E57BB" w14:textId="77777777" w:rsidR="008960CE" w:rsidRPr="0007033F" w:rsidRDefault="008960CE" w:rsidP="0007033F">
      <w:pPr>
        <w:spacing w:before="100" w:beforeAutospacing="1" w:after="100" w:afterAutospacing="1"/>
        <w:rPr>
          <w:rFonts w:eastAsia="Times New Roman"/>
          <w:sz w:val="20"/>
          <w:szCs w:val="20"/>
          <w:lang w:eastAsia="es-CO"/>
        </w:rPr>
      </w:pPr>
      <w:r w:rsidRPr="004A6104">
        <w:rPr>
          <w:rFonts w:eastAsia="Times New Roman"/>
          <w:sz w:val="20"/>
          <w:szCs w:val="20"/>
          <w:lang w:eastAsia="es-CO"/>
        </w:rPr>
        <w:t>Los sistemas de reporte desempeñan un papel fun</w:t>
      </w:r>
      <w:r w:rsidRPr="0007033F">
        <w:rPr>
          <w:rFonts w:eastAsia="Times New Roman"/>
          <w:sz w:val="20"/>
          <w:szCs w:val="20"/>
          <w:lang w:eastAsia="es-CO"/>
        </w:rPr>
        <w:t>damental en la prevención del lavado de activos y la financiación del terrorismo dentro del sistema financiero y empresarial. A través de estos mecanismos, las organizaciones pueden informar a las autoridades competentes sobre operaciones que presentan características inusuales o sospechosas, contribuyendo así al fortalecimiento de los procesos de supervisión y control frente a posibles actividades ilícitas.</w:t>
      </w:r>
    </w:p>
    <w:p w14:paraId="10F87C93" w14:textId="77777777" w:rsidR="008960CE" w:rsidRDefault="008960CE"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En el marco del sistema SARLAFT, los sistemas de reporte permiten que las entidades vigiladas registren y transmitan información relevante relacionada con determinadas transacciones financieras. Esta información es analizada posteriormente por las autoridades competentes, como la Unidad de Información y Análisis Financiero (UIAF), con el fin de identificar patrones de comportamiento que puedan estar vinculados con actividades de lavado de activos o financiación del terrorismo.</w:t>
      </w:r>
    </w:p>
    <w:p w14:paraId="1532DDF3" w14:textId="025E5627" w:rsidR="007A1DEA" w:rsidRDefault="007A1DEA" w:rsidP="0007033F">
      <w:pPr>
        <w:spacing w:before="100" w:beforeAutospacing="1" w:after="100" w:afterAutospacing="1"/>
        <w:rPr>
          <w:rFonts w:eastAsia="Times New Roman"/>
          <w:sz w:val="20"/>
          <w:szCs w:val="20"/>
          <w:lang w:eastAsia="es-CO"/>
        </w:rPr>
      </w:pPr>
      <w:r w:rsidRPr="007A1DEA">
        <w:rPr>
          <w:rFonts w:eastAsia="Times New Roman"/>
          <w:sz w:val="20"/>
          <w:szCs w:val="20"/>
          <w:lang w:eastAsia="es-CO"/>
        </w:rPr>
        <w:t>La importancia de los sistemas de reporte se evidencia en distintos aspectos que contribuyen al fortalecimiento del control, la transparencia y el cumplimiento dentro del sistema financiero. A continuación, se presentan algunos de los principales elementos que explican su relevancia:</w:t>
      </w:r>
    </w:p>
    <w:p w14:paraId="44EE7C20" w14:textId="6D2996AC" w:rsidR="00513D6A" w:rsidRPr="00E75D50" w:rsidRDefault="00513D6A" w:rsidP="00E75D50">
      <w:pPr>
        <w:pStyle w:val="Prrafodelista"/>
        <w:numPr>
          <w:ilvl w:val="0"/>
          <w:numId w:val="30"/>
        </w:numPr>
        <w:spacing w:before="100" w:beforeAutospacing="1" w:after="100" w:afterAutospacing="1"/>
        <w:rPr>
          <w:rFonts w:eastAsia="Times New Roman"/>
          <w:b/>
          <w:bCs/>
          <w:sz w:val="20"/>
          <w:szCs w:val="20"/>
          <w:lang w:eastAsia="es-CO"/>
        </w:rPr>
      </w:pPr>
      <w:commentRangeStart w:id="14"/>
      <w:r w:rsidRPr="00E75D50">
        <w:rPr>
          <w:rFonts w:eastAsia="Times New Roman"/>
          <w:b/>
          <w:bCs/>
          <w:sz w:val="20"/>
          <w:szCs w:val="20"/>
          <w:lang w:eastAsia="es-CO"/>
        </w:rPr>
        <w:t>Transparencia en la información</w:t>
      </w:r>
    </w:p>
    <w:p w14:paraId="0C1CB24B" w14:textId="77777777" w:rsidR="00513D6A" w:rsidRPr="00E75D50" w:rsidRDefault="00513D6A" w:rsidP="00E75D50">
      <w:pPr>
        <w:pStyle w:val="Prrafodelista"/>
        <w:spacing w:before="100" w:beforeAutospacing="1" w:after="100" w:afterAutospacing="1"/>
        <w:rPr>
          <w:rFonts w:eastAsia="Times New Roman"/>
          <w:sz w:val="20"/>
          <w:szCs w:val="20"/>
          <w:lang w:eastAsia="es-CO"/>
        </w:rPr>
      </w:pPr>
      <w:r w:rsidRPr="00E75D50">
        <w:rPr>
          <w:rFonts w:eastAsia="Times New Roman"/>
          <w:sz w:val="20"/>
          <w:szCs w:val="20"/>
          <w:lang w:eastAsia="es-CO"/>
        </w:rPr>
        <w:t>Los sistemas de reporte permiten registrar y comunicar información relevante sobre las operaciones financieras realizadas. Esto facilita el acceso a datos confiables y oportunos por parte de las autoridades. De esta manera, se promueve la claridad en las transacciones y se fortalece la confianza en el sistema financiero.</w:t>
      </w:r>
    </w:p>
    <w:p w14:paraId="4E59D72C" w14:textId="6F863E17" w:rsidR="00513D6A" w:rsidRPr="00E75D50" w:rsidRDefault="00513D6A" w:rsidP="00E75D50">
      <w:pPr>
        <w:pStyle w:val="Prrafodelista"/>
        <w:numPr>
          <w:ilvl w:val="0"/>
          <w:numId w:val="30"/>
        </w:numPr>
        <w:spacing w:before="100" w:beforeAutospacing="1" w:after="100" w:afterAutospacing="1"/>
        <w:rPr>
          <w:rFonts w:eastAsia="Times New Roman"/>
          <w:b/>
          <w:bCs/>
          <w:sz w:val="20"/>
          <w:szCs w:val="20"/>
          <w:lang w:eastAsia="es-CO"/>
        </w:rPr>
      </w:pPr>
      <w:r w:rsidRPr="00E75D50">
        <w:rPr>
          <w:rFonts w:eastAsia="Times New Roman"/>
          <w:b/>
          <w:bCs/>
          <w:sz w:val="20"/>
          <w:szCs w:val="20"/>
          <w:lang w:eastAsia="es-CO"/>
        </w:rPr>
        <w:t>Detección de riesgos</w:t>
      </w:r>
    </w:p>
    <w:p w14:paraId="54B45F35" w14:textId="4DBDC40D" w:rsidR="00710EB5" w:rsidRPr="00710EB5" w:rsidRDefault="00513D6A" w:rsidP="00E75D50">
      <w:pPr>
        <w:pStyle w:val="Prrafodelista"/>
        <w:spacing w:before="100" w:beforeAutospacing="1" w:after="100" w:afterAutospacing="1"/>
        <w:rPr>
          <w:rFonts w:eastAsia="Times New Roman"/>
          <w:sz w:val="20"/>
          <w:szCs w:val="20"/>
          <w:lang w:eastAsia="es-CO"/>
        </w:rPr>
      </w:pPr>
      <w:r w:rsidRPr="00E75D50">
        <w:rPr>
          <w:rFonts w:eastAsia="Times New Roman"/>
          <w:sz w:val="20"/>
          <w:szCs w:val="20"/>
          <w:lang w:eastAsia="es-CO"/>
        </w:rPr>
        <w:t>Estos mecanismos contribuyen a identificar de manera temprana operaciones que presentan comportamientos inusuales o inconsistentes. A través del análisis de la información reportada, las entidades pueden reconocer posibles señales de alerta. Esto permite actuar de forma oportuna frente a situaciones que representen un riesgo.</w:t>
      </w:r>
    </w:p>
    <w:p w14:paraId="4B6F00FB" w14:textId="0C08F112" w:rsidR="00710EB5" w:rsidRPr="00E75D50" w:rsidRDefault="00710EB5" w:rsidP="00E75D50">
      <w:pPr>
        <w:pStyle w:val="Prrafodelista"/>
        <w:numPr>
          <w:ilvl w:val="0"/>
          <w:numId w:val="30"/>
        </w:numPr>
        <w:spacing w:before="100" w:beforeAutospacing="1" w:after="100" w:afterAutospacing="1"/>
        <w:rPr>
          <w:rFonts w:eastAsia="Times New Roman"/>
          <w:b/>
          <w:bCs/>
          <w:sz w:val="20"/>
          <w:szCs w:val="20"/>
          <w:lang w:eastAsia="es-CO"/>
        </w:rPr>
      </w:pPr>
      <w:r w:rsidRPr="00E75D50">
        <w:rPr>
          <w:rFonts w:eastAsia="Times New Roman"/>
          <w:b/>
          <w:bCs/>
          <w:sz w:val="20"/>
          <w:szCs w:val="20"/>
          <w:lang w:eastAsia="es-CO"/>
        </w:rPr>
        <w:t>Cumplimiento normativo</w:t>
      </w:r>
    </w:p>
    <w:p w14:paraId="7C857C30" w14:textId="77777777" w:rsidR="00710EB5" w:rsidRPr="00E75D50" w:rsidRDefault="00710EB5" w:rsidP="00386AEA">
      <w:pPr>
        <w:pStyle w:val="Prrafodelista"/>
        <w:spacing w:before="100" w:beforeAutospacing="1" w:after="100" w:afterAutospacing="1"/>
        <w:rPr>
          <w:rFonts w:eastAsia="Times New Roman"/>
          <w:sz w:val="20"/>
          <w:szCs w:val="20"/>
          <w:lang w:eastAsia="es-CO"/>
        </w:rPr>
      </w:pPr>
      <w:r w:rsidRPr="00E75D50">
        <w:rPr>
          <w:rFonts w:eastAsia="Times New Roman"/>
          <w:sz w:val="20"/>
          <w:szCs w:val="20"/>
          <w:lang w:eastAsia="es-CO"/>
        </w:rPr>
        <w:t xml:space="preserve">Los sistemas de reporte permiten a las organizaciones dar cumplimiento a las disposiciones establecidas por las autoridades de supervisión y control. Su adecuada implementación asegura el </w:t>
      </w:r>
      <w:r w:rsidRPr="00E75D50">
        <w:rPr>
          <w:rFonts w:eastAsia="Times New Roman"/>
          <w:sz w:val="20"/>
          <w:szCs w:val="20"/>
          <w:lang w:eastAsia="es-CO"/>
        </w:rPr>
        <w:lastRenderedPageBreak/>
        <w:t>registro y envío de información dentro de los plazos definidos. Esto contribuye a evitar sanciones y fortalecer la gestión institucional.</w:t>
      </w:r>
    </w:p>
    <w:p w14:paraId="65813EAA" w14:textId="4E14E4A1" w:rsidR="00710EB5" w:rsidRPr="00E75D50" w:rsidRDefault="00710EB5" w:rsidP="00E75D50">
      <w:pPr>
        <w:pStyle w:val="Prrafodelista"/>
        <w:numPr>
          <w:ilvl w:val="0"/>
          <w:numId w:val="30"/>
        </w:numPr>
        <w:spacing w:before="100" w:beforeAutospacing="1" w:after="100" w:afterAutospacing="1"/>
        <w:rPr>
          <w:rFonts w:eastAsia="Times New Roman"/>
          <w:b/>
          <w:bCs/>
          <w:sz w:val="20"/>
          <w:szCs w:val="20"/>
          <w:lang w:eastAsia="es-CO"/>
        </w:rPr>
      </w:pPr>
      <w:r w:rsidRPr="00E75D50">
        <w:rPr>
          <w:rFonts w:eastAsia="Times New Roman"/>
          <w:b/>
          <w:bCs/>
          <w:sz w:val="20"/>
          <w:szCs w:val="20"/>
          <w:lang w:eastAsia="es-CO"/>
        </w:rPr>
        <w:t>Cultura organizacional</w:t>
      </w:r>
    </w:p>
    <w:p w14:paraId="2A4DF5FF" w14:textId="77777777" w:rsidR="00710EB5" w:rsidRPr="00E75D50" w:rsidRDefault="00710EB5" w:rsidP="00E75D50">
      <w:pPr>
        <w:pStyle w:val="Prrafodelista"/>
        <w:spacing w:before="100" w:beforeAutospacing="1" w:after="100" w:afterAutospacing="1"/>
        <w:rPr>
          <w:rFonts w:eastAsia="Times New Roman"/>
          <w:sz w:val="20"/>
          <w:szCs w:val="20"/>
          <w:lang w:eastAsia="es-CO"/>
        </w:rPr>
      </w:pPr>
      <w:r w:rsidRPr="00E75D50">
        <w:rPr>
          <w:rFonts w:eastAsia="Times New Roman"/>
          <w:sz w:val="20"/>
          <w:szCs w:val="20"/>
          <w:lang w:eastAsia="es-CO"/>
        </w:rPr>
        <w:t>La aplicación de estos sistemas promueve prácticas orientadas a la responsabilidad y el control en la gestión de las operaciones financieras. Las entidades fortalecen sus procesos internos y adoptan medidas que favorecen el cumplimiento. De esta manera, se consolida una cultura organizacional basada en la transparencia y la legalidad.</w:t>
      </w:r>
      <w:commentRangeEnd w:id="14"/>
      <w:r w:rsidR="00306B60" w:rsidRPr="00E75D50">
        <w:rPr>
          <w:rStyle w:val="Refdecomentario"/>
          <w:rFonts w:eastAsia="Times New Roman"/>
          <w:sz w:val="20"/>
          <w:szCs w:val="20"/>
          <w:lang w:eastAsia="es-CO"/>
        </w:rPr>
        <w:commentReference w:id="14"/>
      </w:r>
    </w:p>
    <w:p w14:paraId="22BCC229" w14:textId="5FF6639B" w:rsidR="00E75D50" w:rsidRDefault="00925DFA" w:rsidP="0007033F">
      <w:pPr>
        <w:spacing w:before="100" w:beforeAutospacing="1" w:after="100" w:afterAutospacing="1"/>
        <w:rPr>
          <w:rFonts w:eastAsia="Times New Roman"/>
          <w:sz w:val="20"/>
          <w:szCs w:val="20"/>
          <w:lang w:eastAsia="es-CO"/>
        </w:rPr>
      </w:pPr>
      <w:r w:rsidRPr="00925DFA">
        <w:rPr>
          <w:rFonts w:eastAsia="Times New Roman"/>
          <w:sz w:val="20"/>
          <w:szCs w:val="20"/>
          <w:lang w:eastAsia="es-CO"/>
        </w:rPr>
        <w:t>Los elementos descritos permiten comprender que los sistemas de reporte no solo facilitan el registro y análisis de la información, sino que también fortalecen la transparencia, el control y el cumplimiento dentro de las organizaciones. Su adecuada implementación contribuye a mejorar la gestión de las operaciones financieras y a prevenir posibles situaciones que puedan afectar la integridad del sistema.</w:t>
      </w:r>
    </w:p>
    <w:p w14:paraId="203D6C79" w14:textId="0F437D43" w:rsidR="00E75D50" w:rsidRDefault="00B758D0" w:rsidP="0007033F">
      <w:pPr>
        <w:spacing w:before="100" w:beforeAutospacing="1" w:after="100" w:afterAutospacing="1"/>
        <w:rPr>
          <w:rFonts w:eastAsia="Times New Roman"/>
          <w:sz w:val="20"/>
          <w:szCs w:val="20"/>
          <w:lang w:eastAsia="es-CO"/>
        </w:rPr>
      </w:pPr>
      <w:r w:rsidRPr="00B758D0">
        <w:rPr>
          <w:rFonts w:eastAsia="Times New Roman"/>
          <w:sz w:val="20"/>
          <w:szCs w:val="20"/>
          <w:lang w:eastAsia="es-CO"/>
        </w:rPr>
        <w:t>En este contexto, resulta necesario reconocer el papel de las entidades encargadas de supervisar, regular y controlar estas actividades, ya que su intervención permite garantizar la correcta aplicación de los mecanismos establecidos. La participación de estos organismos es fundamental para asegurar el seguimiento de las operaciones y la articulación de acciones orientadas a la prevención de riesgos dentro del sistema financiero.</w:t>
      </w:r>
    </w:p>
    <w:p w14:paraId="52A7E94A" w14:textId="77777777" w:rsidR="008960CE" w:rsidRPr="0007033F" w:rsidRDefault="008960CE" w:rsidP="0007033F">
      <w:pPr>
        <w:pStyle w:val="Ttulo3"/>
        <w:rPr>
          <w:b/>
          <w:color w:val="auto"/>
          <w:sz w:val="20"/>
          <w:szCs w:val="20"/>
        </w:rPr>
      </w:pPr>
      <w:r w:rsidRPr="004A6104">
        <w:rPr>
          <w:b/>
          <w:color w:val="auto"/>
          <w:sz w:val="20"/>
          <w:szCs w:val="20"/>
        </w:rPr>
        <w:t>4. Órganos de control del sistema LA/FT</w:t>
      </w:r>
    </w:p>
    <w:p w14:paraId="1A172EFC" w14:textId="77777777" w:rsidR="008960CE" w:rsidRDefault="008960CE"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La prevención y el control del lavado de activos y la financiación del terrorismo requieren la participación activa de diferentes entidades del Estado encargadas de supervisar, regular e investigar las actividades financieras y comerciales que puedan estar relacionadas con estos delitos. Estos organismos cumplen un papel fundamental dentro del sistema de control, ya que establecen normas, supervisan su cumplimiento y coordinan acciones orientadas a prevenir el uso indebido del sistema financiero.</w:t>
      </w:r>
    </w:p>
    <w:p w14:paraId="25BA85C8" w14:textId="77777777" w:rsidR="000615E6" w:rsidRPr="000615E6" w:rsidRDefault="000615E6" w:rsidP="000615E6">
      <w:pPr>
        <w:spacing w:before="100" w:beforeAutospacing="1" w:after="100" w:afterAutospacing="1"/>
        <w:rPr>
          <w:rFonts w:eastAsia="Times New Roman"/>
          <w:sz w:val="20"/>
          <w:szCs w:val="20"/>
          <w:lang w:eastAsia="es-CO"/>
        </w:rPr>
      </w:pPr>
      <w:r w:rsidRPr="000615E6">
        <w:rPr>
          <w:rFonts w:eastAsia="Times New Roman"/>
          <w:sz w:val="20"/>
          <w:szCs w:val="20"/>
          <w:lang w:eastAsia="es-CO"/>
        </w:rPr>
        <w:t>En el sistema financiero, los órganos de control desarrollan diversas funciones que permiten garantizar la adecuada implementación de los mecanismos de prevención del lavado de activos y la financiación del terrorismo. Estas funciones se orientan al seguimiento, análisis y verificación de las operaciones realizadas por las entidades vigiladas, como se describe a continuación:</w:t>
      </w:r>
    </w:p>
    <w:p w14:paraId="26FE9C9A" w14:textId="2D943DC9" w:rsidR="000615E6" w:rsidRPr="000615E6" w:rsidRDefault="000615E6" w:rsidP="000615E6">
      <w:pPr>
        <w:pStyle w:val="Prrafodelista"/>
        <w:numPr>
          <w:ilvl w:val="0"/>
          <w:numId w:val="30"/>
        </w:numPr>
        <w:spacing w:before="100" w:beforeAutospacing="1" w:after="100" w:afterAutospacing="1"/>
        <w:rPr>
          <w:rFonts w:eastAsia="Times New Roman"/>
          <w:sz w:val="20"/>
          <w:szCs w:val="20"/>
          <w:lang w:eastAsia="es-CO"/>
        </w:rPr>
      </w:pPr>
      <w:commentRangeStart w:id="15"/>
      <w:r w:rsidRPr="000615E6">
        <w:rPr>
          <w:rFonts w:eastAsia="Times New Roman"/>
          <w:b/>
          <w:bCs/>
          <w:sz w:val="20"/>
          <w:szCs w:val="20"/>
          <w:lang w:eastAsia="es-CO"/>
        </w:rPr>
        <w:t>Supervisión de entidades:</w:t>
      </w:r>
      <w:r w:rsidRPr="000615E6">
        <w:rPr>
          <w:rFonts w:eastAsia="Times New Roman"/>
          <w:sz w:val="20"/>
          <w:szCs w:val="20"/>
          <w:lang w:eastAsia="es-CO"/>
        </w:rPr>
        <w:t xml:space="preserve"> consiste en verificar que las organizaciones cumplan con la normativa vigente y apliquen correctamente los mecanismos de prevención establecidos. </w:t>
      </w:r>
    </w:p>
    <w:p w14:paraId="18488389" w14:textId="77777777" w:rsidR="000615E6" w:rsidRPr="000615E6" w:rsidRDefault="000615E6" w:rsidP="000615E6">
      <w:pPr>
        <w:pStyle w:val="Prrafodelista"/>
        <w:numPr>
          <w:ilvl w:val="0"/>
          <w:numId w:val="30"/>
        </w:numPr>
        <w:spacing w:before="100" w:beforeAutospacing="1" w:after="100" w:afterAutospacing="1"/>
        <w:rPr>
          <w:rFonts w:eastAsia="Times New Roman"/>
          <w:sz w:val="20"/>
          <w:szCs w:val="20"/>
          <w:lang w:eastAsia="es-CO"/>
        </w:rPr>
      </w:pPr>
      <w:r w:rsidRPr="000615E6">
        <w:rPr>
          <w:rFonts w:eastAsia="Times New Roman"/>
          <w:b/>
          <w:bCs/>
          <w:sz w:val="20"/>
          <w:szCs w:val="20"/>
          <w:lang w:eastAsia="es-CO"/>
        </w:rPr>
        <w:t>Análisis de información:</w:t>
      </w:r>
      <w:r w:rsidRPr="000615E6">
        <w:rPr>
          <w:rFonts w:eastAsia="Times New Roman"/>
          <w:sz w:val="20"/>
          <w:szCs w:val="20"/>
          <w:lang w:eastAsia="es-CO"/>
        </w:rPr>
        <w:t xml:space="preserve"> implica revisar los datos reportados por las entidades para identificar comportamientos inusuales o inconsistentes en las operaciones financieras. </w:t>
      </w:r>
    </w:p>
    <w:p w14:paraId="461EB557" w14:textId="7BB8C039" w:rsidR="000615E6" w:rsidRPr="000615E6" w:rsidRDefault="000615E6" w:rsidP="000615E6">
      <w:pPr>
        <w:pStyle w:val="Prrafodelista"/>
        <w:numPr>
          <w:ilvl w:val="0"/>
          <w:numId w:val="30"/>
        </w:numPr>
        <w:spacing w:before="100" w:beforeAutospacing="1" w:after="100" w:afterAutospacing="1"/>
        <w:rPr>
          <w:rFonts w:eastAsia="Times New Roman"/>
          <w:sz w:val="20"/>
          <w:szCs w:val="20"/>
          <w:lang w:eastAsia="es-CO"/>
        </w:rPr>
      </w:pPr>
      <w:r w:rsidRPr="000615E6">
        <w:rPr>
          <w:rFonts w:eastAsia="Times New Roman"/>
          <w:b/>
          <w:bCs/>
          <w:sz w:val="20"/>
          <w:szCs w:val="20"/>
          <w:lang w:eastAsia="es-CO"/>
        </w:rPr>
        <w:t>Investigación de operaciones:</w:t>
      </w:r>
      <w:r w:rsidRPr="000615E6">
        <w:rPr>
          <w:rFonts w:eastAsia="Times New Roman"/>
          <w:sz w:val="20"/>
          <w:szCs w:val="20"/>
          <w:lang w:eastAsia="es-CO"/>
        </w:rPr>
        <w:t xml:space="preserve"> corresponde a la evaluación detallada de situaciones que pueden estar relacionadas con actividades ilícitas. </w:t>
      </w:r>
    </w:p>
    <w:p w14:paraId="231FA3EC" w14:textId="60DF384D" w:rsidR="000615E6" w:rsidRPr="000615E6" w:rsidRDefault="000615E6" w:rsidP="000615E6">
      <w:pPr>
        <w:pStyle w:val="Prrafodelista"/>
        <w:numPr>
          <w:ilvl w:val="0"/>
          <w:numId w:val="30"/>
        </w:numPr>
        <w:spacing w:before="100" w:beforeAutospacing="1" w:after="100" w:afterAutospacing="1"/>
        <w:rPr>
          <w:rFonts w:eastAsia="Times New Roman"/>
          <w:sz w:val="20"/>
          <w:szCs w:val="20"/>
          <w:lang w:eastAsia="es-CO"/>
        </w:rPr>
      </w:pPr>
      <w:r w:rsidRPr="000615E6">
        <w:rPr>
          <w:rFonts w:eastAsia="Times New Roman"/>
          <w:b/>
          <w:bCs/>
          <w:sz w:val="20"/>
          <w:szCs w:val="20"/>
          <w:lang w:eastAsia="es-CO"/>
        </w:rPr>
        <w:t>Control del cumplimiento:</w:t>
      </w:r>
      <w:r w:rsidRPr="000615E6">
        <w:rPr>
          <w:rFonts w:eastAsia="Times New Roman"/>
          <w:sz w:val="20"/>
          <w:szCs w:val="20"/>
          <w:lang w:eastAsia="es-CO"/>
        </w:rPr>
        <w:t xml:space="preserve"> permite asegurar que las entidades implementen de manera efectiva las políticas y procedimientos definidos. </w:t>
      </w:r>
    </w:p>
    <w:p w14:paraId="1A4EF22C" w14:textId="4E376F13" w:rsidR="000615E6" w:rsidRPr="000615E6" w:rsidRDefault="000615E6" w:rsidP="000615E6">
      <w:pPr>
        <w:pStyle w:val="Prrafodelista"/>
        <w:numPr>
          <w:ilvl w:val="0"/>
          <w:numId w:val="30"/>
        </w:numPr>
        <w:spacing w:before="100" w:beforeAutospacing="1" w:after="100" w:afterAutospacing="1"/>
        <w:rPr>
          <w:rFonts w:eastAsia="Times New Roman"/>
          <w:sz w:val="20"/>
          <w:szCs w:val="20"/>
          <w:lang w:eastAsia="es-CO"/>
        </w:rPr>
      </w:pPr>
      <w:r w:rsidRPr="000615E6">
        <w:rPr>
          <w:rFonts w:eastAsia="Times New Roman"/>
          <w:b/>
          <w:bCs/>
          <w:sz w:val="20"/>
          <w:szCs w:val="20"/>
          <w:lang w:eastAsia="es-CO"/>
        </w:rPr>
        <w:t>Fortalecimiento de la transparencia:</w:t>
      </w:r>
      <w:r w:rsidRPr="000615E6">
        <w:rPr>
          <w:rFonts w:eastAsia="Times New Roman"/>
          <w:sz w:val="20"/>
          <w:szCs w:val="20"/>
          <w:lang w:eastAsia="es-CO"/>
        </w:rPr>
        <w:t xml:space="preserve"> contribuye a garantizar que las operaciones financieras se realicen de forma clara, verificable y conforme a la normativa.</w:t>
      </w:r>
      <w:commentRangeEnd w:id="15"/>
      <w:r w:rsidRPr="000615E6">
        <w:rPr>
          <w:rStyle w:val="Refdecomentario"/>
          <w:rFonts w:eastAsia="Times New Roman"/>
          <w:sz w:val="20"/>
          <w:szCs w:val="20"/>
          <w:lang w:eastAsia="es-CO"/>
        </w:rPr>
        <w:commentReference w:id="15"/>
      </w:r>
    </w:p>
    <w:p w14:paraId="5077F88B" w14:textId="1349A38D" w:rsidR="000615E6" w:rsidRDefault="000615E6" w:rsidP="0007033F">
      <w:pPr>
        <w:spacing w:before="100" w:beforeAutospacing="1" w:after="100" w:afterAutospacing="1"/>
        <w:rPr>
          <w:rFonts w:eastAsia="Times New Roman"/>
          <w:sz w:val="20"/>
          <w:szCs w:val="20"/>
          <w:lang w:eastAsia="es-CO"/>
        </w:rPr>
      </w:pPr>
      <w:r w:rsidRPr="000615E6">
        <w:rPr>
          <w:rFonts w:eastAsia="Times New Roman"/>
          <w:sz w:val="20"/>
          <w:szCs w:val="20"/>
          <w:lang w:eastAsia="es-CO"/>
        </w:rPr>
        <w:t>Las funciones descritas permiten comprender el papel fundamental de los órganos de control en la supervisión y verificación de las actividades financieras. Su intervención contribuye a fortalecer los mecanismos de prevención y a garantizar la integridad y transparencia en el funcionamiento del sistema financiero.</w:t>
      </w:r>
    </w:p>
    <w:p w14:paraId="52AEEA9D" w14:textId="77777777" w:rsidR="004047F3" w:rsidRDefault="004047F3" w:rsidP="0007033F">
      <w:pPr>
        <w:spacing w:before="100" w:beforeAutospacing="1" w:after="100" w:afterAutospacing="1"/>
        <w:rPr>
          <w:rFonts w:eastAsia="Times New Roman"/>
          <w:sz w:val="20"/>
          <w:szCs w:val="20"/>
          <w:lang w:eastAsia="es-CO"/>
        </w:rPr>
      </w:pPr>
    </w:p>
    <w:p w14:paraId="6FD84D43" w14:textId="33B72D67" w:rsidR="004A6104" w:rsidRDefault="004047F3" w:rsidP="0007033F">
      <w:pPr>
        <w:spacing w:before="100" w:beforeAutospacing="1" w:after="100" w:afterAutospacing="1"/>
        <w:rPr>
          <w:rFonts w:eastAsia="Times New Roman"/>
          <w:sz w:val="20"/>
          <w:szCs w:val="20"/>
          <w:lang w:eastAsia="es-CO"/>
        </w:rPr>
      </w:pPr>
      <w:r>
        <w:rPr>
          <w:rFonts w:eastAsia="Times New Roman"/>
          <w:noProof/>
          <w:sz w:val="20"/>
          <w:szCs w:val="20"/>
          <w:lang w:eastAsia="es-CO"/>
        </w:rPr>
        <w:lastRenderedPageBreak/>
        <mc:AlternateContent>
          <mc:Choice Requires="wps">
            <w:drawing>
              <wp:anchor distT="0" distB="0" distL="114300" distR="114300" simplePos="0" relativeHeight="251668480" behindDoc="0" locked="0" layoutInCell="1" allowOverlap="1" wp14:anchorId="23B811F8" wp14:editId="7941FD1D">
                <wp:simplePos x="0" y="0"/>
                <wp:positionH relativeFrom="column">
                  <wp:posOffset>160773</wp:posOffset>
                </wp:positionH>
                <wp:positionV relativeFrom="paragraph">
                  <wp:posOffset>785425</wp:posOffset>
                </wp:positionV>
                <wp:extent cx="5137847" cy="955641"/>
                <wp:effectExtent l="57150" t="38100" r="81915" b="92710"/>
                <wp:wrapNone/>
                <wp:docPr id="1933185349" name="Rectángulo: esquinas redondeadas 9"/>
                <wp:cNvGraphicFramePr/>
                <a:graphic xmlns:a="http://schemas.openxmlformats.org/drawingml/2006/main">
                  <a:graphicData uri="http://schemas.microsoft.com/office/word/2010/wordprocessingShape">
                    <wps:wsp>
                      <wps:cNvSpPr/>
                      <wps:spPr>
                        <a:xfrm>
                          <a:off x="0" y="0"/>
                          <a:ext cx="5137847" cy="955641"/>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E1FAEE4" w14:textId="5FDE495D" w:rsidR="004047F3" w:rsidRPr="004047F3" w:rsidRDefault="00147EBF" w:rsidP="004047F3">
                            <w:pPr>
                              <w:jc w:val="center"/>
                              <w:rPr>
                                <w:sz w:val="20"/>
                                <w:szCs w:val="20"/>
                              </w:rPr>
                            </w:pPr>
                            <w:r w:rsidRPr="00147EBF">
                              <w:rPr>
                                <w:sz w:val="20"/>
                                <w:szCs w:val="20"/>
                              </w:rPr>
                              <w:t>El control efectivo del lavado de activos exige más que normas</w:t>
                            </w:r>
                            <w:r>
                              <w:rPr>
                                <w:sz w:val="20"/>
                                <w:szCs w:val="20"/>
                              </w:rPr>
                              <w:t xml:space="preserve">: </w:t>
                            </w:r>
                            <w:r w:rsidRPr="00147EBF">
                              <w:rPr>
                                <w:sz w:val="20"/>
                                <w:szCs w:val="20"/>
                              </w:rPr>
                              <w:t>requiere entidades especializadas que actúen de manera articulada, oportuna y con capacidad real de sanción.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B811F8" id="Rectángulo: esquinas redondeadas 9" o:spid="_x0000_s1032" style="position:absolute;margin-left:12.65pt;margin-top:61.85pt;width:404.55pt;height:7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" fillcolor="#fbcaa2 [1625]" strokecolor="#f68c36 [3049]">
                <v:fill color2="#fdefe3 [505]" rotate="t" angle="180" colors="0 #ffbe86;22938f #ffd0aa;1 #ffebdb" focus="100%" type="gradient"/>
                <v:shadow on="t" color="black" opacity="24903f" origin=",.5" offset="0,.55556mm"/>
                <v:textbox>
                  <w:txbxContent>
                    <w:p w14:paraId="6E1FAEE4" w14:textId="5FDE495D" w:rsidR="004047F3" w:rsidRPr="004047F3" w:rsidRDefault="00147EBF" w:rsidP="004047F3">
                      <w:pPr>
                        <w:jc w:val="center"/>
                        <w:rPr>
                          <w:sz w:val="20"/>
                          <w:szCs w:val="20"/>
                        </w:rPr>
                      </w:pPr>
                      <w:r w:rsidRPr="00147EBF">
                        <w:rPr>
                          <w:sz w:val="20"/>
                          <w:szCs w:val="20"/>
                        </w:rPr>
                        <w:t>El control efectivo del lavado de activos exige más que normas</w:t>
                      </w:r>
                      <w:r>
                        <w:rPr>
                          <w:sz w:val="20"/>
                          <w:szCs w:val="20"/>
                        </w:rPr>
                        <w:t xml:space="preserve">: </w:t>
                      </w:r>
                      <w:r w:rsidRPr="00147EBF">
                        <w:rPr>
                          <w:sz w:val="20"/>
                          <w:szCs w:val="20"/>
                        </w:rPr>
                        <w:t>requiere entidades especializadas que actúen de manera articulada, oportuna y con capacidad real de sanción.</w:t>
                      </w:r>
                    </w:p>
                  </w:txbxContent>
                </v:textbox>
              </v:roundrect>
            </w:pict>
          </mc:Fallback>
        </mc:AlternateContent>
      </w:r>
      <w:r w:rsidR="008960CE" w:rsidRPr="0007033F">
        <w:rPr>
          <w:rFonts w:eastAsia="Times New Roman"/>
          <w:sz w:val="20"/>
          <w:szCs w:val="20"/>
          <w:lang w:eastAsia="es-CO"/>
        </w:rPr>
        <w:t>Asimismo, la coordinación entre los diferentes organismos de control permite mejorar la efectividad de las estrategias de prevención y detección del lavado de activos y la financiación del terrorismo. La cooperación institucional facilita el intercambio de información, el desarrollo de investigaciones y la aplicación de sanciones cuando se identifican conductas que incumplen la normativa vigente.</w:t>
      </w:r>
    </w:p>
    <w:p w14:paraId="4A760F8A" w14:textId="080B4CC4" w:rsidR="004047F3" w:rsidRDefault="004047F3" w:rsidP="0007033F">
      <w:pPr>
        <w:spacing w:before="100" w:beforeAutospacing="1" w:after="100" w:afterAutospacing="1"/>
        <w:rPr>
          <w:rFonts w:eastAsia="Times New Roman"/>
          <w:sz w:val="20"/>
          <w:szCs w:val="20"/>
          <w:lang w:eastAsia="es-CO"/>
        </w:rPr>
      </w:pPr>
    </w:p>
    <w:p w14:paraId="0660FB74" w14:textId="77777777" w:rsidR="004047F3" w:rsidRDefault="004047F3" w:rsidP="0007033F">
      <w:pPr>
        <w:spacing w:before="100" w:beforeAutospacing="1" w:after="100" w:afterAutospacing="1"/>
        <w:rPr>
          <w:rFonts w:eastAsia="Times New Roman"/>
          <w:sz w:val="20"/>
          <w:szCs w:val="20"/>
          <w:lang w:eastAsia="es-CO"/>
        </w:rPr>
      </w:pPr>
    </w:p>
    <w:p w14:paraId="4B0085F4" w14:textId="2ED81C01" w:rsidR="004047F3" w:rsidRDefault="004047F3" w:rsidP="0007033F">
      <w:pPr>
        <w:spacing w:before="100" w:beforeAutospacing="1" w:after="100" w:afterAutospacing="1"/>
        <w:rPr>
          <w:rFonts w:eastAsia="Times New Roman"/>
          <w:sz w:val="20"/>
          <w:szCs w:val="20"/>
          <w:lang w:eastAsia="es-CO"/>
        </w:rPr>
      </w:pPr>
    </w:p>
    <w:p w14:paraId="6BE600C6" w14:textId="32292760" w:rsidR="008960CE" w:rsidRPr="0007033F" w:rsidRDefault="008960CE"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A continuación, se presentan algunas de las principales entidades encargadas de la supervisión, control e investigación de las actividades relacionadas con el lavado de activos y la financiación del terrorismo en el sistema financiero colombiano.</w:t>
      </w:r>
    </w:p>
    <w:p w14:paraId="4B77F032" w14:textId="75FF3E3A" w:rsidR="008960CE" w:rsidRPr="0007033F" w:rsidRDefault="008960CE" w:rsidP="0007033F">
      <w:pPr>
        <w:pStyle w:val="Normal0"/>
        <w:rPr>
          <w:b/>
          <w:sz w:val="20"/>
          <w:szCs w:val="20"/>
        </w:rPr>
      </w:pPr>
      <w:r w:rsidRPr="0007033F">
        <w:rPr>
          <w:b/>
          <w:sz w:val="20"/>
          <w:szCs w:val="20"/>
        </w:rPr>
        <w:t>Tabla 5</w:t>
      </w:r>
      <w:r w:rsidRPr="0007033F">
        <w:rPr>
          <w:sz w:val="20"/>
          <w:szCs w:val="20"/>
        </w:rPr>
        <w:t>. Principales órganos de control del sistema LA/FT en Colombia</w:t>
      </w:r>
    </w:p>
    <w:tbl>
      <w:tblPr>
        <w:tblStyle w:val="Tabladecuadrcula4"/>
        <w:tblW w:w="0" w:type="auto"/>
        <w:tblLook w:val="04A0" w:firstRow="1" w:lastRow="0" w:firstColumn="1" w:lastColumn="0" w:noHBand="0" w:noVBand="1"/>
      </w:tblPr>
      <w:tblGrid>
        <w:gridCol w:w="3544"/>
        <w:gridCol w:w="6418"/>
      </w:tblGrid>
      <w:tr w:rsidR="008960CE" w:rsidRPr="0007033F" w14:paraId="7D870CE7" w14:textId="77777777" w:rsidTr="009717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42751" w14:textId="77777777" w:rsidR="008960CE" w:rsidRPr="0007033F" w:rsidRDefault="008960CE" w:rsidP="0007033F">
            <w:pPr>
              <w:jc w:val="center"/>
              <w:rPr>
                <w:rFonts w:eastAsia="Times New Roman"/>
                <w:b w:val="0"/>
                <w:bCs w:val="0"/>
                <w:sz w:val="20"/>
                <w:szCs w:val="20"/>
                <w:lang w:eastAsia="es-CO"/>
              </w:rPr>
            </w:pPr>
            <w:r w:rsidRPr="0007033F">
              <w:rPr>
                <w:rFonts w:eastAsia="Times New Roman"/>
                <w:sz w:val="20"/>
                <w:szCs w:val="20"/>
                <w:lang w:eastAsia="es-CO"/>
              </w:rPr>
              <w:t>Entidad</w:t>
            </w:r>
          </w:p>
        </w:tc>
        <w:tc>
          <w:tcPr>
            <w:tcW w:w="0" w:type="auto"/>
            <w:hideMark/>
          </w:tcPr>
          <w:p w14:paraId="64251442" w14:textId="77777777" w:rsidR="008960CE" w:rsidRPr="0007033F" w:rsidRDefault="008960CE" w:rsidP="0007033F">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Función principal</w:t>
            </w:r>
          </w:p>
        </w:tc>
      </w:tr>
      <w:tr w:rsidR="008960CE" w:rsidRPr="0007033F" w14:paraId="76A2AA6E" w14:textId="77777777" w:rsidTr="00971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6ED75" w14:textId="77777777" w:rsidR="008960CE" w:rsidRPr="0007033F" w:rsidRDefault="008960CE" w:rsidP="0007033F">
            <w:pPr>
              <w:rPr>
                <w:rFonts w:eastAsia="Times New Roman"/>
                <w:sz w:val="20"/>
                <w:szCs w:val="20"/>
                <w:lang w:eastAsia="es-CO"/>
              </w:rPr>
            </w:pPr>
            <w:r w:rsidRPr="0007033F">
              <w:rPr>
                <w:rFonts w:eastAsia="Times New Roman"/>
                <w:sz w:val="20"/>
                <w:szCs w:val="20"/>
                <w:lang w:eastAsia="es-CO"/>
              </w:rPr>
              <w:t>Superintendencia Financiera de Colombia</w:t>
            </w:r>
          </w:p>
        </w:tc>
        <w:tc>
          <w:tcPr>
            <w:tcW w:w="0" w:type="auto"/>
            <w:hideMark/>
          </w:tcPr>
          <w:p w14:paraId="41D07EF1" w14:textId="77777777" w:rsidR="008960CE" w:rsidRPr="0007033F" w:rsidRDefault="008960CE"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Supervisar y regular las entidades del sistema financiero, verificando el cumplimiento de las normas relacionadas con el SARLAFT.</w:t>
            </w:r>
          </w:p>
        </w:tc>
      </w:tr>
      <w:tr w:rsidR="008960CE" w:rsidRPr="0007033F" w14:paraId="5254AB20" w14:textId="77777777" w:rsidTr="00971753">
        <w:tc>
          <w:tcPr>
            <w:cnfStyle w:val="001000000000" w:firstRow="0" w:lastRow="0" w:firstColumn="1" w:lastColumn="0" w:oddVBand="0" w:evenVBand="0" w:oddHBand="0" w:evenHBand="0" w:firstRowFirstColumn="0" w:firstRowLastColumn="0" w:lastRowFirstColumn="0" w:lastRowLastColumn="0"/>
            <w:tcW w:w="0" w:type="auto"/>
            <w:hideMark/>
          </w:tcPr>
          <w:p w14:paraId="597137B8" w14:textId="77777777" w:rsidR="008960CE" w:rsidRPr="0007033F" w:rsidRDefault="008960CE" w:rsidP="0007033F">
            <w:pPr>
              <w:rPr>
                <w:rFonts w:eastAsia="Times New Roman"/>
                <w:sz w:val="20"/>
                <w:szCs w:val="20"/>
                <w:lang w:eastAsia="es-CO"/>
              </w:rPr>
            </w:pPr>
            <w:r w:rsidRPr="0007033F">
              <w:rPr>
                <w:rFonts w:eastAsia="Times New Roman"/>
                <w:sz w:val="20"/>
                <w:szCs w:val="20"/>
                <w:lang w:eastAsia="es-CO"/>
              </w:rPr>
              <w:t>Unidad de Información y Análisis Financiero (UIAF)</w:t>
            </w:r>
          </w:p>
        </w:tc>
        <w:tc>
          <w:tcPr>
            <w:tcW w:w="0" w:type="auto"/>
            <w:hideMark/>
          </w:tcPr>
          <w:p w14:paraId="67736E20" w14:textId="77777777" w:rsidR="008960CE" w:rsidRPr="0007033F" w:rsidRDefault="008960CE"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Recibir, analizar y procesar información relacionada con posibles operaciones de lavado de activos o financiación del terrorismo.</w:t>
            </w:r>
          </w:p>
        </w:tc>
      </w:tr>
      <w:tr w:rsidR="008960CE" w:rsidRPr="0007033F" w14:paraId="73ABB74D" w14:textId="77777777" w:rsidTr="00971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5BAE0" w14:textId="77777777" w:rsidR="008960CE" w:rsidRPr="0007033F" w:rsidRDefault="008960CE" w:rsidP="0007033F">
            <w:pPr>
              <w:rPr>
                <w:rFonts w:eastAsia="Times New Roman"/>
                <w:sz w:val="20"/>
                <w:szCs w:val="20"/>
                <w:lang w:eastAsia="es-CO"/>
              </w:rPr>
            </w:pPr>
            <w:r w:rsidRPr="0007033F">
              <w:rPr>
                <w:rFonts w:eastAsia="Times New Roman"/>
                <w:sz w:val="20"/>
                <w:szCs w:val="20"/>
                <w:lang w:eastAsia="es-CO"/>
              </w:rPr>
              <w:t>Fiscalía General de la Nación</w:t>
            </w:r>
          </w:p>
        </w:tc>
        <w:tc>
          <w:tcPr>
            <w:tcW w:w="0" w:type="auto"/>
            <w:hideMark/>
          </w:tcPr>
          <w:p w14:paraId="494EEB75" w14:textId="77777777" w:rsidR="008960CE" w:rsidRPr="0007033F" w:rsidRDefault="008960CE"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Investigar y judicializar los delitos relacionados con el lavado de activos y la financiación del terrorismo.</w:t>
            </w:r>
          </w:p>
        </w:tc>
      </w:tr>
      <w:tr w:rsidR="008960CE" w:rsidRPr="0007033F" w14:paraId="092AC727" w14:textId="77777777" w:rsidTr="00971753">
        <w:tc>
          <w:tcPr>
            <w:cnfStyle w:val="001000000000" w:firstRow="0" w:lastRow="0" w:firstColumn="1" w:lastColumn="0" w:oddVBand="0" w:evenVBand="0" w:oddHBand="0" w:evenHBand="0" w:firstRowFirstColumn="0" w:firstRowLastColumn="0" w:lastRowFirstColumn="0" w:lastRowLastColumn="0"/>
            <w:tcW w:w="0" w:type="auto"/>
            <w:hideMark/>
          </w:tcPr>
          <w:p w14:paraId="1DA3EFF9" w14:textId="77777777" w:rsidR="008960CE" w:rsidRPr="0007033F" w:rsidRDefault="008960CE" w:rsidP="0007033F">
            <w:pPr>
              <w:rPr>
                <w:rFonts w:eastAsia="Times New Roman"/>
                <w:sz w:val="20"/>
                <w:szCs w:val="20"/>
                <w:lang w:eastAsia="es-CO"/>
              </w:rPr>
            </w:pPr>
            <w:r w:rsidRPr="0007033F">
              <w:rPr>
                <w:rFonts w:eastAsia="Times New Roman"/>
                <w:sz w:val="20"/>
                <w:szCs w:val="20"/>
                <w:lang w:eastAsia="es-CO"/>
              </w:rPr>
              <w:t>Superintendencia de Sociedades</w:t>
            </w:r>
          </w:p>
        </w:tc>
        <w:tc>
          <w:tcPr>
            <w:tcW w:w="0" w:type="auto"/>
            <w:hideMark/>
          </w:tcPr>
          <w:p w14:paraId="3539E59F" w14:textId="77777777" w:rsidR="008960CE" w:rsidRPr="0007033F" w:rsidRDefault="008960CE"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Supervisar el cumplimiento de normas de prevención del LA/FT en el sector empresarial.</w:t>
            </w:r>
          </w:p>
        </w:tc>
      </w:tr>
      <w:tr w:rsidR="008960CE" w:rsidRPr="0007033F" w14:paraId="2A8BD525" w14:textId="77777777" w:rsidTr="00971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6D419" w14:textId="77777777" w:rsidR="008960CE" w:rsidRPr="0007033F" w:rsidRDefault="008960CE" w:rsidP="0007033F">
            <w:pPr>
              <w:rPr>
                <w:rFonts w:eastAsia="Times New Roman"/>
                <w:sz w:val="20"/>
                <w:szCs w:val="20"/>
                <w:lang w:eastAsia="es-CO"/>
              </w:rPr>
            </w:pPr>
            <w:r w:rsidRPr="0007033F">
              <w:rPr>
                <w:rFonts w:eastAsia="Times New Roman"/>
                <w:sz w:val="20"/>
                <w:szCs w:val="20"/>
                <w:lang w:eastAsia="es-CO"/>
              </w:rPr>
              <w:t>Dirección de Impuestos y Aduanas Nacionales (DIAN)</w:t>
            </w:r>
          </w:p>
        </w:tc>
        <w:tc>
          <w:tcPr>
            <w:tcW w:w="0" w:type="auto"/>
            <w:hideMark/>
          </w:tcPr>
          <w:p w14:paraId="71A38E02" w14:textId="77777777" w:rsidR="008960CE" w:rsidRPr="0007033F" w:rsidRDefault="008960CE"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Controlar operaciones relacionadas con comercio exterior y posibles delitos financieros.</w:t>
            </w:r>
          </w:p>
        </w:tc>
      </w:tr>
    </w:tbl>
    <w:p w14:paraId="2A703E63" w14:textId="77777777" w:rsidR="008960CE" w:rsidRDefault="008960CE" w:rsidP="0007033F">
      <w:pPr>
        <w:pStyle w:val="Normal0"/>
        <w:rPr>
          <w:b/>
          <w:sz w:val="20"/>
          <w:szCs w:val="20"/>
        </w:rPr>
      </w:pPr>
    </w:p>
    <w:p w14:paraId="7EF26B19" w14:textId="6DB16A32" w:rsidR="00541F34" w:rsidRDefault="00541F34" w:rsidP="0007033F">
      <w:pPr>
        <w:pStyle w:val="Normal0"/>
        <w:rPr>
          <w:bCs/>
          <w:sz w:val="20"/>
          <w:szCs w:val="20"/>
        </w:rPr>
      </w:pPr>
      <w:r w:rsidRPr="00541F34">
        <w:rPr>
          <w:bCs/>
          <w:sz w:val="20"/>
          <w:szCs w:val="20"/>
        </w:rPr>
        <w:t xml:space="preserve">Las entidades relacionadas en la tabla anterior conforman el sistema institucional de control frente al lavado de activos y la financiación del terrorismo en Colombia. Cada una actúa desde su ámbito específico de competencia, y su trabajo coordinado fortalece la capacidad del Estado para prevenir, detectar y sancionar estas actividades ilícitas. </w:t>
      </w:r>
    </w:p>
    <w:p w14:paraId="75A90E0B" w14:textId="77777777" w:rsidR="004047F3" w:rsidRDefault="004047F3" w:rsidP="0007033F">
      <w:pPr>
        <w:pStyle w:val="Normal0"/>
        <w:rPr>
          <w:bCs/>
          <w:sz w:val="20"/>
          <w:szCs w:val="20"/>
        </w:rPr>
      </w:pPr>
    </w:p>
    <w:p w14:paraId="3E004615" w14:textId="4D3C615F" w:rsidR="004047F3" w:rsidRDefault="004047F3" w:rsidP="00147EBF">
      <w:pPr>
        <w:pStyle w:val="Normal0"/>
        <w:shd w:val="clear" w:color="auto" w:fill="F2DBDB" w:themeFill="accent2" w:themeFillTint="33"/>
        <w:rPr>
          <w:bCs/>
          <w:sz w:val="20"/>
          <w:szCs w:val="20"/>
        </w:rPr>
      </w:pPr>
      <w:r w:rsidRPr="004047F3">
        <w:rPr>
          <w:bCs/>
          <w:sz w:val="20"/>
          <w:szCs w:val="20"/>
        </w:rPr>
        <w:t>Entre las entidades que integran el sistema institucional de control frente al lavado de activos y la financiación del terrorismo, la Superintendencia Financiera de Colombia constituye el principal organismo de supervisión y regulación del sector financiero. Su mandato comprende la inspección permanente de bancos, aseguradoras y demás instituciones vigiladas, con el fin de verificar el cumplimiento de las disposiciones del SARLAFT. El análisis de sus funciones resulta fundamental para comprender cómo se articula la supervisión institucional en la prevención de estas conductas ilícitas.</w:t>
      </w:r>
    </w:p>
    <w:p w14:paraId="4E627F51" w14:textId="33BB359F" w:rsidR="0050514F" w:rsidRPr="0007033F" w:rsidRDefault="0050514F" w:rsidP="0007033F">
      <w:pPr>
        <w:pStyle w:val="Normal0"/>
        <w:rPr>
          <w:b/>
          <w:sz w:val="20"/>
          <w:szCs w:val="20"/>
        </w:rPr>
      </w:pPr>
    </w:p>
    <w:p w14:paraId="7E0B46B7" w14:textId="153D2DAB" w:rsidR="0050514F" w:rsidRPr="0007033F" w:rsidRDefault="008960CE" w:rsidP="0007033F">
      <w:pPr>
        <w:pStyle w:val="Normal0"/>
        <w:rPr>
          <w:b/>
          <w:sz w:val="20"/>
          <w:szCs w:val="20"/>
        </w:rPr>
      </w:pPr>
      <w:r w:rsidRPr="0007033F">
        <w:rPr>
          <w:b/>
          <w:sz w:val="20"/>
          <w:szCs w:val="20"/>
        </w:rPr>
        <w:t>4.1 Superintendencia Financiera de Colombia</w:t>
      </w:r>
    </w:p>
    <w:p w14:paraId="62F4E550" w14:textId="77777777" w:rsidR="008960CE" w:rsidRPr="0007033F" w:rsidRDefault="008960CE"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La Superintendencia Financiera de Colombia es la entidad encargada de supervisar y regular el funcionamiento de las instituciones que conforman el sistema financiero colombiano. Su principal objetivo es garantizar la estabilidad, transparencia y eficiencia de las actividades financieras, protegiendo los intereses de los usuarios y promoviendo el adecuado funcionamiento de los mercados financieros.</w:t>
      </w:r>
    </w:p>
    <w:p w14:paraId="680E12B0" w14:textId="77777777" w:rsidR="008960CE" w:rsidRPr="0007033F" w:rsidRDefault="008960CE"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lastRenderedPageBreak/>
        <w:t>En el contexto de la prevención del lavado de activos y la financiación del terrorismo, la Superintendencia Financiera desempeña un papel fundamental en la supervisión del cumplimiento de las normas relacionadas con el sistema SARLAFT. Esta entidad establece lineamientos y disposiciones que las instituciones financieras deben implementar para prevenir que sus operaciones sean utilizadas para ocultar recursos provenientes de actividades ilícitas o para financiar actos relacionados con el terrorismo.</w:t>
      </w:r>
    </w:p>
    <w:p w14:paraId="1FE73AD0" w14:textId="0D5FA02F" w:rsidR="00BB0BC7" w:rsidRPr="00BB0BC7" w:rsidRDefault="00BB0BC7" w:rsidP="00BB0BC7">
      <w:pPr>
        <w:spacing w:before="100" w:beforeAutospacing="1" w:after="100" w:afterAutospacing="1"/>
        <w:rPr>
          <w:rFonts w:eastAsia="Times New Roman"/>
          <w:sz w:val="20"/>
          <w:szCs w:val="20"/>
          <w:lang w:eastAsia="es-CO"/>
        </w:rPr>
      </w:pPr>
      <w:r w:rsidRPr="00BB0BC7">
        <w:rPr>
          <w:rFonts w:eastAsia="Times New Roman"/>
          <w:sz w:val="20"/>
          <w:szCs w:val="20"/>
          <w:lang w:eastAsia="es-CO"/>
        </w:rPr>
        <w:t>Para cumplir con este mandato, la Superintendencia Financiera desarrolla un conjunto de procesos sistemáticos orientados a garantizar que las entidades vigiladas implementen adecuadamente los mecanismos de prevención y control exigidos por la normativa vigente, entre los cuales se destacan los siguientes:</w:t>
      </w:r>
    </w:p>
    <w:p w14:paraId="55F936C0" w14:textId="22F7A937" w:rsidR="00BB0BC7" w:rsidRPr="00D81A06" w:rsidRDefault="00BB0BC7" w:rsidP="00D81A06">
      <w:pPr>
        <w:pStyle w:val="Prrafodelista"/>
        <w:numPr>
          <w:ilvl w:val="0"/>
          <w:numId w:val="31"/>
        </w:numPr>
        <w:spacing w:before="100" w:beforeAutospacing="1" w:after="100" w:afterAutospacing="1"/>
        <w:rPr>
          <w:rFonts w:eastAsia="Times New Roman"/>
          <w:sz w:val="20"/>
          <w:szCs w:val="20"/>
          <w:lang w:eastAsia="es-CO"/>
        </w:rPr>
      </w:pPr>
      <w:commentRangeStart w:id="16"/>
      <w:r w:rsidRPr="00D81A06">
        <w:rPr>
          <w:rFonts w:eastAsia="Times New Roman"/>
          <w:b/>
          <w:bCs/>
          <w:sz w:val="20"/>
          <w:szCs w:val="20"/>
          <w:lang w:eastAsia="es-CO"/>
        </w:rPr>
        <w:t>Inspección:</w:t>
      </w:r>
      <w:r w:rsidRPr="00D81A06">
        <w:rPr>
          <w:rFonts w:eastAsia="Times New Roman"/>
          <w:sz w:val="20"/>
          <w:szCs w:val="20"/>
          <w:lang w:eastAsia="es-CO"/>
        </w:rPr>
        <w:t xml:space="preserve"> consiste en la revisión directa y sistemática de las operaciones, registros y procedimientos de las entidades financieras, con el fin de verificar el cumplimiento de las normas del SARLAFT. </w:t>
      </w:r>
    </w:p>
    <w:p w14:paraId="54B657F6" w14:textId="01C4D1F9" w:rsidR="00BB0BC7" w:rsidRPr="00D81A06" w:rsidRDefault="00BB0BC7" w:rsidP="00D81A06">
      <w:pPr>
        <w:pStyle w:val="Prrafodelista"/>
        <w:numPr>
          <w:ilvl w:val="0"/>
          <w:numId w:val="31"/>
        </w:numPr>
        <w:spacing w:before="100" w:beforeAutospacing="1" w:after="100" w:afterAutospacing="1"/>
        <w:rPr>
          <w:rFonts w:eastAsia="Times New Roman"/>
          <w:sz w:val="20"/>
          <w:szCs w:val="20"/>
          <w:lang w:eastAsia="es-CO"/>
        </w:rPr>
      </w:pPr>
      <w:r w:rsidRPr="00D81A06">
        <w:rPr>
          <w:rFonts w:eastAsia="Times New Roman"/>
          <w:b/>
          <w:bCs/>
          <w:sz w:val="20"/>
          <w:szCs w:val="20"/>
          <w:lang w:eastAsia="es-CO"/>
        </w:rPr>
        <w:t>Vigilancia y control:</w:t>
      </w:r>
      <w:r w:rsidRPr="00D81A06">
        <w:rPr>
          <w:rFonts w:eastAsia="Times New Roman"/>
          <w:sz w:val="20"/>
          <w:szCs w:val="20"/>
          <w:lang w:eastAsia="es-CO"/>
        </w:rPr>
        <w:t xml:space="preserve"> implica el seguimiento continuo de las actividades desarrolladas por las organizaciones supervisadas, identificando posibles irregularidades o incumplimientos en los mecanismos de prevención establecidos. </w:t>
      </w:r>
    </w:p>
    <w:p w14:paraId="066E1330" w14:textId="7E06ED0A" w:rsidR="00BB0BC7" w:rsidRPr="00D81A06" w:rsidRDefault="00BB0BC7" w:rsidP="00D81A06">
      <w:pPr>
        <w:pStyle w:val="Prrafodelista"/>
        <w:numPr>
          <w:ilvl w:val="0"/>
          <w:numId w:val="31"/>
        </w:numPr>
        <w:spacing w:before="100" w:beforeAutospacing="1" w:after="100" w:afterAutospacing="1"/>
        <w:rPr>
          <w:rFonts w:eastAsia="Times New Roman"/>
          <w:sz w:val="20"/>
          <w:szCs w:val="20"/>
          <w:lang w:eastAsia="es-CO"/>
        </w:rPr>
      </w:pPr>
      <w:r w:rsidRPr="00D81A06">
        <w:rPr>
          <w:rFonts w:eastAsia="Times New Roman"/>
          <w:b/>
          <w:bCs/>
          <w:sz w:val="20"/>
          <w:szCs w:val="20"/>
          <w:lang w:eastAsia="es-CO"/>
        </w:rPr>
        <w:t>Análisis de información financiera:</w:t>
      </w:r>
      <w:r w:rsidRPr="00D81A06">
        <w:rPr>
          <w:rFonts w:eastAsia="Times New Roman"/>
          <w:sz w:val="20"/>
          <w:szCs w:val="20"/>
          <w:lang w:eastAsia="es-CO"/>
        </w:rPr>
        <w:t xml:space="preserve"> corresponde al estudio detallado de los reportes y datos suministrados por las entidades, permitiendo detectar operaciones inusuales o sospechosas relacionadas con el lavado de activos o la financiación del terrorismo.</w:t>
      </w:r>
      <w:commentRangeEnd w:id="16"/>
      <w:r w:rsidR="00D81A06" w:rsidRPr="00D81A06">
        <w:rPr>
          <w:rStyle w:val="Refdecomentario"/>
          <w:rFonts w:eastAsia="Times New Roman"/>
          <w:sz w:val="20"/>
          <w:szCs w:val="20"/>
          <w:lang w:eastAsia="es-CO"/>
        </w:rPr>
        <w:commentReference w:id="16"/>
      </w:r>
    </w:p>
    <w:p w14:paraId="4F028A11" w14:textId="394E928F" w:rsidR="000E0FC9" w:rsidRDefault="000E0FC9" w:rsidP="0007033F">
      <w:pPr>
        <w:spacing w:before="100" w:beforeAutospacing="1" w:after="100" w:afterAutospacing="1"/>
        <w:rPr>
          <w:rFonts w:eastAsia="Times New Roman"/>
          <w:sz w:val="20"/>
          <w:szCs w:val="20"/>
          <w:lang w:eastAsia="es-CO"/>
        </w:rPr>
      </w:pPr>
      <w:r w:rsidRPr="000E0FC9">
        <w:rPr>
          <w:rFonts w:eastAsia="Times New Roman"/>
          <w:sz w:val="20"/>
          <w:szCs w:val="20"/>
          <w:lang w:eastAsia="es-CO"/>
        </w:rPr>
        <w:t>Los procesos descritos se desarrollan de manera articulada y permanente, configurando un sistema de supervisión que permite a la Superintendencia Financiera de Colombia identificar oportunamente situaciones de riesgo y adoptar las medidas correctivas necesarias para salvaguardar la integridad del sistema financiero.</w:t>
      </w:r>
    </w:p>
    <w:p w14:paraId="5EADB942" w14:textId="53E9415F" w:rsidR="008960CE" w:rsidRPr="0007033F" w:rsidRDefault="000E0FC9" w:rsidP="000E0FC9">
      <w:pPr>
        <w:spacing w:before="100" w:beforeAutospacing="1" w:after="100" w:afterAutospacing="1"/>
        <w:rPr>
          <w:b/>
          <w:sz w:val="20"/>
          <w:szCs w:val="20"/>
        </w:rPr>
      </w:pPr>
      <w:r w:rsidRPr="000E0FC9">
        <w:rPr>
          <w:rFonts w:eastAsia="Times New Roman"/>
          <w:sz w:val="20"/>
          <w:szCs w:val="20"/>
          <w:lang w:eastAsia="es-CO"/>
        </w:rPr>
        <w:t>Junto a la Superintendencia Financiera, la Fiscalía General de la Nación cumple un rol determinante en la lucha contra el lavado de activos y la financiación del terrorismo, actuando desde el ámbito de la investigación y la judicialización de las conductas que vulneran el ordenamiento jurídico colombiano. Su intervención representa la instancia encargada de llevar ante la justicia a quienes incurren en estas conductas ilícitas.</w:t>
      </w:r>
    </w:p>
    <w:p w14:paraId="6BB06CD3" w14:textId="12961C64" w:rsidR="008960CE" w:rsidRPr="0007033F" w:rsidRDefault="008960CE" w:rsidP="0007033F">
      <w:pPr>
        <w:pStyle w:val="Normal0"/>
        <w:rPr>
          <w:b/>
          <w:sz w:val="20"/>
          <w:szCs w:val="20"/>
        </w:rPr>
      </w:pPr>
      <w:r w:rsidRPr="0007033F">
        <w:rPr>
          <w:b/>
          <w:sz w:val="20"/>
          <w:szCs w:val="20"/>
        </w:rPr>
        <w:t>4.2 Fiscalía General de la Nación</w:t>
      </w:r>
    </w:p>
    <w:p w14:paraId="0C202F80" w14:textId="77777777" w:rsidR="008960CE" w:rsidRPr="0007033F" w:rsidRDefault="008960CE"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La Fiscalía General de la Nación es la entidad del Estado colombiano encargada de investigar y acusar ante los jueces a las personas que presuntamente han cometido delitos. Su función principal es adelantar procesos de investigación penal que permitan esclarecer hechos delictivos y garantizar la aplicación de la ley dentro del marco del sistema judicial colombiano.</w:t>
      </w:r>
    </w:p>
    <w:p w14:paraId="49CB0ADB" w14:textId="77777777" w:rsidR="008960CE" w:rsidRPr="0007033F" w:rsidRDefault="008960CE"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En el contexto de la prevención y control del lavado de activos y la financiación del terrorismo, la Fiscalía General de la Nación cumple un papel fundamental en la investigación de las conductas relacionadas con estos delitos. A partir de la información suministrada por entidades como la Unidad de Información y Análisis Financiero (UIAF) y otros organismos de control, la Fiscalía puede iniciar procesos de investigación orientados a identificar a los responsables de estas actividades ilícitas.</w:t>
      </w:r>
    </w:p>
    <w:p w14:paraId="62BCC779" w14:textId="2E56E890" w:rsidR="00BF32D5" w:rsidRPr="00BF32D5" w:rsidRDefault="00BF32D5" w:rsidP="0007033F">
      <w:pPr>
        <w:spacing w:before="100" w:beforeAutospacing="1" w:after="100" w:afterAutospacing="1"/>
        <w:rPr>
          <w:rFonts w:eastAsia="Times New Roman"/>
          <w:color w:val="000000" w:themeColor="text1"/>
          <w:sz w:val="20"/>
          <w:szCs w:val="20"/>
          <w:lang w:eastAsia="es-CO"/>
        </w:rPr>
      </w:pPr>
      <w:r w:rsidRPr="00BF32D5">
        <w:rPr>
          <w:rFonts w:eastAsia="Times New Roman"/>
          <w:color w:val="000000" w:themeColor="text1"/>
          <w:sz w:val="20"/>
          <w:szCs w:val="20"/>
          <w:lang w:eastAsia="es-CO"/>
        </w:rPr>
        <w:t>Esta coordinación con instituciones nacionales e internacionales se materializa en acciones concretas que fortalecen los procesos de investigación frente a los delitos financieros, entre las cuales se destacan:</w:t>
      </w:r>
    </w:p>
    <w:p w14:paraId="129A05F4" w14:textId="5734679D" w:rsidR="00BF32D5" w:rsidRPr="00BF32D5" w:rsidRDefault="00BF32D5" w:rsidP="00BF32D5">
      <w:pPr>
        <w:pStyle w:val="Prrafodelista"/>
        <w:numPr>
          <w:ilvl w:val="0"/>
          <w:numId w:val="32"/>
        </w:numPr>
        <w:spacing w:before="100" w:beforeAutospacing="1" w:after="100" w:afterAutospacing="1"/>
        <w:rPr>
          <w:rFonts w:eastAsia="Times New Roman"/>
          <w:color w:val="000000" w:themeColor="text1"/>
          <w:sz w:val="20"/>
          <w:szCs w:val="20"/>
          <w:lang w:eastAsia="es-CO"/>
        </w:rPr>
      </w:pPr>
      <w:commentRangeStart w:id="17"/>
      <w:r w:rsidRPr="00BF32D5">
        <w:rPr>
          <w:rFonts w:eastAsia="Times New Roman"/>
          <w:b/>
          <w:bCs/>
          <w:color w:val="000000" w:themeColor="text1"/>
          <w:sz w:val="20"/>
          <w:szCs w:val="20"/>
          <w:lang w:eastAsia="es-CO"/>
        </w:rPr>
        <w:t>Intercambio de información:</w:t>
      </w:r>
      <w:r w:rsidRPr="00BF32D5">
        <w:rPr>
          <w:rFonts w:eastAsia="Times New Roman"/>
          <w:color w:val="000000" w:themeColor="text1"/>
          <w:sz w:val="20"/>
          <w:szCs w:val="20"/>
          <w:lang w:eastAsia="es-CO"/>
        </w:rPr>
        <w:t xml:space="preserve"> consiste en compartir datos relevantes con otros organismos de control, con el fin de construir evidencia sólida sobre posibles operaciones relacionadas con el lavado de activos o la financiación del terrorismo. </w:t>
      </w:r>
    </w:p>
    <w:p w14:paraId="39E31411" w14:textId="45095CD1" w:rsidR="00BF32D5" w:rsidRPr="00BF32D5" w:rsidRDefault="00BF32D5" w:rsidP="00BF32D5">
      <w:pPr>
        <w:pStyle w:val="Prrafodelista"/>
        <w:numPr>
          <w:ilvl w:val="0"/>
          <w:numId w:val="32"/>
        </w:numPr>
        <w:spacing w:before="100" w:beforeAutospacing="1" w:after="100" w:afterAutospacing="1"/>
        <w:rPr>
          <w:rFonts w:eastAsia="Times New Roman"/>
          <w:color w:val="000000" w:themeColor="text1"/>
          <w:sz w:val="20"/>
          <w:szCs w:val="20"/>
          <w:lang w:eastAsia="es-CO"/>
        </w:rPr>
      </w:pPr>
      <w:r w:rsidRPr="00BF32D5">
        <w:rPr>
          <w:rFonts w:eastAsia="Times New Roman"/>
          <w:b/>
          <w:bCs/>
          <w:color w:val="000000" w:themeColor="text1"/>
          <w:sz w:val="20"/>
          <w:szCs w:val="20"/>
          <w:lang w:eastAsia="es-CO"/>
        </w:rPr>
        <w:lastRenderedPageBreak/>
        <w:t>Seguimiento de operaciones financieras:</w:t>
      </w:r>
      <w:r w:rsidRPr="00BF32D5">
        <w:rPr>
          <w:rFonts w:eastAsia="Times New Roman"/>
          <w:color w:val="000000" w:themeColor="text1"/>
          <w:sz w:val="20"/>
          <w:szCs w:val="20"/>
          <w:lang w:eastAsia="es-CO"/>
        </w:rPr>
        <w:t xml:space="preserve"> implica el monitoreo sistemático de transacciones y movimientos de recursos que presenten características inusuales o sospechosas dentro del sistema financiero. </w:t>
      </w:r>
    </w:p>
    <w:p w14:paraId="6CCC120A" w14:textId="502E5606" w:rsidR="00BF32D5" w:rsidRPr="00BF32D5" w:rsidRDefault="00BF32D5" w:rsidP="00BF32D5">
      <w:pPr>
        <w:pStyle w:val="Prrafodelista"/>
        <w:numPr>
          <w:ilvl w:val="0"/>
          <w:numId w:val="32"/>
        </w:numPr>
        <w:spacing w:before="100" w:beforeAutospacing="1" w:after="100" w:afterAutospacing="1"/>
        <w:rPr>
          <w:rFonts w:eastAsia="Times New Roman"/>
          <w:color w:val="000000" w:themeColor="text1"/>
          <w:sz w:val="20"/>
          <w:szCs w:val="20"/>
          <w:lang w:eastAsia="es-CO"/>
        </w:rPr>
      </w:pPr>
      <w:r w:rsidRPr="00BF32D5">
        <w:rPr>
          <w:rFonts w:eastAsia="Times New Roman"/>
          <w:b/>
          <w:bCs/>
          <w:color w:val="000000" w:themeColor="text1"/>
          <w:sz w:val="20"/>
          <w:szCs w:val="20"/>
          <w:lang w:eastAsia="es-CO"/>
        </w:rPr>
        <w:t>Identificación de redes criminales:</w:t>
      </w:r>
      <w:r w:rsidRPr="00BF32D5">
        <w:rPr>
          <w:rFonts w:eastAsia="Times New Roman"/>
          <w:color w:val="000000" w:themeColor="text1"/>
          <w:sz w:val="20"/>
          <w:szCs w:val="20"/>
          <w:lang w:eastAsia="es-CO"/>
        </w:rPr>
        <w:t xml:space="preserve"> corresponde a la detección y análisis de estructuras organizadas que puedan estar vinculadas a actividades ilícitas relacionadas con el lavado de activos o la financiación del terrorismo.</w:t>
      </w:r>
      <w:commentRangeEnd w:id="17"/>
      <w:r w:rsidR="006C5CD3" w:rsidRPr="00BF32D5">
        <w:rPr>
          <w:rStyle w:val="Refdecomentario"/>
          <w:rFonts w:eastAsia="Times New Roman"/>
          <w:color w:val="000000" w:themeColor="text1"/>
          <w:sz w:val="20"/>
          <w:szCs w:val="20"/>
          <w:lang w:eastAsia="es-CO"/>
        </w:rPr>
        <w:commentReference w:id="17"/>
      </w:r>
    </w:p>
    <w:p w14:paraId="10253390" w14:textId="4CD98F1A" w:rsidR="006C5CD3" w:rsidRDefault="006C5CD3" w:rsidP="0007033F">
      <w:pPr>
        <w:pStyle w:val="Normal0"/>
        <w:rPr>
          <w:bCs/>
          <w:sz w:val="20"/>
          <w:szCs w:val="20"/>
        </w:rPr>
      </w:pPr>
      <w:r w:rsidRPr="006C5CD3">
        <w:rPr>
          <w:bCs/>
          <w:sz w:val="20"/>
          <w:szCs w:val="20"/>
        </w:rPr>
        <w:t>Estas acciones, desarrolladas de forma coordinada con el sistema institucional de control, otorgan a la Fiscalía General de la Nación la capacidad de adelantar procesos judiciales contra personas o entidades responsables del lavado de activos y la financiación del terrorismo, contribuyendo a recuperar activos de origen ilícito y a fortalecer la respuesta del Estado frente a estos delitos.</w:t>
      </w:r>
    </w:p>
    <w:p w14:paraId="668A35AA" w14:textId="77777777" w:rsidR="006C5CD3" w:rsidRDefault="006C5CD3" w:rsidP="0007033F">
      <w:pPr>
        <w:pStyle w:val="Normal0"/>
        <w:rPr>
          <w:bCs/>
          <w:sz w:val="20"/>
          <w:szCs w:val="20"/>
        </w:rPr>
      </w:pPr>
    </w:p>
    <w:p w14:paraId="4157C6C6" w14:textId="666D28CD" w:rsidR="006C5CD3" w:rsidRPr="006C5CD3" w:rsidRDefault="006C5CD3" w:rsidP="0007033F">
      <w:pPr>
        <w:pStyle w:val="Normal0"/>
        <w:rPr>
          <w:bCs/>
          <w:sz w:val="20"/>
          <w:szCs w:val="20"/>
        </w:rPr>
      </w:pPr>
      <w:r w:rsidRPr="006C5CD3">
        <w:rPr>
          <w:bCs/>
          <w:sz w:val="20"/>
          <w:szCs w:val="20"/>
        </w:rPr>
        <w:t>Otra entidad fundamental dentro del sistema de control es la Unidad de Información y Análisis Financiero (UIAF), organismo especializado en la recopilación, procesamiento y análisis de información financiera orientada a detectar operaciones sospechosas. Su función resulta clave porque alimenta con datos estratégicos la labor investigativa de las demás entidades del sistema</w:t>
      </w:r>
      <w:r w:rsidR="003B3060">
        <w:rPr>
          <w:bCs/>
          <w:sz w:val="20"/>
          <w:szCs w:val="20"/>
        </w:rPr>
        <w:t>.</w:t>
      </w:r>
    </w:p>
    <w:p w14:paraId="1F92914F" w14:textId="77777777" w:rsidR="006C5CD3" w:rsidRPr="0007033F" w:rsidRDefault="006C5CD3" w:rsidP="0007033F">
      <w:pPr>
        <w:pStyle w:val="Normal0"/>
        <w:rPr>
          <w:b/>
          <w:sz w:val="20"/>
          <w:szCs w:val="20"/>
        </w:rPr>
      </w:pPr>
    </w:p>
    <w:p w14:paraId="7CAC8256" w14:textId="0AAB9803" w:rsidR="00B90167" w:rsidRPr="0007033F" w:rsidRDefault="00B90167" w:rsidP="0007033F">
      <w:pPr>
        <w:pStyle w:val="Normal0"/>
        <w:rPr>
          <w:b/>
          <w:sz w:val="20"/>
          <w:szCs w:val="20"/>
        </w:rPr>
      </w:pPr>
      <w:r w:rsidRPr="0007033F">
        <w:rPr>
          <w:b/>
          <w:sz w:val="20"/>
          <w:szCs w:val="20"/>
        </w:rPr>
        <w:t>4.3 Unidad de Información y Análisis Financiero (UIAF)</w:t>
      </w:r>
    </w:p>
    <w:p w14:paraId="530537A9" w14:textId="77777777" w:rsidR="00B90167" w:rsidRPr="0007033F" w:rsidRDefault="00B90167"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La Unidad de Información y Análisis Financiero (UIAF) es una entidad adscrita al Ministerio de Hacienda y Crédito Público de Colombia encargada de prevenir y detectar posibles operaciones relacionadas con el lavado de activos y la financiación del terrorismo. Su función principal consiste en recibir, analizar y procesar información financiera proveniente de diferentes entidades del sector financiero y de otros sectores económicos que están obligados a reportar determinadas operaciones.</w:t>
      </w:r>
    </w:p>
    <w:p w14:paraId="0A3531E7" w14:textId="77777777" w:rsidR="00B90167" w:rsidRPr="0007033F" w:rsidRDefault="00B90167" w:rsidP="00D66188">
      <w:pPr>
        <w:shd w:val="clear" w:color="auto" w:fill="DBE5F1" w:themeFill="accent1" w:themeFillTint="33"/>
        <w:spacing w:before="100" w:beforeAutospacing="1" w:after="100" w:afterAutospacing="1"/>
        <w:rPr>
          <w:rFonts w:eastAsia="Times New Roman"/>
          <w:sz w:val="20"/>
          <w:szCs w:val="20"/>
          <w:lang w:eastAsia="es-CO"/>
        </w:rPr>
      </w:pPr>
      <w:r w:rsidRPr="0007033F">
        <w:rPr>
          <w:rFonts w:eastAsia="Times New Roman"/>
          <w:sz w:val="20"/>
          <w:szCs w:val="20"/>
          <w:lang w:eastAsia="es-CO"/>
        </w:rPr>
        <w:t>Dentro del sistema de prevención del lavado de activos y financiación del terrorismo, la UIAF cumple un papel estratégico al centralizar la información reportada por las entidades vigiladas. A través del análisis de estos datos, la entidad puede identificar patrones de comportamiento financiero, detectar transacciones sospechosas y generar informes que contribuyan a la investigación de posibles actividades ilícitas.</w:t>
      </w:r>
    </w:p>
    <w:p w14:paraId="35C826C9" w14:textId="77777777" w:rsidR="00B90167" w:rsidRDefault="00B90167"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la UIAF trabaja de manera coordinada con diferentes organismos de control y autoridades judiciales, como la Fiscalía General de la Nación, la Superintendencia Financiera de Colombia y otras entidades nacionales e internacionales. Esta cooperación institucional permite fortalecer los procesos de investigación y mejorar la capacidad del Estado para detectar y combatir actividades relacionadas con el lavado de activos y la financiación del terrorismo.</w:t>
      </w:r>
    </w:p>
    <w:p w14:paraId="0C8DCA2F" w14:textId="08A50FA4" w:rsidR="00F530E7" w:rsidRDefault="00F530E7" w:rsidP="0007033F">
      <w:pPr>
        <w:spacing w:before="100" w:beforeAutospacing="1" w:after="100" w:afterAutospacing="1"/>
        <w:rPr>
          <w:rFonts w:eastAsia="Times New Roman"/>
          <w:sz w:val="20"/>
          <w:szCs w:val="20"/>
          <w:lang w:eastAsia="es-CO"/>
        </w:rPr>
      </w:pPr>
      <w:r w:rsidRPr="00F530E7">
        <w:rPr>
          <w:rFonts w:eastAsia="Times New Roman"/>
          <w:sz w:val="20"/>
          <w:szCs w:val="20"/>
          <w:lang w:eastAsia="es-CO"/>
        </w:rPr>
        <w:t>La información procesada por la UIAF tiene un alcance que va más allá del análisis interno. Sus resultados se orientan hacia propósitos estratégicos fundamentales que fortalecen la capacidad del sistema de control frente al lavado de activos y la financiación del terrorismo, entre los cuales se destacan los siguientes:</w:t>
      </w:r>
    </w:p>
    <w:p w14:paraId="38DCF3B3" w14:textId="31FB3A5D" w:rsidR="00F530E7" w:rsidRPr="00F530E7" w:rsidRDefault="00F530E7" w:rsidP="00F530E7">
      <w:pPr>
        <w:pStyle w:val="Normal0"/>
        <w:numPr>
          <w:ilvl w:val="0"/>
          <w:numId w:val="33"/>
        </w:numPr>
        <w:rPr>
          <w:bCs/>
          <w:sz w:val="20"/>
          <w:szCs w:val="20"/>
        </w:rPr>
      </w:pPr>
      <w:commentRangeStart w:id="18"/>
      <w:r w:rsidRPr="00F530E7">
        <w:rPr>
          <w:b/>
          <w:bCs/>
          <w:sz w:val="20"/>
          <w:szCs w:val="20"/>
        </w:rPr>
        <w:t>Apoyo a investigaciones judiciales:</w:t>
      </w:r>
      <w:r w:rsidRPr="00F530E7">
        <w:rPr>
          <w:bCs/>
          <w:sz w:val="20"/>
          <w:szCs w:val="20"/>
        </w:rPr>
        <w:t xml:space="preserve"> los informes generados por la UIAF sirven como insumo técnico para que las autoridades competentes adelanten procesos de investigación y judicialización frente a delitos financieros. </w:t>
      </w:r>
    </w:p>
    <w:p w14:paraId="0F7DF1EC" w14:textId="3782E100" w:rsidR="00F530E7" w:rsidRPr="00F530E7" w:rsidRDefault="00F530E7" w:rsidP="00F530E7">
      <w:pPr>
        <w:pStyle w:val="Normal0"/>
        <w:numPr>
          <w:ilvl w:val="0"/>
          <w:numId w:val="33"/>
        </w:numPr>
        <w:rPr>
          <w:bCs/>
          <w:sz w:val="20"/>
          <w:szCs w:val="20"/>
        </w:rPr>
      </w:pPr>
      <w:r w:rsidRPr="00F530E7">
        <w:rPr>
          <w:b/>
          <w:bCs/>
          <w:sz w:val="20"/>
          <w:szCs w:val="20"/>
        </w:rPr>
        <w:t>Desarrollo de estrategias de prevención:</w:t>
      </w:r>
      <w:r w:rsidRPr="00F530E7">
        <w:rPr>
          <w:bCs/>
          <w:sz w:val="20"/>
          <w:szCs w:val="20"/>
        </w:rPr>
        <w:t xml:space="preserve"> el análisis de patrones y tendencias financieras permite diseñar medidas orientadas a reducir el riesgo de que el sistema financiero sea utilizado para actividades ilícitas. </w:t>
      </w:r>
    </w:p>
    <w:p w14:paraId="6DB6A0AE" w14:textId="5020D503" w:rsidR="00F530E7" w:rsidRPr="00F530E7" w:rsidRDefault="00F530E7" w:rsidP="00F530E7">
      <w:pPr>
        <w:pStyle w:val="Normal0"/>
        <w:numPr>
          <w:ilvl w:val="0"/>
          <w:numId w:val="33"/>
        </w:numPr>
        <w:rPr>
          <w:bCs/>
          <w:sz w:val="20"/>
          <w:szCs w:val="20"/>
        </w:rPr>
      </w:pPr>
      <w:r w:rsidRPr="00F530E7">
        <w:rPr>
          <w:b/>
          <w:bCs/>
          <w:sz w:val="20"/>
          <w:szCs w:val="20"/>
        </w:rPr>
        <w:t>Inteligencia financiera:</w:t>
      </w:r>
      <w:r w:rsidRPr="00F530E7">
        <w:rPr>
          <w:bCs/>
          <w:sz w:val="20"/>
          <w:szCs w:val="20"/>
        </w:rPr>
        <w:t xml:space="preserve"> el estudio sistemático de la información reportada posibilita identificar estructuras y redes que operan de manera encubierta dentro del sistema económico colombiano. </w:t>
      </w:r>
    </w:p>
    <w:p w14:paraId="4ACD5E3C" w14:textId="19BE6DD5" w:rsidR="00F530E7" w:rsidRDefault="00F530E7" w:rsidP="00F530E7">
      <w:pPr>
        <w:pStyle w:val="Normal0"/>
        <w:numPr>
          <w:ilvl w:val="0"/>
          <w:numId w:val="33"/>
        </w:numPr>
        <w:rPr>
          <w:bCs/>
          <w:sz w:val="20"/>
          <w:szCs w:val="20"/>
        </w:rPr>
      </w:pPr>
      <w:r w:rsidRPr="00F530E7">
        <w:rPr>
          <w:b/>
          <w:bCs/>
          <w:sz w:val="20"/>
          <w:szCs w:val="20"/>
        </w:rPr>
        <w:lastRenderedPageBreak/>
        <w:t>Fortalecimiento de la transparencia:</w:t>
      </w:r>
      <w:r w:rsidRPr="00F530E7">
        <w:rPr>
          <w:bCs/>
          <w:sz w:val="20"/>
          <w:szCs w:val="20"/>
        </w:rPr>
        <w:t xml:space="preserve"> la labor analítica de la UIAF contribuye a garantizar que las operaciones económicas se realicen de manera clara, verificable y conforme a la normativa vigente</w:t>
      </w:r>
      <w:r>
        <w:rPr>
          <w:bCs/>
          <w:sz w:val="20"/>
          <w:szCs w:val="20"/>
        </w:rPr>
        <w:t>.</w:t>
      </w:r>
      <w:commentRangeEnd w:id="18"/>
      <w:r>
        <w:rPr>
          <w:rStyle w:val="Refdecomentario"/>
          <w:bCs/>
          <w:sz w:val="20"/>
          <w:szCs w:val="20"/>
        </w:rPr>
        <w:commentReference w:id="18"/>
      </w:r>
    </w:p>
    <w:p w14:paraId="5C846546" w14:textId="43A4F40C" w:rsidR="00F530E7" w:rsidRPr="00F530E7" w:rsidRDefault="00F530E7" w:rsidP="00F530E7">
      <w:pPr>
        <w:pStyle w:val="Normal0"/>
        <w:ind w:left="720"/>
        <w:rPr>
          <w:bCs/>
          <w:sz w:val="20"/>
          <w:szCs w:val="20"/>
        </w:rPr>
      </w:pPr>
    </w:p>
    <w:p w14:paraId="74D3064F" w14:textId="77777777" w:rsidR="00F530E7" w:rsidRDefault="00F530E7" w:rsidP="0007033F">
      <w:pPr>
        <w:pStyle w:val="Normal0"/>
        <w:rPr>
          <w:b/>
          <w:sz w:val="20"/>
          <w:szCs w:val="20"/>
        </w:rPr>
      </w:pPr>
    </w:p>
    <w:p w14:paraId="5115FB6A" w14:textId="2DEBFBD6" w:rsidR="00F530E7" w:rsidRPr="00F530E7" w:rsidRDefault="00F530E7" w:rsidP="0007033F">
      <w:pPr>
        <w:pStyle w:val="Normal0"/>
        <w:rPr>
          <w:bCs/>
          <w:sz w:val="20"/>
          <w:szCs w:val="20"/>
        </w:rPr>
      </w:pPr>
      <w:r w:rsidRPr="00F530E7">
        <w:rPr>
          <w:bCs/>
          <w:sz w:val="20"/>
          <w:szCs w:val="20"/>
        </w:rPr>
        <w:t>Los cuatro propósitos descritos consolidan a la UIAF como el centro de inteligencia financiera del sistema de control colombiano, cuya labor resulta indispensable para articular la información disponible y convertirla en herramientas concretas de prevención, investigación y sanción frente al lavado de activos y la financiación del terrorismo.</w:t>
      </w:r>
    </w:p>
    <w:p w14:paraId="61936C0C" w14:textId="77777777" w:rsidR="00F530E7" w:rsidRPr="00F530E7" w:rsidRDefault="00F530E7" w:rsidP="0007033F">
      <w:pPr>
        <w:pStyle w:val="Normal0"/>
        <w:rPr>
          <w:bCs/>
          <w:sz w:val="20"/>
          <w:szCs w:val="20"/>
        </w:rPr>
      </w:pPr>
    </w:p>
    <w:p w14:paraId="1F7A6DD7" w14:textId="77777777" w:rsidR="00D11FBA" w:rsidRPr="00D11FBA" w:rsidRDefault="00D11FBA" w:rsidP="00D11FBA">
      <w:pPr>
        <w:pStyle w:val="Normal0"/>
        <w:shd w:val="clear" w:color="auto" w:fill="D6E3BC" w:themeFill="accent3" w:themeFillTint="66"/>
        <w:rPr>
          <w:bCs/>
          <w:sz w:val="20"/>
          <w:szCs w:val="20"/>
        </w:rPr>
      </w:pPr>
      <w:r w:rsidRPr="00D11FBA">
        <w:rPr>
          <w:bCs/>
          <w:sz w:val="20"/>
          <w:szCs w:val="20"/>
        </w:rPr>
        <w:t>La Superintendencia Financiera de Colombia, la Fiscalía General de la Nación y la UIAF conforman un sistema de control cuyas funciones, aunque específicas para cada organismo, actúan de manera complementaria e integrada. Reconocer esta articulación institucional resulta esencial para comprender cómo el Estado colombiano estructura su respuesta frente al lavado de activos y la financiación del terrorismo.</w:t>
      </w:r>
    </w:p>
    <w:p w14:paraId="1EE40DB4" w14:textId="77777777" w:rsidR="00D11FBA" w:rsidRPr="00F82A6C" w:rsidRDefault="00D11FBA" w:rsidP="0007033F">
      <w:pPr>
        <w:pStyle w:val="Normal0"/>
        <w:rPr>
          <w:bCs/>
          <w:sz w:val="20"/>
          <w:szCs w:val="20"/>
        </w:rPr>
      </w:pPr>
    </w:p>
    <w:p w14:paraId="2875BFED" w14:textId="77777777" w:rsidR="00F530E7" w:rsidRPr="0007033F" w:rsidRDefault="00F530E7" w:rsidP="0007033F">
      <w:pPr>
        <w:pStyle w:val="Normal0"/>
        <w:rPr>
          <w:b/>
          <w:sz w:val="20"/>
          <w:szCs w:val="20"/>
        </w:rPr>
      </w:pPr>
    </w:p>
    <w:p w14:paraId="1A00BAA4" w14:textId="23CBF4FB" w:rsidR="00B90167" w:rsidRPr="0007033F" w:rsidRDefault="00B90167" w:rsidP="0007033F">
      <w:pPr>
        <w:pStyle w:val="Normal0"/>
        <w:rPr>
          <w:b/>
          <w:sz w:val="20"/>
          <w:szCs w:val="20"/>
        </w:rPr>
      </w:pPr>
      <w:r w:rsidRPr="0007033F">
        <w:rPr>
          <w:b/>
          <w:sz w:val="20"/>
          <w:szCs w:val="20"/>
        </w:rPr>
        <w:t>4.4 Funciones de los organismos de control</w:t>
      </w:r>
    </w:p>
    <w:p w14:paraId="66E4F953" w14:textId="77777777" w:rsidR="00B90167" w:rsidRPr="0007033F" w:rsidRDefault="00B90167" w:rsidP="0007033F">
      <w:pPr>
        <w:pStyle w:val="NormalWeb"/>
        <w:spacing w:line="276" w:lineRule="auto"/>
        <w:rPr>
          <w:rFonts w:ascii="Arial" w:hAnsi="Arial" w:cs="Arial"/>
          <w:sz w:val="20"/>
          <w:szCs w:val="20"/>
          <w:lang w:eastAsia="es-CO"/>
        </w:rPr>
      </w:pPr>
      <w:r w:rsidRPr="0007033F">
        <w:rPr>
          <w:rFonts w:ascii="Arial" w:hAnsi="Arial" w:cs="Arial"/>
          <w:sz w:val="20"/>
          <w:szCs w:val="20"/>
        </w:rPr>
        <w:t>Los organismos de control desempeñan un papel fundamental en la prevención y combate del lavado de activos y la financiación del terrorismo dentro del sistema financiero y empresarial. Estas entidades tienen la responsabilidad de supervisar el cumplimiento de la normativa vigente, investigar posibles actividades ilícitas y garantizar que las organizaciones implementen adecuadamente los mecanismos de prevención establecidos en el sistema SARLAFT.</w:t>
      </w:r>
    </w:p>
    <w:p w14:paraId="793DD0F9" w14:textId="77777777" w:rsidR="00B90167" w:rsidRPr="0007033F" w:rsidRDefault="00B90167" w:rsidP="0007033F">
      <w:pPr>
        <w:pStyle w:val="NormalWeb"/>
        <w:spacing w:line="276" w:lineRule="auto"/>
        <w:rPr>
          <w:rFonts w:ascii="Arial" w:hAnsi="Arial" w:cs="Arial"/>
          <w:sz w:val="20"/>
          <w:szCs w:val="20"/>
        </w:rPr>
      </w:pPr>
      <w:r w:rsidRPr="0007033F">
        <w:rPr>
          <w:rFonts w:ascii="Arial" w:hAnsi="Arial" w:cs="Arial"/>
          <w:sz w:val="20"/>
          <w:szCs w:val="20"/>
        </w:rPr>
        <w:t>En el marco del sistema de control del Estado, los organismos encargados de la supervisión y vigilancia desarrollan diferentes actividades orientadas a fortalecer la transparencia en las operaciones financieras. A través de procesos de inspección, monitoreo y análisis de información, estas entidades pueden identificar irregularidades, detectar riesgos asociados al lavado de activos y adoptar medidas que permitan prevenir el uso indebido del sistema financiero.</w:t>
      </w:r>
    </w:p>
    <w:p w14:paraId="5386C8E8" w14:textId="77777777" w:rsidR="00B90167" w:rsidRPr="0007033F" w:rsidRDefault="00B90167" w:rsidP="00D11FBA">
      <w:pPr>
        <w:pStyle w:val="NormalWeb"/>
        <w:shd w:val="clear" w:color="auto" w:fill="C6D9F1" w:themeFill="text2" w:themeFillTint="33"/>
        <w:spacing w:line="276" w:lineRule="auto"/>
        <w:rPr>
          <w:rFonts w:ascii="Arial" w:hAnsi="Arial" w:cs="Arial"/>
          <w:sz w:val="20"/>
          <w:szCs w:val="20"/>
        </w:rPr>
      </w:pPr>
      <w:r w:rsidRPr="0007033F">
        <w:rPr>
          <w:rFonts w:ascii="Arial" w:hAnsi="Arial" w:cs="Arial"/>
          <w:sz w:val="20"/>
          <w:szCs w:val="20"/>
        </w:rPr>
        <w:t>Asimismo, los organismos de control trabajan de manera coordinada con diferentes instituciones nacionales e internacionales con el fin de fortalecer los procesos de investigación y sanción frente a delitos financieros. Esta cooperación institucional facilita el intercambio de información, el seguimiento de operaciones sospechosas y la identificación de redes criminales que puedan estar involucradas en actividades ilícitas.</w:t>
      </w:r>
    </w:p>
    <w:p w14:paraId="3D70B2DC" w14:textId="062EEA85" w:rsidR="00D11FBA" w:rsidRDefault="00D11FBA" w:rsidP="0007033F">
      <w:pPr>
        <w:pStyle w:val="NormalWeb"/>
        <w:spacing w:line="276" w:lineRule="auto"/>
        <w:rPr>
          <w:rFonts w:ascii="Arial" w:hAnsi="Arial" w:cs="Arial"/>
          <w:sz w:val="20"/>
          <w:szCs w:val="20"/>
        </w:rPr>
      </w:pPr>
      <w:r w:rsidRPr="00D11FBA">
        <w:rPr>
          <w:rFonts w:ascii="Arial" w:hAnsi="Arial" w:cs="Arial"/>
          <w:sz w:val="20"/>
          <w:szCs w:val="20"/>
        </w:rPr>
        <w:t>La coordinación interinstitucional descrita no constituye un fin en sí mismo, sino el medio a través del cual los organismos de control logran resultados concretos y verificables dentro del sistema financiero colombiano. Su actuación articulada genera efectos que se traducen en beneficios directos para la integridad del sistema económico y la seguridad institucional del país, entre los cuales se destacan los siguientes:</w:t>
      </w:r>
    </w:p>
    <w:p w14:paraId="305582EB" w14:textId="700DB123" w:rsidR="00D11FBA" w:rsidRPr="00D11FBA" w:rsidRDefault="00D11FBA" w:rsidP="0072625B">
      <w:pPr>
        <w:pStyle w:val="NormalWeb"/>
        <w:numPr>
          <w:ilvl w:val="0"/>
          <w:numId w:val="35"/>
        </w:numPr>
        <w:spacing w:line="276" w:lineRule="auto"/>
        <w:rPr>
          <w:rFonts w:ascii="Arial" w:hAnsi="Arial" w:cs="Arial"/>
          <w:sz w:val="20"/>
          <w:szCs w:val="20"/>
        </w:rPr>
      </w:pPr>
      <w:commentRangeStart w:id="19"/>
      <w:r w:rsidRPr="00D11FBA">
        <w:rPr>
          <w:rFonts w:ascii="Arial" w:hAnsi="Arial" w:cs="Arial"/>
          <w:b/>
          <w:bCs/>
          <w:sz w:val="20"/>
          <w:szCs w:val="20"/>
        </w:rPr>
        <w:t>Cumplimiento normativo:</w:t>
      </w:r>
      <w:r w:rsidRPr="00D11FBA">
        <w:rPr>
          <w:rFonts w:ascii="Arial" w:hAnsi="Arial" w:cs="Arial"/>
          <w:sz w:val="20"/>
          <w:szCs w:val="20"/>
        </w:rPr>
        <w:t xml:space="preserve"> garantiza que las entidades vigiladas apliquen correctamente las disposiciones del SARLAFT y demás normas relacionadas con la prevención del lavado de activos y la financiación del terrorismo. </w:t>
      </w:r>
    </w:p>
    <w:p w14:paraId="5B8C2B84" w14:textId="363ED2E9" w:rsidR="00D11FBA" w:rsidRPr="00D11FBA" w:rsidRDefault="00D11FBA" w:rsidP="0072625B">
      <w:pPr>
        <w:pStyle w:val="NormalWeb"/>
        <w:numPr>
          <w:ilvl w:val="0"/>
          <w:numId w:val="35"/>
        </w:numPr>
        <w:spacing w:line="276" w:lineRule="auto"/>
        <w:rPr>
          <w:rFonts w:ascii="Arial" w:hAnsi="Arial" w:cs="Arial"/>
          <w:sz w:val="20"/>
          <w:szCs w:val="20"/>
        </w:rPr>
      </w:pPr>
      <w:r w:rsidRPr="00D11FBA">
        <w:rPr>
          <w:rFonts w:ascii="Arial" w:hAnsi="Arial" w:cs="Arial"/>
          <w:b/>
          <w:bCs/>
          <w:sz w:val="20"/>
          <w:szCs w:val="20"/>
        </w:rPr>
        <w:t>Lucha contra el crimen organizado:</w:t>
      </w:r>
      <w:r w:rsidRPr="00D11FBA">
        <w:rPr>
          <w:rFonts w:ascii="Arial" w:hAnsi="Arial" w:cs="Arial"/>
          <w:sz w:val="20"/>
          <w:szCs w:val="20"/>
        </w:rPr>
        <w:t xml:space="preserve"> contribuye a desarticular estructuras delictivas que intentan utilizar el sistema financiero para ocultar recursos de origen ilícito. </w:t>
      </w:r>
    </w:p>
    <w:p w14:paraId="05FD020D" w14:textId="02FF9D7C" w:rsidR="00D11FBA" w:rsidRPr="00D11FBA" w:rsidRDefault="00D11FBA" w:rsidP="0072625B">
      <w:pPr>
        <w:pStyle w:val="NormalWeb"/>
        <w:numPr>
          <w:ilvl w:val="0"/>
          <w:numId w:val="35"/>
        </w:numPr>
        <w:spacing w:line="276" w:lineRule="auto"/>
        <w:rPr>
          <w:rFonts w:ascii="Arial" w:hAnsi="Arial" w:cs="Arial"/>
          <w:sz w:val="20"/>
          <w:szCs w:val="20"/>
        </w:rPr>
      </w:pPr>
      <w:r w:rsidRPr="00D11FBA">
        <w:rPr>
          <w:rFonts w:ascii="Arial" w:hAnsi="Arial" w:cs="Arial"/>
          <w:b/>
          <w:bCs/>
          <w:sz w:val="20"/>
          <w:szCs w:val="20"/>
        </w:rPr>
        <w:t>Protección de la estabilidad económica:</w:t>
      </w:r>
      <w:r w:rsidRPr="00D11FBA">
        <w:rPr>
          <w:rFonts w:ascii="Arial" w:hAnsi="Arial" w:cs="Arial"/>
          <w:sz w:val="20"/>
          <w:szCs w:val="20"/>
        </w:rPr>
        <w:t xml:space="preserve"> salvaguarda la integridad del sistema financiero, previniendo que actividades ilícitas afecten la confianza institucional y el funcionamiento de los mercados.</w:t>
      </w:r>
      <w:commentRangeEnd w:id="19"/>
      <w:r w:rsidR="0072625B" w:rsidRPr="00D11FBA">
        <w:rPr>
          <w:rStyle w:val="Refdecomentario"/>
          <w:rFonts w:ascii="Arial" w:hAnsi="Arial" w:cs="Arial"/>
          <w:sz w:val="20"/>
          <w:szCs w:val="20"/>
        </w:rPr>
        <w:commentReference w:id="19"/>
      </w:r>
    </w:p>
    <w:p w14:paraId="189E5107" w14:textId="77777777" w:rsidR="00D11FBA" w:rsidRDefault="00D11FBA" w:rsidP="0007033F">
      <w:pPr>
        <w:pStyle w:val="NormalWeb"/>
        <w:spacing w:line="276" w:lineRule="auto"/>
        <w:rPr>
          <w:rFonts w:ascii="Arial" w:hAnsi="Arial" w:cs="Arial"/>
          <w:sz w:val="20"/>
          <w:szCs w:val="20"/>
        </w:rPr>
      </w:pPr>
    </w:p>
    <w:p w14:paraId="427C98CD" w14:textId="40968296" w:rsidR="00667CA9" w:rsidRDefault="00667CA9" w:rsidP="0007033F">
      <w:pPr>
        <w:pStyle w:val="NormalWeb"/>
        <w:spacing w:line="276" w:lineRule="auto"/>
        <w:rPr>
          <w:rFonts w:ascii="Arial" w:hAnsi="Arial" w:cs="Arial"/>
          <w:sz w:val="20"/>
          <w:szCs w:val="20"/>
        </w:rPr>
      </w:pPr>
      <w:r w:rsidRPr="00667CA9">
        <w:rPr>
          <w:rFonts w:ascii="Arial" w:hAnsi="Arial" w:cs="Arial"/>
          <w:sz w:val="20"/>
          <w:szCs w:val="20"/>
        </w:rPr>
        <w:lastRenderedPageBreak/>
        <w:t>Los tres efectos descritos evidencian que la labor de los organismos de control trasciende la simple verificación normativa, pues su actuación conjunta constituye un mecanismo integral de protección del sistema financiero colombiano frente a las amenazas del lavado de activos y la financiación del terrorismo.</w:t>
      </w:r>
    </w:p>
    <w:p w14:paraId="5D8D49FD" w14:textId="4FA55781" w:rsidR="00667CA9" w:rsidRDefault="00667CA9" w:rsidP="0007033F">
      <w:pPr>
        <w:pStyle w:val="NormalWeb"/>
        <w:spacing w:line="276" w:lineRule="auto"/>
        <w:rPr>
          <w:rFonts w:ascii="Arial" w:hAnsi="Arial" w:cs="Arial"/>
          <w:sz w:val="20"/>
          <w:szCs w:val="20"/>
        </w:rPr>
      </w:pPr>
      <w:r w:rsidRPr="00667CA9">
        <w:rPr>
          <w:rFonts w:ascii="Arial" w:hAnsi="Arial" w:cs="Arial"/>
          <w:sz w:val="20"/>
          <w:szCs w:val="20"/>
        </w:rPr>
        <w:t xml:space="preserve">En ese marco, las funciones específicas que los organismos de control desarrollan de manera permanente en la prevención del lavado de activos y la financiación del terrorismo se destacan </w:t>
      </w:r>
      <w:r>
        <w:rPr>
          <w:rFonts w:ascii="Arial" w:hAnsi="Arial" w:cs="Arial"/>
          <w:sz w:val="20"/>
          <w:szCs w:val="20"/>
        </w:rPr>
        <w:t>las siguientes</w:t>
      </w:r>
      <w:r w:rsidRPr="00667CA9">
        <w:rPr>
          <w:rFonts w:ascii="Arial" w:hAnsi="Arial" w:cs="Arial"/>
          <w:sz w:val="20"/>
          <w:szCs w:val="20"/>
        </w:rPr>
        <w:t>:</w:t>
      </w:r>
    </w:p>
    <w:p w14:paraId="35AC2A8E" w14:textId="77777777" w:rsidR="00B90167" w:rsidRPr="0007033F" w:rsidRDefault="00B90167" w:rsidP="00C14539">
      <w:pPr>
        <w:pStyle w:val="NormalWeb"/>
        <w:numPr>
          <w:ilvl w:val="0"/>
          <w:numId w:val="11"/>
        </w:numPr>
        <w:spacing w:line="276" w:lineRule="auto"/>
        <w:rPr>
          <w:rFonts w:ascii="Arial" w:hAnsi="Arial" w:cs="Arial"/>
          <w:sz w:val="20"/>
          <w:szCs w:val="20"/>
        </w:rPr>
      </w:pPr>
      <w:commentRangeStart w:id="20"/>
      <w:r w:rsidRPr="0007033F">
        <w:rPr>
          <w:rFonts w:ascii="Arial" w:hAnsi="Arial" w:cs="Arial"/>
          <w:sz w:val="20"/>
          <w:szCs w:val="20"/>
        </w:rPr>
        <w:t>Supervisar el cumplimiento de las normas relacionadas con el sistema SARLAFT.</w:t>
      </w:r>
    </w:p>
    <w:p w14:paraId="28E967D9" w14:textId="77777777" w:rsidR="00B90167" w:rsidRPr="0007033F" w:rsidRDefault="00B90167" w:rsidP="00C14539">
      <w:pPr>
        <w:pStyle w:val="NormalWeb"/>
        <w:numPr>
          <w:ilvl w:val="0"/>
          <w:numId w:val="11"/>
        </w:numPr>
        <w:spacing w:line="276" w:lineRule="auto"/>
        <w:rPr>
          <w:rFonts w:ascii="Arial" w:hAnsi="Arial" w:cs="Arial"/>
          <w:sz w:val="20"/>
          <w:szCs w:val="20"/>
        </w:rPr>
      </w:pPr>
      <w:r w:rsidRPr="0007033F">
        <w:rPr>
          <w:rFonts w:ascii="Arial" w:hAnsi="Arial" w:cs="Arial"/>
          <w:sz w:val="20"/>
          <w:szCs w:val="20"/>
        </w:rPr>
        <w:t>Analizar información financiera reportada por las entidades vigiladas.</w:t>
      </w:r>
    </w:p>
    <w:p w14:paraId="1D41B6A4" w14:textId="77777777" w:rsidR="00B90167" w:rsidRPr="0007033F" w:rsidRDefault="00B90167" w:rsidP="00C14539">
      <w:pPr>
        <w:pStyle w:val="NormalWeb"/>
        <w:numPr>
          <w:ilvl w:val="0"/>
          <w:numId w:val="11"/>
        </w:numPr>
        <w:spacing w:line="276" w:lineRule="auto"/>
        <w:rPr>
          <w:rFonts w:ascii="Arial" w:hAnsi="Arial" w:cs="Arial"/>
          <w:sz w:val="20"/>
          <w:szCs w:val="20"/>
        </w:rPr>
      </w:pPr>
      <w:r w:rsidRPr="0007033F">
        <w:rPr>
          <w:rFonts w:ascii="Arial" w:hAnsi="Arial" w:cs="Arial"/>
          <w:sz w:val="20"/>
          <w:szCs w:val="20"/>
        </w:rPr>
        <w:t>Investigar posibles operaciones vinculadas con el lavado de activos o la financiación del terrorismo.</w:t>
      </w:r>
    </w:p>
    <w:p w14:paraId="7D087E00" w14:textId="77777777" w:rsidR="00B90167" w:rsidRPr="0007033F" w:rsidRDefault="00B90167" w:rsidP="00C14539">
      <w:pPr>
        <w:pStyle w:val="NormalWeb"/>
        <w:numPr>
          <w:ilvl w:val="0"/>
          <w:numId w:val="11"/>
        </w:numPr>
        <w:spacing w:line="276" w:lineRule="auto"/>
        <w:rPr>
          <w:rFonts w:ascii="Arial" w:hAnsi="Arial" w:cs="Arial"/>
          <w:sz w:val="20"/>
          <w:szCs w:val="20"/>
        </w:rPr>
      </w:pPr>
      <w:r w:rsidRPr="0007033F">
        <w:rPr>
          <w:rFonts w:ascii="Arial" w:hAnsi="Arial" w:cs="Arial"/>
          <w:sz w:val="20"/>
          <w:szCs w:val="20"/>
        </w:rPr>
        <w:t>Coordinar acciones con otras entidades nacionales e internacionales.</w:t>
      </w:r>
    </w:p>
    <w:p w14:paraId="49D6D0B1" w14:textId="77777777" w:rsidR="00B90167" w:rsidRPr="0007033F" w:rsidRDefault="00B90167" w:rsidP="00C14539">
      <w:pPr>
        <w:pStyle w:val="NormalWeb"/>
        <w:numPr>
          <w:ilvl w:val="0"/>
          <w:numId w:val="11"/>
        </w:numPr>
        <w:spacing w:line="276" w:lineRule="auto"/>
        <w:rPr>
          <w:rFonts w:ascii="Arial" w:hAnsi="Arial" w:cs="Arial"/>
          <w:sz w:val="20"/>
          <w:szCs w:val="20"/>
        </w:rPr>
      </w:pPr>
      <w:r w:rsidRPr="0007033F">
        <w:rPr>
          <w:rFonts w:ascii="Arial" w:hAnsi="Arial" w:cs="Arial"/>
          <w:sz w:val="20"/>
          <w:szCs w:val="20"/>
        </w:rPr>
        <w:t>Aplicar sanciones cuando se identifiquen incumplimientos normativos.</w:t>
      </w:r>
    </w:p>
    <w:p w14:paraId="5110F888" w14:textId="77777777" w:rsidR="00B90167" w:rsidRPr="0007033F" w:rsidRDefault="00B90167" w:rsidP="00C14539">
      <w:pPr>
        <w:pStyle w:val="NormalWeb"/>
        <w:numPr>
          <w:ilvl w:val="0"/>
          <w:numId w:val="11"/>
        </w:numPr>
        <w:spacing w:line="276" w:lineRule="auto"/>
        <w:rPr>
          <w:rFonts w:ascii="Arial" w:hAnsi="Arial" w:cs="Arial"/>
          <w:sz w:val="20"/>
          <w:szCs w:val="20"/>
        </w:rPr>
      </w:pPr>
      <w:r w:rsidRPr="0007033F">
        <w:rPr>
          <w:rFonts w:ascii="Arial" w:hAnsi="Arial" w:cs="Arial"/>
          <w:sz w:val="20"/>
          <w:szCs w:val="20"/>
        </w:rPr>
        <w:t>Promover la implementación de mecanismos de control y prevención dentro de las organizaciones.</w:t>
      </w:r>
    </w:p>
    <w:p w14:paraId="3A389D8F" w14:textId="3297F322" w:rsidR="00B90167" w:rsidRDefault="00B90167" w:rsidP="00C14539">
      <w:pPr>
        <w:pStyle w:val="NormalWeb"/>
        <w:numPr>
          <w:ilvl w:val="0"/>
          <w:numId w:val="11"/>
        </w:numPr>
        <w:spacing w:line="276" w:lineRule="auto"/>
        <w:rPr>
          <w:rFonts w:ascii="Arial" w:hAnsi="Arial" w:cs="Arial"/>
          <w:sz w:val="20"/>
          <w:szCs w:val="20"/>
        </w:rPr>
      </w:pPr>
      <w:r w:rsidRPr="0007033F">
        <w:rPr>
          <w:rFonts w:ascii="Arial" w:hAnsi="Arial" w:cs="Arial"/>
          <w:sz w:val="20"/>
          <w:szCs w:val="20"/>
        </w:rPr>
        <w:t>Fortalecer la cooperación institucional en la lucha contra el crimen financiero.</w:t>
      </w:r>
      <w:commentRangeEnd w:id="20"/>
      <w:r w:rsidR="00667CA9">
        <w:rPr>
          <w:rStyle w:val="Refdecomentario"/>
          <w:rFonts w:ascii="Arial" w:hAnsi="Arial" w:cs="Arial"/>
          <w:sz w:val="20"/>
          <w:szCs w:val="20"/>
        </w:rPr>
        <w:commentReference w:id="20"/>
      </w:r>
    </w:p>
    <w:p w14:paraId="6E64FC65" w14:textId="5D9934E0" w:rsidR="00667CA9" w:rsidRDefault="00667CA9" w:rsidP="00667CA9">
      <w:pPr>
        <w:pStyle w:val="NormalWeb"/>
        <w:spacing w:line="276" w:lineRule="auto"/>
        <w:rPr>
          <w:rFonts w:ascii="Arial" w:hAnsi="Arial" w:cs="Arial"/>
          <w:sz w:val="20"/>
          <w:szCs w:val="20"/>
        </w:rPr>
      </w:pPr>
      <w:r w:rsidRPr="00667CA9">
        <w:rPr>
          <w:rFonts w:ascii="Arial" w:hAnsi="Arial" w:cs="Arial"/>
          <w:sz w:val="20"/>
          <w:szCs w:val="20"/>
        </w:rPr>
        <w:t>El conjunto de funciones descritas demuestra que los organismos de control actúan como pilares fundamentales del sistema institucional colombiano, cuya intervención oportuna y coordinada resulta determinante para prevenir, detectar y sancionar las conductas asociadas al lavado de activos y la financiación del terrorismo.</w:t>
      </w:r>
    </w:p>
    <w:p w14:paraId="5F5689B2" w14:textId="1B086A24" w:rsidR="00667CA9" w:rsidRPr="0007033F" w:rsidRDefault="00667CA9" w:rsidP="00667CA9">
      <w:pPr>
        <w:pStyle w:val="NormalWeb"/>
        <w:spacing w:line="276" w:lineRule="auto"/>
        <w:rPr>
          <w:rFonts w:ascii="Arial" w:hAnsi="Arial" w:cs="Arial"/>
          <w:sz w:val="20"/>
          <w:szCs w:val="20"/>
        </w:rPr>
      </w:pPr>
      <w:r w:rsidRPr="00667CA9">
        <w:rPr>
          <w:rFonts w:ascii="Arial" w:hAnsi="Arial" w:cs="Arial"/>
          <w:sz w:val="20"/>
          <w:szCs w:val="20"/>
        </w:rPr>
        <w:t>El incumplimiento de las obligaciones establecidas en el marco normativo del sistema LA/FT genera consecuencias de orden legal y económico para las entidades que no adoptan las medidas de prevención y control exigidas. El siguiente apartado describe los tipos de sanciones aplicables y las condiciones bajo las cuales estas se imponen.</w:t>
      </w:r>
    </w:p>
    <w:p w14:paraId="27369794" w14:textId="0A572783" w:rsidR="00B90167" w:rsidRPr="0007033F" w:rsidRDefault="00B90167" w:rsidP="0007033F">
      <w:pPr>
        <w:pStyle w:val="Ttulo3"/>
        <w:rPr>
          <w:b/>
          <w:color w:val="auto"/>
          <w:sz w:val="20"/>
          <w:szCs w:val="20"/>
        </w:rPr>
      </w:pPr>
      <w:r w:rsidRPr="00354713">
        <w:rPr>
          <w:b/>
          <w:color w:val="auto"/>
          <w:sz w:val="20"/>
          <w:szCs w:val="20"/>
        </w:rPr>
        <w:t>5. Sanciones por incumplimiento de las normas LA/FT</w:t>
      </w:r>
    </w:p>
    <w:p w14:paraId="4B3C95A3" w14:textId="77777777" w:rsidR="00B90167" w:rsidRPr="0007033F" w:rsidRDefault="00B90167"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El cumplimiento de las normas relacionadas con la prevención del lavado de activos y la financiación del terrorismo es una obligación fundamental para las organizaciones que participan en el sistema financiero y en otros sectores económicos. Cuando las entidades no implementan adecuadamente los mecanismos de control establecidos por la normativa vigente, pueden enfrentarse a diferentes tipos de sanciones impuestas por las autoridades de supervisión y control.</w:t>
      </w:r>
    </w:p>
    <w:p w14:paraId="6E45595E" w14:textId="77777777" w:rsidR="00B90167" w:rsidRPr="0007033F" w:rsidRDefault="00B90167" w:rsidP="001D5C9A">
      <w:pPr>
        <w:shd w:val="clear" w:color="auto" w:fill="FDE9D9" w:themeFill="accent6" w:themeFillTint="33"/>
        <w:spacing w:before="100" w:beforeAutospacing="1" w:after="100" w:afterAutospacing="1"/>
        <w:rPr>
          <w:rFonts w:eastAsia="Times New Roman"/>
          <w:sz w:val="20"/>
          <w:szCs w:val="20"/>
          <w:lang w:eastAsia="es-CO"/>
        </w:rPr>
      </w:pPr>
      <w:r w:rsidRPr="0007033F">
        <w:rPr>
          <w:rFonts w:eastAsia="Times New Roman"/>
          <w:sz w:val="20"/>
          <w:szCs w:val="20"/>
          <w:lang w:eastAsia="es-CO"/>
        </w:rPr>
        <w:t>En el marco del sistema SARLAFT, las sanciones buscan garantizar que las organizaciones adopten medidas efectivas para prevenir el uso indebido de sus servicios y productos financieros. Estas medidas tienen como propósito fortalecer los mecanismos de control dentro de las entidades y promover el cumplimiento de las disposiciones legales relacionadas con la prevención del lavado de activos y la financiación del terrorismo.</w:t>
      </w:r>
    </w:p>
    <w:p w14:paraId="75824C1A" w14:textId="77777777" w:rsidR="00B90167" w:rsidRPr="0007033F" w:rsidRDefault="00B90167"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las sanciones por incumplimiento de estas normas pueden generar consecuencias significativas tanto para las organizaciones como para las personas responsables de la gestión y supervisión de los sistemas de control. Estas sanciones pueden afectar la estabilidad financiera de las entidades, su reputación en el mercado y su capacidad para continuar desarrollando sus actividades dentro del sistema económico.</w:t>
      </w:r>
    </w:p>
    <w:p w14:paraId="22AE8373" w14:textId="77777777" w:rsidR="00B90167" w:rsidRDefault="00B90167"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A continuación, se presentan algunos de los principales tipos de sanciones que pueden aplicarse cuando las organizaciones incumplen las disposiciones relacionadas con la prevención del lavado de activos y la financiación del terrorismo.</w:t>
      </w:r>
    </w:p>
    <w:p w14:paraId="35B24683" w14:textId="77777777" w:rsidR="00071AC4" w:rsidRPr="0007033F" w:rsidRDefault="00071AC4" w:rsidP="0007033F">
      <w:pPr>
        <w:spacing w:before="100" w:beforeAutospacing="1" w:after="100" w:afterAutospacing="1"/>
        <w:rPr>
          <w:rFonts w:eastAsia="Times New Roman"/>
          <w:sz w:val="20"/>
          <w:szCs w:val="20"/>
          <w:lang w:eastAsia="es-CO"/>
        </w:rPr>
      </w:pPr>
    </w:p>
    <w:p w14:paraId="658ABC2A" w14:textId="2479DC17" w:rsidR="00B90167" w:rsidRPr="0007033F" w:rsidRDefault="00B90167" w:rsidP="0007033F">
      <w:pPr>
        <w:rPr>
          <w:sz w:val="20"/>
          <w:szCs w:val="20"/>
        </w:rPr>
      </w:pPr>
      <w:r w:rsidRPr="0007033F">
        <w:rPr>
          <w:b/>
          <w:sz w:val="20"/>
          <w:szCs w:val="20"/>
        </w:rPr>
        <w:lastRenderedPageBreak/>
        <w:t>Tabla 6.</w:t>
      </w:r>
      <w:r w:rsidRPr="0007033F">
        <w:rPr>
          <w:sz w:val="20"/>
          <w:szCs w:val="20"/>
        </w:rPr>
        <w:t xml:space="preserve"> Tipos de sanciones por incumplimiento de las normas LA/FT</w:t>
      </w:r>
    </w:p>
    <w:tbl>
      <w:tblPr>
        <w:tblStyle w:val="Tabladecuadrcula4"/>
        <w:tblW w:w="0" w:type="auto"/>
        <w:tblLook w:val="04A0" w:firstRow="1" w:lastRow="0" w:firstColumn="1" w:lastColumn="0" w:noHBand="0" w:noVBand="1"/>
      </w:tblPr>
      <w:tblGrid>
        <w:gridCol w:w="2245"/>
        <w:gridCol w:w="7717"/>
      </w:tblGrid>
      <w:tr w:rsidR="00B90167" w:rsidRPr="0007033F" w14:paraId="70A9C16C" w14:textId="77777777" w:rsidTr="005E70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2BE91" w14:textId="77777777" w:rsidR="00B90167" w:rsidRPr="0007033F" w:rsidRDefault="00B90167" w:rsidP="0007033F">
            <w:pPr>
              <w:jc w:val="center"/>
              <w:rPr>
                <w:rFonts w:eastAsia="Times New Roman"/>
                <w:b w:val="0"/>
                <w:bCs w:val="0"/>
                <w:sz w:val="20"/>
                <w:szCs w:val="20"/>
                <w:lang w:eastAsia="es-CO"/>
              </w:rPr>
            </w:pPr>
            <w:r w:rsidRPr="0007033F">
              <w:rPr>
                <w:rFonts w:eastAsia="Times New Roman"/>
                <w:sz w:val="20"/>
                <w:szCs w:val="20"/>
                <w:lang w:eastAsia="es-CO"/>
              </w:rPr>
              <w:t>Tipo de sanción</w:t>
            </w:r>
          </w:p>
        </w:tc>
        <w:tc>
          <w:tcPr>
            <w:tcW w:w="0" w:type="auto"/>
            <w:hideMark/>
          </w:tcPr>
          <w:p w14:paraId="3B957B58" w14:textId="77777777" w:rsidR="00B90167" w:rsidRPr="0007033F" w:rsidRDefault="00B90167" w:rsidP="0007033F">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Descripción</w:t>
            </w:r>
          </w:p>
        </w:tc>
      </w:tr>
      <w:tr w:rsidR="00B90167" w:rsidRPr="0007033F" w14:paraId="23C776D5" w14:textId="77777777" w:rsidTr="005E7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E4000" w14:textId="77777777" w:rsidR="00B90167" w:rsidRPr="0007033F" w:rsidRDefault="00B90167" w:rsidP="0007033F">
            <w:pPr>
              <w:rPr>
                <w:rFonts w:eastAsia="Times New Roman"/>
                <w:sz w:val="20"/>
                <w:szCs w:val="20"/>
                <w:lang w:eastAsia="es-CO"/>
              </w:rPr>
            </w:pPr>
            <w:r w:rsidRPr="0007033F">
              <w:rPr>
                <w:rFonts w:eastAsia="Times New Roman"/>
                <w:sz w:val="20"/>
                <w:szCs w:val="20"/>
                <w:lang w:eastAsia="es-CO"/>
              </w:rPr>
              <w:t>Sanciones administrativas</w:t>
            </w:r>
          </w:p>
        </w:tc>
        <w:tc>
          <w:tcPr>
            <w:tcW w:w="0" w:type="auto"/>
            <w:hideMark/>
          </w:tcPr>
          <w:p w14:paraId="0F9A0BE8" w14:textId="77777777" w:rsidR="00B90167" w:rsidRPr="0007033F" w:rsidRDefault="00B90167"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Medidas impuestas por las autoridades de supervisión cuando se incumplen disposiciones regulatorias relacionadas con la prevención del LA/FT.</w:t>
            </w:r>
          </w:p>
        </w:tc>
      </w:tr>
      <w:tr w:rsidR="00B90167" w:rsidRPr="0007033F" w14:paraId="5B0C6D97" w14:textId="77777777" w:rsidTr="005E7065">
        <w:tc>
          <w:tcPr>
            <w:cnfStyle w:val="001000000000" w:firstRow="0" w:lastRow="0" w:firstColumn="1" w:lastColumn="0" w:oddVBand="0" w:evenVBand="0" w:oddHBand="0" w:evenHBand="0" w:firstRowFirstColumn="0" w:firstRowLastColumn="0" w:lastRowFirstColumn="0" w:lastRowLastColumn="0"/>
            <w:tcW w:w="0" w:type="auto"/>
            <w:hideMark/>
          </w:tcPr>
          <w:p w14:paraId="3626A205" w14:textId="77777777" w:rsidR="00B90167" w:rsidRPr="0007033F" w:rsidRDefault="00B90167" w:rsidP="0007033F">
            <w:pPr>
              <w:rPr>
                <w:rFonts w:eastAsia="Times New Roman"/>
                <w:sz w:val="20"/>
                <w:szCs w:val="20"/>
                <w:lang w:eastAsia="es-CO"/>
              </w:rPr>
            </w:pPr>
            <w:r w:rsidRPr="0007033F">
              <w:rPr>
                <w:rFonts w:eastAsia="Times New Roman"/>
                <w:sz w:val="20"/>
                <w:szCs w:val="20"/>
                <w:lang w:eastAsia="es-CO"/>
              </w:rPr>
              <w:t>Sanciones penales</w:t>
            </w:r>
          </w:p>
        </w:tc>
        <w:tc>
          <w:tcPr>
            <w:tcW w:w="0" w:type="auto"/>
            <w:hideMark/>
          </w:tcPr>
          <w:p w14:paraId="03226F17" w14:textId="77777777" w:rsidR="00B90167" w:rsidRPr="0007033F" w:rsidRDefault="00B90167"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Consecuencias legales que pueden implicar procesos judiciales, penas de prisión o sanciones establecidas por el código penal.</w:t>
            </w:r>
          </w:p>
        </w:tc>
      </w:tr>
      <w:tr w:rsidR="00B90167" w:rsidRPr="0007033F" w14:paraId="041C79A5" w14:textId="77777777" w:rsidTr="005E7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52875" w14:textId="77777777" w:rsidR="00B90167" w:rsidRPr="0007033F" w:rsidRDefault="00B90167" w:rsidP="0007033F">
            <w:pPr>
              <w:rPr>
                <w:rFonts w:eastAsia="Times New Roman"/>
                <w:sz w:val="20"/>
                <w:szCs w:val="20"/>
                <w:lang w:eastAsia="es-CO"/>
              </w:rPr>
            </w:pPr>
            <w:r w:rsidRPr="0007033F">
              <w:rPr>
                <w:rFonts w:eastAsia="Times New Roman"/>
                <w:sz w:val="20"/>
                <w:szCs w:val="20"/>
                <w:lang w:eastAsia="es-CO"/>
              </w:rPr>
              <w:t>Sanciones financieras</w:t>
            </w:r>
          </w:p>
        </w:tc>
        <w:tc>
          <w:tcPr>
            <w:tcW w:w="0" w:type="auto"/>
            <w:hideMark/>
          </w:tcPr>
          <w:p w14:paraId="3A7DB884" w14:textId="77777777" w:rsidR="00B90167" w:rsidRPr="0007033F" w:rsidRDefault="00B90167"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Multas económicas o sanciones monetarias aplicadas a las organizaciones por incumplimiento de las normas.</w:t>
            </w:r>
          </w:p>
        </w:tc>
      </w:tr>
      <w:tr w:rsidR="00B90167" w:rsidRPr="0007033F" w14:paraId="099A942A" w14:textId="77777777" w:rsidTr="005E7065">
        <w:tc>
          <w:tcPr>
            <w:cnfStyle w:val="001000000000" w:firstRow="0" w:lastRow="0" w:firstColumn="1" w:lastColumn="0" w:oddVBand="0" w:evenVBand="0" w:oddHBand="0" w:evenHBand="0" w:firstRowFirstColumn="0" w:firstRowLastColumn="0" w:lastRowFirstColumn="0" w:lastRowLastColumn="0"/>
            <w:tcW w:w="0" w:type="auto"/>
            <w:hideMark/>
          </w:tcPr>
          <w:p w14:paraId="537372AD" w14:textId="77777777" w:rsidR="00B90167" w:rsidRPr="0007033F" w:rsidRDefault="00B90167" w:rsidP="0007033F">
            <w:pPr>
              <w:rPr>
                <w:rFonts w:eastAsia="Times New Roman"/>
                <w:sz w:val="20"/>
                <w:szCs w:val="20"/>
                <w:lang w:eastAsia="es-CO"/>
              </w:rPr>
            </w:pPr>
            <w:r w:rsidRPr="0007033F">
              <w:rPr>
                <w:rFonts w:eastAsia="Times New Roman"/>
                <w:sz w:val="20"/>
                <w:szCs w:val="20"/>
                <w:lang w:eastAsia="es-CO"/>
              </w:rPr>
              <w:t>Medidas correctivas</w:t>
            </w:r>
          </w:p>
        </w:tc>
        <w:tc>
          <w:tcPr>
            <w:tcW w:w="0" w:type="auto"/>
            <w:hideMark/>
          </w:tcPr>
          <w:p w14:paraId="0F03387C" w14:textId="77777777" w:rsidR="00B90167" w:rsidRPr="0007033F" w:rsidRDefault="00B90167"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Acciones que las entidades deben implementar para corregir fallas en sus sistemas de control y prevención.</w:t>
            </w:r>
          </w:p>
        </w:tc>
      </w:tr>
      <w:tr w:rsidR="00B90167" w:rsidRPr="0007033F" w14:paraId="49DD5CC3" w14:textId="77777777" w:rsidTr="005E7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2BBB2" w14:textId="77777777" w:rsidR="00B90167" w:rsidRPr="0007033F" w:rsidRDefault="00B90167" w:rsidP="0007033F">
            <w:pPr>
              <w:rPr>
                <w:rFonts w:eastAsia="Times New Roman"/>
                <w:sz w:val="20"/>
                <w:szCs w:val="20"/>
                <w:lang w:eastAsia="es-CO"/>
              </w:rPr>
            </w:pPr>
            <w:r w:rsidRPr="0007033F">
              <w:rPr>
                <w:rFonts w:eastAsia="Times New Roman"/>
                <w:sz w:val="20"/>
                <w:szCs w:val="20"/>
                <w:lang w:eastAsia="es-CO"/>
              </w:rPr>
              <w:t>Restricciones operativas</w:t>
            </w:r>
          </w:p>
        </w:tc>
        <w:tc>
          <w:tcPr>
            <w:tcW w:w="0" w:type="auto"/>
            <w:hideMark/>
          </w:tcPr>
          <w:p w14:paraId="57574420" w14:textId="77777777" w:rsidR="00B90167" w:rsidRPr="0007033F" w:rsidRDefault="00B90167"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Limitaciones impuestas a las entidades para el desarrollo de determinadas actividades financieras o comerciales.</w:t>
            </w:r>
          </w:p>
        </w:tc>
      </w:tr>
    </w:tbl>
    <w:p w14:paraId="6DB25237" w14:textId="6D09034F" w:rsidR="0050514F" w:rsidRPr="0007033F" w:rsidRDefault="0050514F" w:rsidP="0007033F">
      <w:pPr>
        <w:pStyle w:val="Normal0"/>
        <w:rPr>
          <w:b/>
          <w:sz w:val="20"/>
          <w:szCs w:val="20"/>
        </w:rPr>
      </w:pPr>
    </w:p>
    <w:p w14:paraId="66CE754A" w14:textId="0937C5A4" w:rsidR="004D2B5B" w:rsidRPr="00DD0925" w:rsidRDefault="00DD0925" w:rsidP="0007033F">
      <w:pPr>
        <w:pStyle w:val="Normal0"/>
        <w:rPr>
          <w:bCs/>
          <w:sz w:val="20"/>
          <w:szCs w:val="20"/>
        </w:rPr>
      </w:pPr>
      <w:r w:rsidRPr="00DD0925">
        <w:rPr>
          <w:bCs/>
          <w:sz w:val="20"/>
          <w:szCs w:val="20"/>
        </w:rPr>
        <w:t xml:space="preserve">La diversidad de sanciones presentadas en la tabla anterior refleja la importancia que el sistema normativo colombiano otorga al cumplimiento de las disposiciones relacionadas con la prevención del LA/FT. Cada tipo de sanción responde a la naturaleza y gravedad del incumplimiento detectado, y su aplicación busca no solo corregir las fallas identificadas, sino también </w:t>
      </w:r>
      <w:r w:rsidR="00CA6D41">
        <w:rPr>
          <w:bCs/>
          <w:sz w:val="20"/>
          <w:szCs w:val="20"/>
        </w:rPr>
        <w:t>prevenir</w:t>
      </w:r>
      <w:r w:rsidRPr="00DD0925">
        <w:rPr>
          <w:bCs/>
          <w:sz w:val="20"/>
          <w:szCs w:val="20"/>
        </w:rPr>
        <w:t xml:space="preserve"> conductas que pongan en riesgo la integridad del sistema financiero.</w:t>
      </w:r>
    </w:p>
    <w:p w14:paraId="75AF95EB" w14:textId="77777777" w:rsidR="004D2B5B" w:rsidRDefault="004D2B5B" w:rsidP="0007033F">
      <w:pPr>
        <w:pStyle w:val="Normal0"/>
        <w:rPr>
          <w:b/>
          <w:sz w:val="20"/>
          <w:szCs w:val="20"/>
        </w:rPr>
      </w:pPr>
    </w:p>
    <w:p w14:paraId="0DD0ED4E" w14:textId="197697F0" w:rsidR="0050514F" w:rsidRPr="0007033F" w:rsidRDefault="00B90167" w:rsidP="0007033F">
      <w:pPr>
        <w:pStyle w:val="Normal0"/>
        <w:rPr>
          <w:b/>
          <w:sz w:val="20"/>
          <w:szCs w:val="20"/>
        </w:rPr>
      </w:pPr>
      <w:r w:rsidRPr="0007033F">
        <w:rPr>
          <w:b/>
          <w:sz w:val="20"/>
          <w:szCs w:val="20"/>
        </w:rPr>
        <w:t>5.1 Sanciones administrativas</w:t>
      </w:r>
    </w:p>
    <w:p w14:paraId="63814E2E" w14:textId="77777777" w:rsidR="00B90167" w:rsidRPr="0007033F" w:rsidRDefault="00B90167" w:rsidP="0007033F">
      <w:pPr>
        <w:pStyle w:val="NormalWeb"/>
        <w:spacing w:line="276" w:lineRule="auto"/>
        <w:rPr>
          <w:rFonts w:ascii="Arial" w:hAnsi="Arial" w:cs="Arial"/>
          <w:sz w:val="20"/>
          <w:szCs w:val="20"/>
          <w:lang w:eastAsia="es-CO"/>
        </w:rPr>
      </w:pPr>
      <w:r w:rsidRPr="0007033F">
        <w:rPr>
          <w:rFonts w:ascii="Arial" w:hAnsi="Arial" w:cs="Arial"/>
          <w:sz w:val="20"/>
          <w:szCs w:val="20"/>
        </w:rPr>
        <w:t>Las sanciones administrativas corresponden a las medidas que pueden imponer las autoridades de supervisión y control cuando una organización incumple las normas relacionadas con la prevención del lavado de activos y la financiación del terrorismo. Estas sanciones tienen como finalidad garantizar el cumplimiento de las disposiciones regulatorias y promover la adecuada implementación de los sistemas de prevención dentro de las entidades vigiladas.</w:t>
      </w:r>
    </w:p>
    <w:p w14:paraId="72A11DFD" w14:textId="77777777" w:rsidR="00B90167" w:rsidRPr="0007033F" w:rsidRDefault="00B90167" w:rsidP="00071AC4">
      <w:pPr>
        <w:pStyle w:val="NormalWeb"/>
        <w:shd w:val="clear" w:color="auto" w:fill="D6E3BC" w:themeFill="accent3" w:themeFillTint="66"/>
        <w:spacing w:line="276" w:lineRule="auto"/>
        <w:rPr>
          <w:rFonts w:ascii="Arial" w:hAnsi="Arial" w:cs="Arial"/>
          <w:sz w:val="20"/>
          <w:szCs w:val="20"/>
        </w:rPr>
      </w:pPr>
      <w:r w:rsidRPr="0007033F">
        <w:rPr>
          <w:rFonts w:ascii="Arial" w:hAnsi="Arial" w:cs="Arial"/>
          <w:sz w:val="20"/>
          <w:szCs w:val="20"/>
        </w:rPr>
        <w:t>En el contexto del sistema SARLAFT, las sanciones administrativas son aplicadas principalmente por entidades como la Superintendencia Financiera de Colombia o la Superintendencia de Sociedades, dependiendo del sector económico al que pertenezca la organización. Estas instituciones realizan procesos de inspección, vigilancia y control para verificar que las entidades cumplan con las normas establecidas para prevenir el lavado de activos y la financiación del terrorismo.</w:t>
      </w:r>
    </w:p>
    <w:p w14:paraId="2A08669A" w14:textId="77777777" w:rsidR="00B90167" w:rsidRPr="0007033F" w:rsidRDefault="00B90167" w:rsidP="0007033F">
      <w:pPr>
        <w:pStyle w:val="NormalWeb"/>
        <w:spacing w:line="276" w:lineRule="auto"/>
        <w:rPr>
          <w:rFonts w:ascii="Arial" w:hAnsi="Arial" w:cs="Arial"/>
          <w:sz w:val="20"/>
          <w:szCs w:val="20"/>
        </w:rPr>
      </w:pPr>
      <w:r w:rsidRPr="0007033F">
        <w:rPr>
          <w:rFonts w:ascii="Arial" w:hAnsi="Arial" w:cs="Arial"/>
          <w:sz w:val="20"/>
          <w:szCs w:val="20"/>
        </w:rPr>
        <w:t>Cuando una organización presenta fallas en la implementación de sus mecanismos de control o incumple las obligaciones de reporte y monitoreo establecidas por la normativa, las autoridades pueden iniciar procesos administrativos que conduzcan a la imposición de sanciones. Estas medidas buscan corregir las deficiencias detectadas y fortalecer los sistemas de prevención dentro de las organizaciones.</w:t>
      </w:r>
    </w:p>
    <w:p w14:paraId="1F54E6CF" w14:textId="77777777" w:rsidR="00B90167" w:rsidRDefault="00B90167" w:rsidP="0007033F">
      <w:pPr>
        <w:pStyle w:val="NormalWeb"/>
        <w:spacing w:line="276" w:lineRule="auto"/>
        <w:rPr>
          <w:rFonts w:ascii="Arial" w:hAnsi="Arial" w:cs="Arial"/>
          <w:sz w:val="20"/>
          <w:szCs w:val="20"/>
        </w:rPr>
      </w:pPr>
      <w:r w:rsidRPr="0007033F">
        <w:rPr>
          <w:rFonts w:ascii="Arial" w:hAnsi="Arial" w:cs="Arial"/>
          <w:sz w:val="20"/>
          <w:szCs w:val="20"/>
        </w:rPr>
        <w:t>Asimismo, las sanciones administrativas cumplen una función preventiva dentro del sistema financiero y empresarial, ya que incentivan a las organizaciones a fortalecer sus controles internos y a cumplir de manera rigurosa con las disposiciones legales. A través de estas medidas, las autoridades promueven una mayor transparencia en las operaciones financieras y contribuyen a reducir los riesgos asociados al lavado de activos y la financiación del terrorismo.</w:t>
      </w:r>
    </w:p>
    <w:p w14:paraId="5CB604CE" w14:textId="14DC7FF4" w:rsidR="00071AC4" w:rsidRDefault="00071AC4" w:rsidP="0007033F">
      <w:pPr>
        <w:pStyle w:val="NormalWeb"/>
        <w:spacing w:line="276" w:lineRule="auto"/>
        <w:rPr>
          <w:rFonts w:ascii="Arial" w:hAnsi="Arial" w:cs="Arial"/>
          <w:sz w:val="20"/>
          <w:szCs w:val="20"/>
        </w:rPr>
      </w:pPr>
      <w:r w:rsidRPr="00071AC4">
        <w:rPr>
          <w:rFonts w:ascii="Arial" w:hAnsi="Arial" w:cs="Arial"/>
          <w:sz w:val="20"/>
          <w:szCs w:val="20"/>
        </w:rPr>
        <w:t>Entre las principales sanciones administrativas que las autoridades competentes pueden aplicar a las entidades que incumplen las disposiciones del sistema LA/FT, se encuentran las siguientes:</w:t>
      </w:r>
    </w:p>
    <w:p w14:paraId="1AEAFDF0" w14:textId="77777777" w:rsidR="00071AC4" w:rsidRDefault="00071AC4" w:rsidP="0007033F">
      <w:pPr>
        <w:pStyle w:val="NormalWeb"/>
        <w:spacing w:line="276" w:lineRule="auto"/>
        <w:rPr>
          <w:rFonts w:ascii="Arial" w:hAnsi="Arial" w:cs="Arial"/>
          <w:sz w:val="20"/>
          <w:szCs w:val="20"/>
        </w:rPr>
      </w:pPr>
    </w:p>
    <w:p w14:paraId="65F172B2" w14:textId="47AA84A2" w:rsidR="00071AC4" w:rsidRPr="00071AC4" w:rsidRDefault="00071AC4" w:rsidP="00071AC4">
      <w:pPr>
        <w:pStyle w:val="NormalWeb"/>
        <w:numPr>
          <w:ilvl w:val="0"/>
          <w:numId w:val="36"/>
        </w:numPr>
        <w:spacing w:line="276" w:lineRule="auto"/>
        <w:rPr>
          <w:rFonts w:ascii="Arial" w:hAnsi="Arial" w:cs="Arial"/>
          <w:sz w:val="20"/>
          <w:szCs w:val="20"/>
        </w:rPr>
      </w:pPr>
      <w:commentRangeStart w:id="21"/>
      <w:r w:rsidRPr="00071AC4">
        <w:rPr>
          <w:rFonts w:ascii="Arial" w:hAnsi="Arial" w:cs="Arial"/>
          <w:b/>
          <w:bCs/>
          <w:sz w:val="20"/>
          <w:szCs w:val="20"/>
        </w:rPr>
        <w:lastRenderedPageBreak/>
        <w:t>Multas económicas:</w:t>
      </w:r>
      <w:r w:rsidRPr="00071AC4">
        <w:rPr>
          <w:rFonts w:ascii="Arial" w:hAnsi="Arial" w:cs="Arial"/>
          <w:sz w:val="20"/>
          <w:szCs w:val="20"/>
        </w:rPr>
        <w:t xml:space="preserve"> sanción de carácter pecuniario impuesta a las entidades que incumplen la normativa vigente relacionada con la prevención del lavado de activos y la financiación del terrorismo. </w:t>
      </w:r>
    </w:p>
    <w:p w14:paraId="7ACA0674" w14:textId="7552DF6D" w:rsidR="00071AC4" w:rsidRPr="00071AC4" w:rsidRDefault="00071AC4" w:rsidP="00071AC4">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Requerimientos correctivos:</w:t>
      </w:r>
      <w:r w:rsidRPr="00071AC4">
        <w:rPr>
          <w:rFonts w:ascii="Arial" w:hAnsi="Arial" w:cs="Arial"/>
          <w:sz w:val="20"/>
          <w:szCs w:val="20"/>
        </w:rPr>
        <w:t xml:space="preserve"> exigencia formal mediante la cual la autoridad competente ordena a la entidad subsanar las fallas identificadas en sus sistemas de control interno dentro de un plazo determinado. </w:t>
      </w:r>
    </w:p>
    <w:p w14:paraId="336690A5" w14:textId="3CD5F95D" w:rsidR="00071AC4" w:rsidRPr="00071AC4" w:rsidRDefault="00071AC4" w:rsidP="00071AC4">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Amonestaciones:</w:t>
      </w:r>
      <w:r w:rsidRPr="00071AC4">
        <w:rPr>
          <w:rFonts w:ascii="Arial" w:hAnsi="Arial" w:cs="Arial"/>
          <w:sz w:val="20"/>
          <w:szCs w:val="20"/>
        </w:rPr>
        <w:t xml:space="preserve"> llamado de atención oficial emitido por las autoridades de supervisión cuando se detectan irregularidades en la implementación de los mecanismos de prevención establecidos. </w:t>
      </w:r>
    </w:p>
    <w:p w14:paraId="00C7D134" w14:textId="5936A567" w:rsidR="00071AC4" w:rsidRPr="00071AC4" w:rsidRDefault="00071AC4" w:rsidP="00071AC4">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Medidas correctivas institucionales:</w:t>
      </w:r>
      <w:r w:rsidRPr="00071AC4">
        <w:rPr>
          <w:rFonts w:ascii="Arial" w:hAnsi="Arial" w:cs="Arial"/>
          <w:sz w:val="20"/>
          <w:szCs w:val="20"/>
        </w:rPr>
        <w:t xml:space="preserve"> orden de implementación de ajustes estructurales dentro de la organización, orientados a garantizar el cumplimiento efectivo de la normativa del SARLAFT. </w:t>
      </w:r>
    </w:p>
    <w:p w14:paraId="0CB16168" w14:textId="2F5C78F6" w:rsidR="00071AC4" w:rsidRPr="00071AC4" w:rsidRDefault="00071AC4" w:rsidP="00071AC4">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Suspensión de actividades:</w:t>
      </w:r>
      <w:r w:rsidRPr="00071AC4">
        <w:rPr>
          <w:rFonts w:ascii="Arial" w:hAnsi="Arial" w:cs="Arial"/>
          <w:sz w:val="20"/>
          <w:szCs w:val="20"/>
        </w:rPr>
        <w:t xml:space="preserve"> restricción temporal de determinadas operaciones financieras o comerciales de la entidad, aplicada cuando los incumplimientos representan un riesgo significativo para el sistema financiero. </w:t>
      </w:r>
    </w:p>
    <w:p w14:paraId="0BF27806" w14:textId="3E62E6AF" w:rsidR="00071AC4" w:rsidRPr="00071AC4" w:rsidRDefault="00071AC4" w:rsidP="00071AC4">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Incremento de la supervisión:</w:t>
      </w:r>
      <w:r w:rsidRPr="00071AC4">
        <w:rPr>
          <w:rFonts w:ascii="Arial" w:hAnsi="Arial" w:cs="Arial"/>
          <w:sz w:val="20"/>
          <w:szCs w:val="20"/>
        </w:rPr>
        <w:t xml:space="preserve"> aumento en la frecuencia e intensidad de los procesos de inspección y vigilancia ejercidos por las autoridades reguladoras sobre la entidad infractora. </w:t>
      </w:r>
    </w:p>
    <w:p w14:paraId="1A02F3C8" w14:textId="38642710" w:rsidR="00071AC4" w:rsidRPr="00071AC4" w:rsidRDefault="00071AC4" w:rsidP="00071AC4">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Actualización del sistema SARLAFT:</w:t>
      </w:r>
      <w:r w:rsidRPr="00071AC4">
        <w:rPr>
          <w:rFonts w:ascii="Arial" w:hAnsi="Arial" w:cs="Arial"/>
          <w:sz w:val="20"/>
          <w:szCs w:val="20"/>
        </w:rPr>
        <w:t xml:space="preserve"> exigencia de revisión, ajuste y fortalecimiento de los mecanismos de prevención y control implementados por la organización, con el fin de adecuarlos a los estándares normativos vigentes.</w:t>
      </w:r>
      <w:commentRangeEnd w:id="21"/>
      <w:r w:rsidR="00063735" w:rsidRPr="00071AC4">
        <w:rPr>
          <w:rStyle w:val="Refdecomentario"/>
          <w:rFonts w:ascii="Arial" w:hAnsi="Arial" w:cs="Arial"/>
          <w:sz w:val="20"/>
          <w:szCs w:val="20"/>
        </w:rPr>
        <w:commentReference w:id="21"/>
      </w:r>
    </w:p>
    <w:p w14:paraId="38DD2DFA" w14:textId="1D1290A9" w:rsidR="00071AC4" w:rsidRDefault="00071AC4" w:rsidP="0007033F">
      <w:pPr>
        <w:pStyle w:val="NormalWeb"/>
        <w:spacing w:line="276" w:lineRule="auto"/>
        <w:rPr>
          <w:rFonts w:ascii="Arial" w:hAnsi="Arial" w:cs="Arial"/>
          <w:sz w:val="20"/>
          <w:szCs w:val="20"/>
        </w:rPr>
      </w:pPr>
      <w:r w:rsidRPr="00071AC4">
        <w:rPr>
          <w:rFonts w:ascii="Arial" w:hAnsi="Arial" w:cs="Arial"/>
          <w:sz w:val="20"/>
          <w:szCs w:val="20"/>
        </w:rPr>
        <w:t>Las sanciones administrativas descritas no tienen carácter exclusivamente punitivo: su propósito fundamental es promover la cultura del cumplimiento normativo dentro de las organizaciones y fortalecer los sistemas de prevención que protegen la integridad del sistema financiero colombiano.</w:t>
      </w:r>
    </w:p>
    <w:p w14:paraId="605B3567" w14:textId="0814EA0F" w:rsidR="00071AC4" w:rsidRPr="0007033F" w:rsidRDefault="00071AC4" w:rsidP="00C34A32">
      <w:pPr>
        <w:pStyle w:val="NormalWeb"/>
        <w:shd w:val="clear" w:color="auto" w:fill="E5DFEC" w:themeFill="accent4" w:themeFillTint="33"/>
        <w:spacing w:line="276" w:lineRule="auto"/>
        <w:rPr>
          <w:rFonts w:ascii="Arial" w:hAnsi="Arial" w:cs="Arial"/>
          <w:sz w:val="20"/>
          <w:szCs w:val="20"/>
        </w:rPr>
      </w:pPr>
      <w:r w:rsidRPr="00071AC4">
        <w:rPr>
          <w:rFonts w:ascii="Arial" w:hAnsi="Arial" w:cs="Arial"/>
          <w:sz w:val="20"/>
          <w:szCs w:val="20"/>
        </w:rPr>
        <w:t>Cuando las conductas relacionadas con el lavado de activos y la financiación del terrorismo superan el ámbito administrativo y constituyen delitos tipificados en el ordenamiento jurídico colombiano, las consecuencias para las personas naturales o jurídicas involucradas trascienden las multas y restricciones operativas. El siguiente apartado describe las sanciones de orden penal aplicables en estos casos.</w:t>
      </w:r>
    </w:p>
    <w:p w14:paraId="262CAB06" w14:textId="5CCA9392" w:rsidR="00B90167" w:rsidRPr="0007033F" w:rsidRDefault="00B90167" w:rsidP="0007033F">
      <w:pPr>
        <w:pStyle w:val="Normal0"/>
        <w:rPr>
          <w:b/>
          <w:sz w:val="20"/>
          <w:szCs w:val="20"/>
        </w:rPr>
      </w:pPr>
      <w:r w:rsidRPr="0007033F">
        <w:rPr>
          <w:b/>
          <w:sz w:val="20"/>
          <w:szCs w:val="20"/>
        </w:rPr>
        <w:t>5</w:t>
      </w:r>
      <w:r w:rsidRPr="00E76A91">
        <w:rPr>
          <w:b/>
          <w:sz w:val="20"/>
          <w:szCs w:val="20"/>
        </w:rPr>
        <w:t>.2 Sanciones penales</w:t>
      </w:r>
    </w:p>
    <w:p w14:paraId="4325ACEE" w14:textId="77777777" w:rsidR="00B90167" w:rsidRPr="0007033F" w:rsidRDefault="00B90167" w:rsidP="0007033F">
      <w:pPr>
        <w:pStyle w:val="NormalWeb"/>
        <w:spacing w:line="276" w:lineRule="auto"/>
        <w:rPr>
          <w:rFonts w:ascii="Arial" w:hAnsi="Arial" w:cs="Arial"/>
          <w:sz w:val="20"/>
          <w:szCs w:val="20"/>
          <w:lang w:eastAsia="es-CO"/>
        </w:rPr>
      </w:pPr>
      <w:r w:rsidRPr="0007033F">
        <w:rPr>
          <w:rFonts w:ascii="Arial" w:hAnsi="Arial" w:cs="Arial"/>
          <w:sz w:val="20"/>
          <w:szCs w:val="20"/>
        </w:rPr>
        <w:t>Las sanciones penales corresponden a las consecuencias jurídicas que se aplican cuando una persona natural o jurídica participa de manera directa o indirecta en actividades relacionadas con el lavado de activos o la financiación del terrorismo. Estas sanciones se encuentran establecidas en el Código Penal colombiano y tienen como finalidad castigar las conductas ilícitas que afectan la estabilidad del sistema financiero, la economía y la seguridad del Estado.</w:t>
      </w:r>
    </w:p>
    <w:p w14:paraId="1768064C" w14:textId="77777777" w:rsidR="00B90167" w:rsidRPr="0007033F" w:rsidRDefault="00B90167" w:rsidP="0007033F">
      <w:pPr>
        <w:pStyle w:val="NormalWeb"/>
        <w:spacing w:line="276" w:lineRule="auto"/>
        <w:rPr>
          <w:rFonts w:ascii="Arial" w:hAnsi="Arial" w:cs="Arial"/>
          <w:sz w:val="20"/>
          <w:szCs w:val="20"/>
        </w:rPr>
      </w:pPr>
      <w:r w:rsidRPr="0007033F">
        <w:rPr>
          <w:rFonts w:ascii="Arial" w:hAnsi="Arial" w:cs="Arial"/>
          <w:sz w:val="20"/>
          <w:szCs w:val="20"/>
        </w:rPr>
        <w:t>En el contexto de la lucha contra el lavado de activos y la financiación del terrorismo, las sanciones penales se aplican cuando las autoridades judiciales, especialmente la Fiscalía General de la Nación, determinan que existen pruebas suficientes que demuestran la participación en este tipo de delitos. Estas sanciones buscan no solo castigar a los responsables, sino también prevenir la realización de actividades ilícitas que puedan afectar el funcionamiento del sistema económico.</w:t>
      </w:r>
    </w:p>
    <w:p w14:paraId="77F6E531" w14:textId="77777777" w:rsidR="00E76A91" w:rsidRDefault="00B90167" w:rsidP="0007033F">
      <w:pPr>
        <w:pStyle w:val="NormalWeb"/>
        <w:spacing w:line="276" w:lineRule="auto"/>
        <w:rPr>
          <w:rFonts w:ascii="Arial" w:hAnsi="Arial" w:cs="Arial"/>
          <w:sz w:val="20"/>
          <w:szCs w:val="20"/>
        </w:rPr>
      </w:pPr>
      <w:r w:rsidRPr="0007033F">
        <w:rPr>
          <w:rFonts w:ascii="Arial" w:hAnsi="Arial" w:cs="Arial"/>
          <w:sz w:val="20"/>
          <w:szCs w:val="20"/>
        </w:rPr>
        <w:t>Las personas que participan en actividades relacionadas con el lavado de activos o la financiación del terrorismo pueden enfrentar diferentes tipos de sanciones penales que incluyen</w:t>
      </w:r>
      <w:r w:rsidR="00E76A91">
        <w:rPr>
          <w:rFonts w:ascii="Arial" w:hAnsi="Arial" w:cs="Arial"/>
          <w:sz w:val="20"/>
          <w:szCs w:val="20"/>
        </w:rPr>
        <w:t>:</w:t>
      </w:r>
    </w:p>
    <w:p w14:paraId="7FF6DB14" w14:textId="77777777" w:rsidR="00E76A91" w:rsidRDefault="00E76A91" w:rsidP="00531FF5">
      <w:pPr>
        <w:pStyle w:val="NormalWeb"/>
        <w:spacing w:line="276" w:lineRule="auto"/>
        <w:jc w:val="center"/>
        <w:rPr>
          <w:rFonts w:ascii="Arial" w:hAnsi="Arial" w:cs="Arial"/>
          <w:sz w:val="20"/>
          <w:szCs w:val="20"/>
        </w:rPr>
      </w:pPr>
      <w:r>
        <w:rPr>
          <w:rFonts w:ascii="Arial" w:hAnsi="Arial" w:cs="Arial"/>
          <w:noProof/>
          <w:sz w:val="20"/>
          <w:szCs w:val="20"/>
        </w:rPr>
        <w:lastRenderedPageBreak/>
        <w:drawing>
          <wp:inline distT="0" distB="0" distL="0" distR="0" wp14:anchorId="68F6D42A" wp14:editId="6C19E705">
            <wp:extent cx="3838471" cy="2019718"/>
            <wp:effectExtent l="0" t="0" r="0" b="19050"/>
            <wp:docPr id="122431404"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CC6514D" w14:textId="4CC36B44" w:rsidR="00B90167" w:rsidRPr="0007033F" w:rsidRDefault="00B90167" w:rsidP="0007033F">
      <w:pPr>
        <w:pStyle w:val="NormalWeb"/>
        <w:spacing w:line="276" w:lineRule="auto"/>
        <w:rPr>
          <w:rFonts w:ascii="Arial" w:hAnsi="Arial" w:cs="Arial"/>
          <w:sz w:val="20"/>
          <w:szCs w:val="20"/>
        </w:rPr>
      </w:pPr>
      <w:r w:rsidRPr="0007033F">
        <w:rPr>
          <w:rFonts w:ascii="Arial" w:hAnsi="Arial" w:cs="Arial"/>
          <w:sz w:val="20"/>
          <w:szCs w:val="20"/>
        </w:rPr>
        <w:t>Estas sanciones pueden aplicarse tanto a quienes realizan directamente las operaciones ilícitas como a quienes facilitan, colaboran o encubren este tipo de actividades.</w:t>
      </w:r>
    </w:p>
    <w:p w14:paraId="2F29B996" w14:textId="77777777" w:rsidR="00B90167" w:rsidRPr="0007033F" w:rsidRDefault="00B90167" w:rsidP="0007033F">
      <w:pPr>
        <w:pStyle w:val="NormalWeb"/>
        <w:spacing w:line="276" w:lineRule="auto"/>
        <w:rPr>
          <w:rFonts w:ascii="Arial" w:hAnsi="Arial" w:cs="Arial"/>
          <w:sz w:val="20"/>
          <w:szCs w:val="20"/>
        </w:rPr>
      </w:pPr>
      <w:r w:rsidRPr="0007033F">
        <w:rPr>
          <w:rFonts w:ascii="Arial" w:hAnsi="Arial" w:cs="Arial"/>
          <w:sz w:val="20"/>
          <w:szCs w:val="20"/>
        </w:rPr>
        <w:t>Asimismo, la aplicación de sanciones penales constituye un mecanismo importante para fortalecer la prevención de delitos financieros dentro del sistema económico. A través de estas medidas, el Estado busca desincentivar la participación en actividades ilícitas, proteger la integridad del sistema financiero y promover una mayor transparencia en el manejo de los recursos económicos.</w:t>
      </w:r>
    </w:p>
    <w:p w14:paraId="61ED9D1D" w14:textId="264CBA9C" w:rsidR="001006CB" w:rsidRDefault="001006CB" w:rsidP="0007033F">
      <w:pPr>
        <w:pStyle w:val="NormalWeb"/>
        <w:spacing w:line="276" w:lineRule="auto"/>
        <w:rPr>
          <w:rFonts w:ascii="Arial" w:hAnsi="Arial" w:cs="Arial"/>
          <w:sz w:val="20"/>
          <w:szCs w:val="20"/>
        </w:rPr>
      </w:pPr>
      <w:r w:rsidRPr="001006CB">
        <w:rPr>
          <w:rFonts w:ascii="Arial" w:hAnsi="Arial" w:cs="Arial"/>
          <w:sz w:val="20"/>
          <w:szCs w:val="20"/>
        </w:rPr>
        <w:t>Entre las principales sanciones penales relacionadas con el lavado de activos y la financiación del terrorismo establecidas en el Código Penal colombiano, se encuentran las siguientes:</w:t>
      </w:r>
    </w:p>
    <w:p w14:paraId="269AF789" w14:textId="089F8C91" w:rsidR="001006CB" w:rsidRPr="001006CB" w:rsidRDefault="001006CB" w:rsidP="001006CB">
      <w:pPr>
        <w:pStyle w:val="NormalWeb"/>
        <w:numPr>
          <w:ilvl w:val="0"/>
          <w:numId w:val="37"/>
        </w:numPr>
        <w:spacing w:line="276" w:lineRule="auto"/>
        <w:rPr>
          <w:rFonts w:ascii="Arial" w:hAnsi="Arial" w:cs="Arial"/>
          <w:sz w:val="20"/>
          <w:szCs w:val="20"/>
        </w:rPr>
      </w:pPr>
      <w:commentRangeStart w:id="22"/>
      <w:r w:rsidRPr="001006CB">
        <w:rPr>
          <w:rFonts w:ascii="Arial" w:hAnsi="Arial" w:cs="Arial"/>
          <w:b/>
          <w:bCs/>
          <w:sz w:val="20"/>
          <w:szCs w:val="20"/>
        </w:rPr>
        <w:t>Penas de prisión:</w:t>
      </w:r>
      <w:r w:rsidRPr="001006CB">
        <w:rPr>
          <w:rFonts w:ascii="Arial" w:hAnsi="Arial" w:cs="Arial"/>
          <w:sz w:val="20"/>
          <w:szCs w:val="20"/>
        </w:rPr>
        <w:t xml:space="preserve"> sanción privativa de la libertad impuesta a las personas que participen directa o indirectamente en actividades de lavado de activos o financiación del terrorismo. Por ejemplo, el Código Penal colombiano establece penas de entre 10 y 30 años de prisión para estos delitos. </w:t>
      </w:r>
    </w:p>
    <w:p w14:paraId="2216F86C" w14:textId="04487957" w:rsidR="001006CB" w:rsidRPr="001006CB" w:rsidRDefault="001006CB" w:rsidP="001006CB">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Multas penales:</w:t>
      </w:r>
      <w:r w:rsidRPr="001006CB">
        <w:rPr>
          <w:rFonts w:ascii="Arial" w:hAnsi="Arial" w:cs="Arial"/>
          <w:sz w:val="20"/>
          <w:szCs w:val="20"/>
        </w:rPr>
        <w:t xml:space="preserve"> sanción económica determinada por la legislación penal, cuyo monto se fija en proporción al daño causado al sistema financiero y a la gravedad de la conducta delictiva cometida. Por ejemplo, multas equivalentes a miles de salarios mínimos legales vigentes. </w:t>
      </w:r>
    </w:p>
    <w:p w14:paraId="6644FCCE" w14:textId="5E7C767E" w:rsidR="001006CB" w:rsidRPr="001006CB" w:rsidRDefault="001006CB" w:rsidP="001006CB">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Decomiso de bienes:</w:t>
      </w:r>
      <w:r w:rsidRPr="001006CB">
        <w:rPr>
          <w:rFonts w:ascii="Arial" w:hAnsi="Arial" w:cs="Arial"/>
          <w:sz w:val="20"/>
          <w:szCs w:val="20"/>
        </w:rPr>
        <w:t xml:space="preserve"> medida mediante la cual el Estado confisca los recursos, bienes o activos que provengan directa o indirectamente de actividades ilícitas. Por ejemplo, la incautación de inmuebles, vehículos o cuentas bancarias vinculadas al delito. </w:t>
      </w:r>
    </w:p>
    <w:p w14:paraId="7FA3662A" w14:textId="3FC3350D" w:rsidR="001006CB" w:rsidRPr="001006CB" w:rsidRDefault="001006CB" w:rsidP="001006CB">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Inhabilidad para ejercer actividades:</w:t>
      </w:r>
      <w:r w:rsidRPr="001006CB">
        <w:rPr>
          <w:rFonts w:ascii="Arial" w:hAnsi="Arial" w:cs="Arial"/>
          <w:sz w:val="20"/>
          <w:szCs w:val="20"/>
        </w:rPr>
        <w:t xml:space="preserve"> restricción legal que impide a la persona condenada desarrollar determinadas actividades comerciales o financieras durante un período establecido por la autoridad judicial. Por ejemplo, la prohibición de ejercer cargos directivos en entidades del sistema financiero. </w:t>
      </w:r>
    </w:p>
    <w:p w14:paraId="3A9358B6" w14:textId="2540146B" w:rsidR="001006CB" w:rsidRPr="001006CB" w:rsidRDefault="001006CB" w:rsidP="001006CB">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Extinción de dominio:</w:t>
      </w:r>
      <w:r w:rsidRPr="001006CB">
        <w:rPr>
          <w:rFonts w:ascii="Arial" w:hAnsi="Arial" w:cs="Arial"/>
          <w:sz w:val="20"/>
          <w:szCs w:val="20"/>
        </w:rPr>
        <w:t xml:space="preserve"> mecanismo jurídico mediante el cual el Estado recupera bienes relacionados con actividades ilícitas, sin que el afectado tenga derecho a indemnización alguna. Por ejemplo, la transferencia al Estado de propiedades adquiridas con recursos provenientes del lavado de activos. </w:t>
      </w:r>
    </w:p>
    <w:p w14:paraId="41BF16E8" w14:textId="0E57D225" w:rsidR="001006CB" w:rsidRPr="001006CB" w:rsidRDefault="001006CB" w:rsidP="001006CB">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Procesos por crimen organizado:</w:t>
      </w:r>
      <w:r w:rsidRPr="001006CB">
        <w:rPr>
          <w:rFonts w:ascii="Arial" w:hAnsi="Arial" w:cs="Arial"/>
          <w:sz w:val="20"/>
          <w:szCs w:val="20"/>
        </w:rPr>
        <w:t xml:space="preserve"> actuaciones judiciales adelantadas contra personas que participen en redes estructuradas dedicadas a actividades ilícitas relacionadas con el sistema financiero. Por ejemplo, investigaciones contra organizaciones que utilizan empresas legales para lavar dinero. </w:t>
      </w:r>
    </w:p>
    <w:p w14:paraId="4C580A49" w14:textId="0FB18B38" w:rsidR="001006CB" w:rsidRDefault="001006CB" w:rsidP="001006CB">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Responsabilidad penal por facilitación:</w:t>
      </w:r>
      <w:r w:rsidRPr="001006CB">
        <w:rPr>
          <w:rFonts w:ascii="Arial" w:hAnsi="Arial" w:cs="Arial"/>
          <w:sz w:val="20"/>
          <w:szCs w:val="20"/>
        </w:rPr>
        <w:t xml:space="preserve"> sanción aplicable a quienes, sin ser autores directos del delito, colaboren o faciliten su comisión mediante acciones u omisiones. Por ejemplo, el funcionario bancario que omite reportar operaciones sospechosas de manera deliberada.</w:t>
      </w:r>
      <w:commentRangeEnd w:id="22"/>
      <w:r>
        <w:rPr>
          <w:rStyle w:val="Refdecomentario"/>
          <w:rFonts w:ascii="Arial" w:hAnsi="Arial" w:cs="Arial"/>
          <w:sz w:val="20"/>
          <w:szCs w:val="20"/>
        </w:rPr>
        <w:commentReference w:id="22"/>
      </w:r>
    </w:p>
    <w:p w14:paraId="540732F7" w14:textId="77777777" w:rsidR="001006CB" w:rsidRPr="001006CB" w:rsidRDefault="001006CB" w:rsidP="001006CB">
      <w:pPr>
        <w:pStyle w:val="NormalWeb"/>
        <w:spacing w:line="276" w:lineRule="auto"/>
        <w:rPr>
          <w:rFonts w:ascii="Arial" w:hAnsi="Arial" w:cs="Arial"/>
          <w:sz w:val="20"/>
          <w:szCs w:val="20"/>
        </w:rPr>
      </w:pPr>
    </w:p>
    <w:p w14:paraId="600C24CD" w14:textId="156C60A6" w:rsidR="001006CB" w:rsidRDefault="001006CB" w:rsidP="0007033F">
      <w:pPr>
        <w:pStyle w:val="NormalWeb"/>
        <w:spacing w:line="276" w:lineRule="auto"/>
        <w:rPr>
          <w:rFonts w:ascii="Arial" w:hAnsi="Arial" w:cs="Arial"/>
          <w:sz w:val="20"/>
          <w:szCs w:val="20"/>
        </w:rPr>
      </w:pPr>
      <w:r w:rsidRPr="001006CB">
        <w:rPr>
          <w:rFonts w:ascii="Arial" w:hAnsi="Arial" w:cs="Arial"/>
          <w:sz w:val="20"/>
          <w:szCs w:val="20"/>
        </w:rPr>
        <w:lastRenderedPageBreak/>
        <w:t>Las sanciones penales descritas reflejan la severidad con que el ordenamiento jurídico colombiano trata los delitos relacionados con el lavado de activos y la financiación del terrorismo, reconociendo el grave daño que estas conductas generan sobre la estabilidad económica, la seguridad del Estado y la confianza en el sistema financiero.</w:t>
      </w:r>
    </w:p>
    <w:p w14:paraId="2FDD03E8" w14:textId="57455C7D" w:rsidR="001006CB" w:rsidRDefault="001006CB" w:rsidP="0007033F">
      <w:pPr>
        <w:pStyle w:val="NormalWeb"/>
        <w:spacing w:line="276" w:lineRule="auto"/>
        <w:rPr>
          <w:rFonts w:ascii="Arial" w:hAnsi="Arial" w:cs="Arial"/>
          <w:sz w:val="20"/>
          <w:szCs w:val="20"/>
        </w:rPr>
      </w:pPr>
      <w:r w:rsidRPr="001006CB">
        <w:rPr>
          <w:rFonts w:ascii="Arial" w:hAnsi="Arial" w:cs="Arial"/>
          <w:sz w:val="20"/>
          <w:szCs w:val="20"/>
        </w:rPr>
        <w:t>Además de las consecuencias penales, el incumplimiento de las normas del sistema LA/FT conlleva sanciones de naturaleza estrictamente económica que afectan de manera directa la operación y la sostenibilidad financiera de las organizaciones involucradas. El siguiente apartado describe las sanciones financieras aplicables y su impacto sobre las entidades del sistema.</w:t>
      </w:r>
    </w:p>
    <w:p w14:paraId="34E3F9EB" w14:textId="5D235CF8" w:rsidR="00B90167" w:rsidRPr="0007033F" w:rsidRDefault="00B90167" w:rsidP="0007033F">
      <w:pPr>
        <w:pStyle w:val="Normal0"/>
        <w:rPr>
          <w:b/>
          <w:sz w:val="20"/>
          <w:szCs w:val="20"/>
        </w:rPr>
      </w:pPr>
      <w:r w:rsidRPr="00852CB1">
        <w:rPr>
          <w:b/>
          <w:sz w:val="20"/>
          <w:szCs w:val="20"/>
        </w:rPr>
        <w:t>5.3 Sanciones financieras</w:t>
      </w:r>
    </w:p>
    <w:p w14:paraId="3CDF15CE" w14:textId="77777777" w:rsidR="00B90167" w:rsidRPr="0007033F" w:rsidRDefault="00B90167" w:rsidP="0007033F">
      <w:pPr>
        <w:pStyle w:val="NormalWeb"/>
        <w:spacing w:line="276" w:lineRule="auto"/>
        <w:rPr>
          <w:rFonts w:ascii="Arial" w:hAnsi="Arial" w:cs="Arial"/>
          <w:sz w:val="20"/>
          <w:szCs w:val="20"/>
          <w:lang w:eastAsia="es-CO"/>
        </w:rPr>
      </w:pPr>
      <w:r w:rsidRPr="0007033F">
        <w:rPr>
          <w:rFonts w:ascii="Arial" w:hAnsi="Arial" w:cs="Arial"/>
          <w:sz w:val="20"/>
          <w:szCs w:val="20"/>
        </w:rPr>
        <w:t>Las sanciones financieras corresponden a las medidas económicas que pueden ser impuestas a las organizaciones o a las personas responsables cuando se incumplen las normas relacionadas con la prevención del lavado de activos y la financiación del terrorismo. Estas sanciones tienen como propósito generar un impacto económico que desincentive la realización de actividades ilícitas y promueva el cumplimiento de las disposiciones regulatorias establecidas por las autoridades de control.</w:t>
      </w:r>
    </w:p>
    <w:p w14:paraId="5554478B" w14:textId="77777777" w:rsidR="00B90167" w:rsidRPr="0007033F" w:rsidRDefault="00B90167" w:rsidP="00E62B07">
      <w:pPr>
        <w:pStyle w:val="NormalWeb"/>
        <w:shd w:val="clear" w:color="auto" w:fill="DBE5F1" w:themeFill="accent1" w:themeFillTint="33"/>
        <w:spacing w:line="276" w:lineRule="auto"/>
        <w:rPr>
          <w:rFonts w:ascii="Arial" w:hAnsi="Arial" w:cs="Arial"/>
          <w:sz w:val="20"/>
          <w:szCs w:val="20"/>
        </w:rPr>
      </w:pPr>
      <w:r w:rsidRPr="0007033F">
        <w:rPr>
          <w:rFonts w:ascii="Arial" w:hAnsi="Arial" w:cs="Arial"/>
          <w:sz w:val="20"/>
          <w:szCs w:val="20"/>
        </w:rPr>
        <w:t>En el marco del sistema SARLAFT, las sanciones financieras pueden aplicarse cuando una entidad no implementa adecuadamente los mecanismos de control, incumple las obligaciones de reporte o presenta deficiencias en los procesos de monitoreo de operaciones. Estas medidas son impuestas por las autoridades competentes como parte de los procesos de supervisión y control que buscan garantizar la transparencia en las operaciones financieras.</w:t>
      </w:r>
    </w:p>
    <w:p w14:paraId="44D3BE1A" w14:textId="0A30C164" w:rsidR="00B95E01" w:rsidRPr="00B95E01" w:rsidRDefault="00B95E01" w:rsidP="0007033F">
      <w:pPr>
        <w:pStyle w:val="NormalWeb"/>
        <w:spacing w:line="276" w:lineRule="auto"/>
        <w:rPr>
          <w:rFonts w:ascii="Arial" w:hAnsi="Arial" w:cs="Arial"/>
          <w:sz w:val="20"/>
          <w:szCs w:val="20"/>
        </w:rPr>
      </w:pPr>
      <w:r w:rsidRPr="00B95E01">
        <w:rPr>
          <w:rFonts w:ascii="Arial" w:hAnsi="Arial" w:cs="Arial"/>
          <w:sz w:val="20"/>
          <w:szCs w:val="20"/>
        </w:rPr>
        <w:t>El impacto de las sanciones financieras sobre las organizaciones que incumplen la normativa LA/FT se manifiesta en cuatro dimensiones que afectan de manera simultánea su estabilidad y operatividad. La siguiente figura ilustra cómo cada sanción genera un efecto en cadena sobre el funcionamiento de la entidad, similar al principio de acción y reacción:</w:t>
      </w:r>
    </w:p>
    <w:p w14:paraId="426C8E8E" w14:textId="1790167A" w:rsidR="00B95E01" w:rsidRPr="00B95E01" w:rsidRDefault="00B95E01" w:rsidP="0007033F">
      <w:pPr>
        <w:pStyle w:val="NormalWeb"/>
        <w:spacing w:line="276" w:lineRule="auto"/>
        <w:rPr>
          <w:rFonts w:ascii="Arial" w:hAnsi="Arial" w:cs="Arial"/>
          <w:sz w:val="20"/>
          <w:szCs w:val="20"/>
        </w:rPr>
      </w:pPr>
      <w:r w:rsidRPr="00B95E01">
        <w:rPr>
          <w:rFonts w:ascii="Arial" w:hAnsi="Arial" w:cs="Arial"/>
          <w:b/>
          <w:bCs/>
          <w:sz w:val="20"/>
          <w:szCs w:val="20"/>
        </w:rPr>
        <w:t>Figura 3.</w:t>
      </w:r>
      <w:r w:rsidRPr="00B95E01">
        <w:rPr>
          <w:rFonts w:ascii="Arial" w:hAnsi="Arial" w:cs="Arial"/>
          <w:sz w:val="20"/>
          <w:szCs w:val="20"/>
        </w:rPr>
        <w:t xml:space="preserve"> </w:t>
      </w:r>
      <w:r w:rsidR="00585948">
        <w:rPr>
          <w:rFonts w:ascii="Arial" w:hAnsi="Arial" w:cs="Arial"/>
          <w:sz w:val="20"/>
          <w:szCs w:val="20"/>
        </w:rPr>
        <w:t>Impacto de las s</w:t>
      </w:r>
      <w:r w:rsidRPr="00B95E01">
        <w:rPr>
          <w:rFonts w:ascii="Arial" w:hAnsi="Arial" w:cs="Arial"/>
          <w:sz w:val="20"/>
          <w:szCs w:val="20"/>
        </w:rPr>
        <w:t>anciones financieras</w:t>
      </w:r>
    </w:p>
    <w:p w14:paraId="4535A560" w14:textId="380F0862" w:rsidR="00B95E01" w:rsidRPr="00E62B07" w:rsidRDefault="00585948" w:rsidP="0007033F">
      <w:pPr>
        <w:pStyle w:val="NormalWeb"/>
        <w:spacing w:line="276" w:lineRule="auto"/>
        <w:rPr>
          <w:rFonts w:ascii="Arial" w:hAnsi="Arial" w:cs="Arial"/>
          <w:color w:val="EE0000"/>
          <w:sz w:val="20"/>
          <w:szCs w:val="20"/>
        </w:rPr>
      </w:pPr>
      <w:commentRangeStart w:id="23"/>
      <w:r>
        <w:rPr>
          <w:noProof/>
        </w:rPr>
        <w:lastRenderedPageBreak/>
        <w:drawing>
          <wp:inline distT="0" distB="0" distL="0" distR="0" wp14:anchorId="33C1617B" wp14:editId="4EB7BD0B">
            <wp:extent cx="4612194" cy="4239982"/>
            <wp:effectExtent l="0" t="0" r="0" b="8255"/>
            <wp:docPr id="117733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32078" name=""/>
                    <pic:cNvPicPr/>
                  </pic:nvPicPr>
                  <pic:blipFill>
                    <a:blip r:embed="rId36"/>
                    <a:stretch>
                      <a:fillRect/>
                    </a:stretch>
                  </pic:blipFill>
                  <pic:spPr>
                    <a:xfrm>
                      <a:off x="0" y="0"/>
                      <a:ext cx="4630743" cy="4257034"/>
                    </a:xfrm>
                    <a:prstGeom prst="rect">
                      <a:avLst/>
                    </a:prstGeom>
                  </pic:spPr>
                </pic:pic>
              </a:graphicData>
            </a:graphic>
          </wp:inline>
        </w:drawing>
      </w:r>
      <w:commentRangeEnd w:id="23"/>
      <w:r w:rsidR="00227FA2" w:rsidRPr="00E62B07">
        <w:rPr>
          <w:rStyle w:val="Refdecomentario"/>
          <w:rFonts w:ascii="Arial" w:hAnsi="Arial" w:cs="Arial"/>
          <w:color w:val="EE0000"/>
          <w:sz w:val="20"/>
          <w:szCs w:val="20"/>
        </w:rPr>
        <w:commentReference w:id="23"/>
      </w:r>
    </w:p>
    <w:p w14:paraId="07C9F264" w14:textId="3B596770" w:rsidR="007317C6" w:rsidRDefault="007317C6" w:rsidP="0007033F">
      <w:pPr>
        <w:pStyle w:val="NormalWeb"/>
        <w:spacing w:line="276" w:lineRule="auto"/>
        <w:rPr>
          <w:rFonts w:ascii="Arial" w:hAnsi="Arial" w:cs="Arial"/>
          <w:sz w:val="20"/>
          <w:szCs w:val="20"/>
        </w:rPr>
      </w:pPr>
      <w:r w:rsidRPr="007317C6">
        <w:rPr>
          <w:rFonts w:ascii="Arial" w:hAnsi="Arial" w:cs="Arial"/>
          <w:sz w:val="20"/>
          <w:szCs w:val="20"/>
        </w:rPr>
        <w:t>Como se observa en la figura anterior, las sanciones financieras no actúan de forma aislada. Las multas y sanciones económicas desencadenan pérdidas financieras que, a su vez, deterioran la reputación institucional y limitan progresivamente la capacidad de la organización para continuar operando dentro del sistema financiero y empresarial colombiano.</w:t>
      </w:r>
    </w:p>
    <w:p w14:paraId="25C6952B" w14:textId="5B2DD179" w:rsidR="00B90167" w:rsidRDefault="00B90167" w:rsidP="0007033F">
      <w:pPr>
        <w:pStyle w:val="NormalWeb"/>
        <w:spacing w:line="276" w:lineRule="auto"/>
        <w:rPr>
          <w:rFonts w:ascii="Arial" w:hAnsi="Arial" w:cs="Arial"/>
          <w:sz w:val="20"/>
          <w:szCs w:val="20"/>
        </w:rPr>
      </w:pPr>
      <w:r w:rsidRPr="0007033F">
        <w:rPr>
          <w:rFonts w:ascii="Arial" w:hAnsi="Arial" w:cs="Arial"/>
          <w:sz w:val="20"/>
          <w:szCs w:val="20"/>
        </w:rPr>
        <w:t>Por esta razón, la aplicación de sanciones financieras también cumple una función preventiva dentro del sistema económico. Al establecer consecuencias económicas claras frente al incumplimiento de las normas, las autoridades buscan incentivar a las organizaciones a fortalecer sus sistemas de control, mejorar sus procesos de monitoreo y cumplir de manera rigurosa con las disposiciones relacionadas con la prevención del lavado de activos y la financiación del terrorismo.</w:t>
      </w:r>
    </w:p>
    <w:p w14:paraId="783D3CE9" w14:textId="1A046B46" w:rsidR="00585948" w:rsidRDefault="00585948" w:rsidP="0007033F">
      <w:pPr>
        <w:pStyle w:val="NormalWeb"/>
        <w:spacing w:line="276" w:lineRule="auto"/>
        <w:rPr>
          <w:rFonts w:ascii="Arial" w:hAnsi="Arial" w:cs="Arial"/>
          <w:sz w:val="20"/>
          <w:szCs w:val="20"/>
        </w:rPr>
      </w:pPr>
      <w:r w:rsidRPr="00585948">
        <w:rPr>
          <w:rFonts w:ascii="Arial" w:hAnsi="Arial" w:cs="Arial"/>
          <w:sz w:val="20"/>
          <w:szCs w:val="20"/>
        </w:rPr>
        <w:t>Entre las principales sanciones financieras que las autoridades competentes pueden imponer a las entidades que incumplen las disposiciones del sistema LA/FT, se encuentran las siguientes:</w:t>
      </w:r>
    </w:p>
    <w:p w14:paraId="3A5A88A4" w14:textId="77777777" w:rsidR="00B90167" w:rsidRPr="0007033F" w:rsidRDefault="00B90167" w:rsidP="00C14539">
      <w:pPr>
        <w:pStyle w:val="NormalWeb"/>
        <w:numPr>
          <w:ilvl w:val="0"/>
          <w:numId w:val="14"/>
        </w:numPr>
        <w:spacing w:line="276" w:lineRule="auto"/>
        <w:rPr>
          <w:rFonts w:ascii="Arial" w:hAnsi="Arial" w:cs="Arial"/>
          <w:sz w:val="20"/>
          <w:szCs w:val="20"/>
        </w:rPr>
      </w:pPr>
      <w:commentRangeStart w:id="24"/>
      <w:r w:rsidRPr="0007033F">
        <w:rPr>
          <w:rFonts w:ascii="Arial" w:hAnsi="Arial" w:cs="Arial"/>
          <w:sz w:val="20"/>
          <w:szCs w:val="20"/>
        </w:rPr>
        <w:t>Multas económicas impuestas por las autoridades de supervisión y control.</w:t>
      </w:r>
    </w:p>
    <w:p w14:paraId="3E38C6CE" w14:textId="77777777" w:rsidR="00B90167" w:rsidRPr="0007033F" w:rsidRDefault="00B90167" w:rsidP="00C14539">
      <w:pPr>
        <w:pStyle w:val="NormalWeb"/>
        <w:numPr>
          <w:ilvl w:val="0"/>
          <w:numId w:val="14"/>
        </w:numPr>
        <w:spacing w:line="276" w:lineRule="auto"/>
        <w:rPr>
          <w:rFonts w:ascii="Arial" w:hAnsi="Arial" w:cs="Arial"/>
          <w:sz w:val="20"/>
          <w:szCs w:val="20"/>
        </w:rPr>
      </w:pPr>
      <w:r w:rsidRPr="0007033F">
        <w:rPr>
          <w:rFonts w:ascii="Arial" w:hAnsi="Arial" w:cs="Arial"/>
          <w:sz w:val="20"/>
          <w:szCs w:val="20"/>
        </w:rPr>
        <w:t>Pago de sanciones monetarias por incumplimiento de obligaciones regulatorias.</w:t>
      </w:r>
    </w:p>
    <w:p w14:paraId="232FB4C3" w14:textId="77777777" w:rsidR="00B90167" w:rsidRPr="0007033F" w:rsidRDefault="00B90167" w:rsidP="00C14539">
      <w:pPr>
        <w:pStyle w:val="NormalWeb"/>
        <w:numPr>
          <w:ilvl w:val="0"/>
          <w:numId w:val="14"/>
        </w:numPr>
        <w:spacing w:line="276" w:lineRule="auto"/>
        <w:rPr>
          <w:rFonts w:ascii="Arial" w:hAnsi="Arial" w:cs="Arial"/>
          <w:sz w:val="20"/>
          <w:szCs w:val="20"/>
        </w:rPr>
      </w:pPr>
      <w:r w:rsidRPr="0007033F">
        <w:rPr>
          <w:rFonts w:ascii="Arial" w:hAnsi="Arial" w:cs="Arial"/>
          <w:sz w:val="20"/>
          <w:szCs w:val="20"/>
        </w:rPr>
        <w:t>Congelamiento o bloqueo de cuentas relacionadas con operaciones ilícitas.</w:t>
      </w:r>
    </w:p>
    <w:p w14:paraId="78367434" w14:textId="77777777" w:rsidR="00B90167" w:rsidRPr="0007033F" w:rsidRDefault="00B90167" w:rsidP="00C14539">
      <w:pPr>
        <w:pStyle w:val="NormalWeb"/>
        <w:numPr>
          <w:ilvl w:val="0"/>
          <w:numId w:val="14"/>
        </w:numPr>
        <w:spacing w:line="276" w:lineRule="auto"/>
        <w:rPr>
          <w:rFonts w:ascii="Arial" w:hAnsi="Arial" w:cs="Arial"/>
          <w:sz w:val="20"/>
          <w:szCs w:val="20"/>
        </w:rPr>
      </w:pPr>
      <w:r w:rsidRPr="0007033F">
        <w:rPr>
          <w:rFonts w:ascii="Arial" w:hAnsi="Arial" w:cs="Arial"/>
          <w:sz w:val="20"/>
          <w:szCs w:val="20"/>
        </w:rPr>
        <w:t>Pérdida de recursos financieros vinculados a actividades ilegales.</w:t>
      </w:r>
    </w:p>
    <w:p w14:paraId="5C14E726" w14:textId="77777777" w:rsidR="00B90167" w:rsidRPr="0007033F" w:rsidRDefault="00B90167" w:rsidP="00C14539">
      <w:pPr>
        <w:pStyle w:val="NormalWeb"/>
        <w:numPr>
          <w:ilvl w:val="0"/>
          <w:numId w:val="14"/>
        </w:numPr>
        <w:spacing w:line="276" w:lineRule="auto"/>
        <w:rPr>
          <w:rFonts w:ascii="Arial" w:hAnsi="Arial" w:cs="Arial"/>
          <w:sz w:val="20"/>
          <w:szCs w:val="20"/>
        </w:rPr>
      </w:pPr>
      <w:r w:rsidRPr="0007033F">
        <w:rPr>
          <w:rFonts w:ascii="Arial" w:hAnsi="Arial" w:cs="Arial"/>
          <w:sz w:val="20"/>
          <w:szCs w:val="20"/>
        </w:rPr>
        <w:t>Restricciones en el acceso a determinados servicios financieros.</w:t>
      </w:r>
    </w:p>
    <w:p w14:paraId="28F48B2D" w14:textId="77777777" w:rsidR="00B90167" w:rsidRPr="0007033F" w:rsidRDefault="00B90167" w:rsidP="00C14539">
      <w:pPr>
        <w:pStyle w:val="NormalWeb"/>
        <w:numPr>
          <w:ilvl w:val="0"/>
          <w:numId w:val="14"/>
        </w:numPr>
        <w:spacing w:line="276" w:lineRule="auto"/>
        <w:rPr>
          <w:rFonts w:ascii="Arial" w:hAnsi="Arial" w:cs="Arial"/>
          <w:sz w:val="20"/>
          <w:szCs w:val="20"/>
        </w:rPr>
      </w:pPr>
      <w:r w:rsidRPr="0007033F">
        <w:rPr>
          <w:rFonts w:ascii="Arial" w:hAnsi="Arial" w:cs="Arial"/>
          <w:sz w:val="20"/>
          <w:szCs w:val="20"/>
        </w:rPr>
        <w:t>Decomiso de recursos provenientes de operaciones irregulares.</w:t>
      </w:r>
    </w:p>
    <w:p w14:paraId="38D3AF16" w14:textId="43C321D0" w:rsidR="00B90167" w:rsidRDefault="00B90167" w:rsidP="00C14539">
      <w:pPr>
        <w:pStyle w:val="NormalWeb"/>
        <w:numPr>
          <w:ilvl w:val="0"/>
          <w:numId w:val="14"/>
        </w:numPr>
        <w:spacing w:line="276" w:lineRule="auto"/>
        <w:rPr>
          <w:rFonts w:ascii="Arial" w:hAnsi="Arial" w:cs="Arial"/>
          <w:sz w:val="20"/>
          <w:szCs w:val="20"/>
        </w:rPr>
      </w:pPr>
      <w:r w:rsidRPr="0007033F">
        <w:rPr>
          <w:rFonts w:ascii="Arial" w:hAnsi="Arial" w:cs="Arial"/>
          <w:sz w:val="20"/>
          <w:szCs w:val="20"/>
        </w:rPr>
        <w:t>Costos financieros derivados de procesos legales o sancionatorios.</w:t>
      </w:r>
      <w:commentRangeEnd w:id="24"/>
      <w:r w:rsidR="00585948">
        <w:rPr>
          <w:rStyle w:val="Refdecomentario"/>
          <w:rFonts w:ascii="Arial" w:hAnsi="Arial" w:cs="Arial"/>
          <w:sz w:val="20"/>
          <w:szCs w:val="20"/>
        </w:rPr>
        <w:commentReference w:id="24"/>
      </w:r>
    </w:p>
    <w:p w14:paraId="736BCCE0" w14:textId="46248333" w:rsidR="00931B8D" w:rsidRDefault="00585948" w:rsidP="00931B8D">
      <w:pPr>
        <w:pStyle w:val="NormalWeb"/>
        <w:spacing w:line="276" w:lineRule="auto"/>
        <w:rPr>
          <w:rFonts w:ascii="Arial" w:hAnsi="Arial" w:cs="Arial"/>
          <w:sz w:val="20"/>
          <w:szCs w:val="20"/>
        </w:rPr>
      </w:pPr>
      <w:r w:rsidRPr="00585948">
        <w:rPr>
          <w:rFonts w:ascii="Arial" w:hAnsi="Arial" w:cs="Arial"/>
          <w:sz w:val="20"/>
          <w:szCs w:val="20"/>
        </w:rPr>
        <w:lastRenderedPageBreak/>
        <w:t>Las sanciones financieras descritas representan el conjunto de medidas económicas que el Estado colombiano aplica para disuadir el incumplimiento normativo y garantizar que las organizaciones fortalezcan sus sistemas de prevención y control frente al lavado de activos y la financiación del terrorismo.</w:t>
      </w:r>
    </w:p>
    <w:p w14:paraId="32D555D9" w14:textId="3D4B3794" w:rsidR="00585948" w:rsidRPr="0007033F" w:rsidRDefault="00585948" w:rsidP="00931B8D">
      <w:pPr>
        <w:pStyle w:val="NormalWeb"/>
        <w:spacing w:line="276" w:lineRule="auto"/>
        <w:rPr>
          <w:rFonts w:ascii="Arial" w:hAnsi="Arial" w:cs="Arial"/>
          <w:sz w:val="20"/>
          <w:szCs w:val="20"/>
        </w:rPr>
      </w:pPr>
      <w:r w:rsidRPr="00585948">
        <w:rPr>
          <w:rFonts w:ascii="Arial" w:hAnsi="Arial" w:cs="Arial"/>
          <w:sz w:val="20"/>
          <w:szCs w:val="20"/>
        </w:rPr>
        <w:t>Más allá de las sanciones de orden administrativo, penal y financiero, el incumplimiento de las normas LA/FT genera consecuencias estructurales que comprometen la viabilidad misma de las organizaciones. El siguiente apartado analiza el impacto integral que estas consecuencias tienen sobre su funcionamiento, imagen y sostenibilidad institucional.</w:t>
      </w:r>
    </w:p>
    <w:p w14:paraId="6A137121" w14:textId="2FF4F13F" w:rsidR="00B90167" w:rsidRPr="0007033F" w:rsidRDefault="00B90167" w:rsidP="0007033F">
      <w:pPr>
        <w:pStyle w:val="Normal0"/>
        <w:rPr>
          <w:b/>
          <w:sz w:val="20"/>
          <w:szCs w:val="20"/>
        </w:rPr>
      </w:pPr>
      <w:r w:rsidRPr="0007033F">
        <w:rPr>
          <w:b/>
          <w:sz w:val="20"/>
          <w:szCs w:val="20"/>
        </w:rPr>
        <w:t>5.4 Consecuencias para las organizaciones</w:t>
      </w:r>
    </w:p>
    <w:p w14:paraId="63597D86" w14:textId="77777777" w:rsidR="00B90167" w:rsidRPr="0007033F" w:rsidRDefault="00B90167" w:rsidP="0007033F">
      <w:pPr>
        <w:pStyle w:val="NormalWeb"/>
        <w:spacing w:line="276" w:lineRule="auto"/>
        <w:rPr>
          <w:rFonts w:ascii="Arial" w:hAnsi="Arial" w:cs="Arial"/>
          <w:sz w:val="20"/>
          <w:szCs w:val="20"/>
          <w:lang w:eastAsia="es-CO"/>
        </w:rPr>
      </w:pPr>
      <w:r w:rsidRPr="0007033F">
        <w:rPr>
          <w:rFonts w:ascii="Arial" w:hAnsi="Arial" w:cs="Arial"/>
          <w:sz w:val="20"/>
          <w:szCs w:val="20"/>
        </w:rPr>
        <w:t>El incumplimiento de las normas relacionadas con la prevención del lavado de activos y la financiación del terrorismo puede generar diversas consecuencias para las organizaciones que participan en el sistema financiero y empresarial. Estas consecuencias pueden afectar no solo la estabilidad económica de la entidad, sino también su reputación, su capacidad operativa y la confianza que los clientes y aliados depositan en la organización.</w:t>
      </w:r>
    </w:p>
    <w:p w14:paraId="7B316DB2" w14:textId="77777777" w:rsidR="00B90167" w:rsidRPr="0007033F" w:rsidRDefault="00B90167" w:rsidP="00931B8D">
      <w:pPr>
        <w:pStyle w:val="NormalWeb"/>
        <w:shd w:val="clear" w:color="auto" w:fill="DBE5F1" w:themeFill="accent1" w:themeFillTint="33"/>
        <w:spacing w:line="276" w:lineRule="auto"/>
        <w:rPr>
          <w:rFonts w:ascii="Arial" w:hAnsi="Arial" w:cs="Arial"/>
          <w:sz w:val="20"/>
          <w:szCs w:val="20"/>
        </w:rPr>
      </w:pPr>
      <w:r w:rsidRPr="0007033F">
        <w:rPr>
          <w:rFonts w:ascii="Arial" w:hAnsi="Arial" w:cs="Arial"/>
          <w:sz w:val="20"/>
          <w:szCs w:val="20"/>
        </w:rPr>
        <w:t>En el contexto del sistema SARLAFT, las organizaciones que no implementan adecuadamente los mecanismos de prevención y control pueden enfrentar sanciones por parte de las autoridades de supervisión. Estas sanciones pueden incluir multas, restricciones operativas o medidas correctivas que obligan a la entidad a fortalecer sus procesos internos para garantizar el cumplimiento de la normativa vigente.</w:t>
      </w:r>
    </w:p>
    <w:p w14:paraId="65126600" w14:textId="63B42905" w:rsidR="00931B8D" w:rsidRDefault="00931B8D" w:rsidP="0007033F">
      <w:pPr>
        <w:pStyle w:val="NormalWeb"/>
        <w:spacing w:line="276" w:lineRule="auto"/>
        <w:rPr>
          <w:rFonts w:ascii="Arial" w:hAnsi="Arial" w:cs="Arial"/>
          <w:sz w:val="20"/>
          <w:szCs w:val="20"/>
        </w:rPr>
      </w:pPr>
      <w:r w:rsidRPr="00931B8D">
        <w:rPr>
          <w:rFonts w:ascii="Arial" w:hAnsi="Arial" w:cs="Arial"/>
          <w:sz w:val="20"/>
          <w:szCs w:val="20"/>
        </w:rPr>
        <w:t>El deterioro de la imagen institucional derivado del incumplimiento de las normas LA/FT genera consecuencias concretas que afectan la sostenibilidad y competitividad de la organización en el mercado, entre las cuales se destacan las siguientes:</w:t>
      </w:r>
    </w:p>
    <w:p w14:paraId="32816A47" w14:textId="1F17A32B" w:rsidR="00931B8D" w:rsidRDefault="00931B8D" w:rsidP="00931B8D">
      <w:pPr>
        <w:pStyle w:val="NormalWeb"/>
        <w:numPr>
          <w:ilvl w:val="0"/>
          <w:numId w:val="38"/>
        </w:numPr>
        <w:spacing w:line="276" w:lineRule="auto"/>
        <w:rPr>
          <w:rFonts w:ascii="Arial" w:hAnsi="Arial" w:cs="Arial"/>
          <w:sz w:val="20"/>
          <w:szCs w:val="20"/>
        </w:rPr>
      </w:pPr>
      <w:commentRangeStart w:id="25"/>
      <w:r w:rsidRPr="00931B8D">
        <w:rPr>
          <w:rFonts w:ascii="Arial" w:hAnsi="Arial" w:cs="Arial"/>
          <w:b/>
          <w:bCs/>
          <w:sz w:val="20"/>
          <w:szCs w:val="20"/>
        </w:rPr>
        <w:t>Pérdida de clientes:</w:t>
      </w:r>
      <w:r w:rsidRPr="00931B8D">
        <w:rPr>
          <w:rFonts w:ascii="Arial" w:hAnsi="Arial" w:cs="Arial"/>
          <w:sz w:val="20"/>
          <w:szCs w:val="20"/>
        </w:rPr>
        <w:t xml:space="preserve"> el involucramiento de una organización en investigaciones relacionadas con el lavado de activos genera desconfianza entre sus clientes actuales, quienes optan por trasladar sus operaciones a entidades con mayor solidez reputacional.</w:t>
      </w:r>
    </w:p>
    <w:p w14:paraId="6D2339A9" w14:textId="5BA72F3D" w:rsidR="00931B8D" w:rsidRDefault="00931B8D" w:rsidP="00931B8D">
      <w:pPr>
        <w:pStyle w:val="NormalWeb"/>
        <w:numPr>
          <w:ilvl w:val="0"/>
          <w:numId w:val="38"/>
        </w:numPr>
        <w:spacing w:line="276" w:lineRule="auto"/>
        <w:rPr>
          <w:rFonts w:ascii="Arial" w:hAnsi="Arial" w:cs="Arial"/>
          <w:sz w:val="20"/>
          <w:szCs w:val="20"/>
        </w:rPr>
      </w:pPr>
      <w:r w:rsidRPr="00931B8D">
        <w:rPr>
          <w:rFonts w:ascii="Arial" w:hAnsi="Arial" w:cs="Arial"/>
          <w:b/>
          <w:bCs/>
          <w:sz w:val="20"/>
          <w:szCs w:val="20"/>
        </w:rPr>
        <w:t>Reducción de oportunidades de negocio:</w:t>
      </w:r>
      <w:r w:rsidRPr="00931B8D">
        <w:rPr>
          <w:rFonts w:ascii="Arial" w:hAnsi="Arial" w:cs="Arial"/>
          <w:sz w:val="20"/>
          <w:szCs w:val="20"/>
        </w:rPr>
        <w:t xml:space="preserve"> la vinculación con actividades ilícitas limita el acceso de la organización a nuevos mercados, licitaciones y alianzas estratégicas, restringiendo su capacidad de crecimiento y expansión comercial.</w:t>
      </w:r>
    </w:p>
    <w:p w14:paraId="16DD4FD5" w14:textId="7D7D8EE9" w:rsidR="00931B8D" w:rsidRDefault="00931B8D" w:rsidP="00931B8D">
      <w:pPr>
        <w:pStyle w:val="NormalWeb"/>
        <w:numPr>
          <w:ilvl w:val="0"/>
          <w:numId w:val="38"/>
        </w:numPr>
        <w:spacing w:line="276" w:lineRule="auto"/>
        <w:rPr>
          <w:rFonts w:ascii="Arial" w:hAnsi="Arial" w:cs="Arial"/>
          <w:sz w:val="20"/>
          <w:szCs w:val="20"/>
        </w:rPr>
      </w:pPr>
      <w:r w:rsidRPr="00931B8D">
        <w:rPr>
          <w:rFonts w:ascii="Arial" w:hAnsi="Arial" w:cs="Arial"/>
          <w:b/>
          <w:bCs/>
          <w:sz w:val="20"/>
          <w:szCs w:val="20"/>
        </w:rPr>
        <w:t>Ruptura de relaciones comerciales:</w:t>
      </w:r>
      <w:r w:rsidRPr="00931B8D">
        <w:rPr>
          <w:rFonts w:ascii="Arial" w:hAnsi="Arial" w:cs="Arial"/>
          <w:sz w:val="20"/>
          <w:szCs w:val="20"/>
        </w:rPr>
        <w:t xml:space="preserve"> las entidades financieras, proveedores y socios estratégicos tienden a suspender sus vínculos con organizaciones que enfrentan señalamientos por incumplimiento normativo, afectando su cadena de valor y su operación habitual.</w:t>
      </w:r>
    </w:p>
    <w:p w14:paraId="7D287C3C" w14:textId="3030467C" w:rsidR="00931B8D" w:rsidRDefault="00931B8D" w:rsidP="00931B8D">
      <w:pPr>
        <w:pStyle w:val="NormalWeb"/>
        <w:numPr>
          <w:ilvl w:val="0"/>
          <w:numId w:val="38"/>
        </w:numPr>
        <w:spacing w:line="276" w:lineRule="auto"/>
        <w:rPr>
          <w:rFonts w:ascii="Arial" w:hAnsi="Arial" w:cs="Arial"/>
          <w:sz w:val="20"/>
          <w:szCs w:val="20"/>
        </w:rPr>
      </w:pPr>
      <w:r w:rsidRPr="00931B8D">
        <w:rPr>
          <w:rFonts w:ascii="Arial" w:hAnsi="Arial" w:cs="Arial"/>
          <w:b/>
          <w:bCs/>
          <w:sz w:val="20"/>
          <w:szCs w:val="20"/>
        </w:rPr>
        <w:t>Daño a la imagen institucional:</w:t>
      </w:r>
      <w:r w:rsidRPr="00931B8D">
        <w:rPr>
          <w:rFonts w:ascii="Arial" w:hAnsi="Arial" w:cs="Arial"/>
          <w:sz w:val="20"/>
          <w:szCs w:val="20"/>
        </w:rPr>
        <w:t xml:space="preserve"> la reputación construida por una organización a lo largo del tiempo puede verse gravemente comprometida ante una sola situación de incumplimiento, generando un impacto negativo de difícil recuperación frente a sus grupos de interés.</w:t>
      </w:r>
      <w:commentRangeEnd w:id="25"/>
      <w:r>
        <w:rPr>
          <w:rStyle w:val="Refdecomentario"/>
          <w:rFonts w:ascii="Arial" w:hAnsi="Arial" w:cs="Arial"/>
          <w:sz w:val="20"/>
          <w:szCs w:val="20"/>
        </w:rPr>
        <w:commentReference w:id="25"/>
      </w:r>
    </w:p>
    <w:p w14:paraId="0C045DC1" w14:textId="4DAF8828" w:rsidR="00931B8D" w:rsidRPr="0007033F" w:rsidRDefault="00931B8D" w:rsidP="00931B8D">
      <w:pPr>
        <w:pStyle w:val="NormalWeb"/>
        <w:shd w:val="clear" w:color="auto" w:fill="EEECE1" w:themeFill="background2"/>
        <w:spacing w:line="276" w:lineRule="auto"/>
        <w:rPr>
          <w:rFonts w:ascii="Arial" w:hAnsi="Arial" w:cs="Arial"/>
          <w:sz w:val="20"/>
          <w:szCs w:val="20"/>
        </w:rPr>
      </w:pPr>
      <w:r w:rsidRPr="00931B8D">
        <w:rPr>
          <w:rFonts w:ascii="Arial" w:hAnsi="Arial" w:cs="Arial"/>
          <w:sz w:val="20"/>
          <w:szCs w:val="20"/>
        </w:rPr>
        <w:t>Las consecuencias descritas evidencian que el incumplimiento de las normas del sistema LA/FT no solo acarrea sanciones de orden legal y económico, sino que compromete de manera integral la viabilidad y sostenibilidad de la organización. Por esta razón, la implementación efectiva y oportuna de los mecanismos de prevención establecidos en el SARLAFT constituye una decisión estratégica que protege tanto la integridad institucional como la confianza de los grupos de interés vinculados a la organización.</w:t>
      </w:r>
    </w:p>
    <w:p w14:paraId="63D4E515" w14:textId="77777777" w:rsidR="00B90167" w:rsidRPr="0007033F" w:rsidRDefault="00B90167" w:rsidP="0007033F">
      <w:pPr>
        <w:pStyle w:val="NormalWeb"/>
        <w:spacing w:line="276" w:lineRule="auto"/>
        <w:rPr>
          <w:rFonts w:ascii="Arial" w:hAnsi="Arial" w:cs="Arial"/>
          <w:sz w:val="20"/>
          <w:szCs w:val="20"/>
        </w:rPr>
      </w:pPr>
      <w:r w:rsidRPr="0007033F">
        <w:rPr>
          <w:rFonts w:ascii="Arial" w:hAnsi="Arial" w:cs="Arial"/>
          <w:sz w:val="20"/>
          <w:szCs w:val="20"/>
        </w:rPr>
        <w:t xml:space="preserve">Por otra parte, las organizaciones que no aplican adecuadamente los sistemas de prevención del LA/FT pueden enfrentar riesgos financieros y legales que comprometan su estabilidad a largo plazo. Por esta razón, la implementación efectiva de mecanismos como el SARLAFT resulta fundamental para proteger la integridad de </w:t>
      </w:r>
      <w:r w:rsidRPr="0007033F">
        <w:rPr>
          <w:rFonts w:ascii="Arial" w:hAnsi="Arial" w:cs="Arial"/>
          <w:sz w:val="20"/>
          <w:szCs w:val="20"/>
        </w:rPr>
        <w:lastRenderedPageBreak/>
        <w:t>las operaciones, fortalecer la transparencia institucional y garantizar el cumplimiento de las normas establecidas por las autoridades regulatorias.</w:t>
      </w:r>
    </w:p>
    <w:p w14:paraId="796554F4" w14:textId="77777777" w:rsidR="00B90167" w:rsidRDefault="00B90167" w:rsidP="0007033F">
      <w:pPr>
        <w:pStyle w:val="NormalWeb"/>
        <w:spacing w:line="276" w:lineRule="auto"/>
        <w:rPr>
          <w:rFonts w:ascii="Arial" w:hAnsi="Arial" w:cs="Arial"/>
          <w:sz w:val="20"/>
          <w:szCs w:val="20"/>
        </w:rPr>
      </w:pPr>
      <w:r w:rsidRPr="0007033F">
        <w:rPr>
          <w:rFonts w:ascii="Arial" w:hAnsi="Arial" w:cs="Arial"/>
          <w:sz w:val="20"/>
          <w:szCs w:val="20"/>
        </w:rPr>
        <w:t>Entre algunas de las principales consecuencias que pueden enfrentar las organizaciones se encuentran las siguientes:</w:t>
      </w:r>
    </w:p>
    <w:p w14:paraId="248BA3EC" w14:textId="77777777" w:rsidR="00B90167" w:rsidRPr="0007033F" w:rsidRDefault="00B90167" w:rsidP="00C14539">
      <w:pPr>
        <w:pStyle w:val="NormalWeb"/>
        <w:numPr>
          <w:ilvl w:val="0"/>
          <w:numId w:val="15"/>
        </w:numPr>
        <w:spacing w:line="276" w:lineRule="auto"/>
        <w:rPr>
          <w:rFonts w:ascii="Arial" w:hAnsi="Arial" w:cs="Arial"/>
          <w:sz w:val="20"/>
          <w:szCs w:val="20"/>
        </w:rPr>
      </w:pPr>
      <w:commentRangeStart w:id="26"/>
      <w:r w:rsidRPr="0007033F">
        <w:rPr>
          <w:rFonts w:ascii="Arial" w:hAnsi="Arial" w:cs="Arial"/>
          <w:sz w:val="20"/>
          <w:szCs w:val="20"/>
        </w:rPr>
        <w:t>Deterioro de la reputación e imagen institucional de la organización.</w:t>
      </w:r>
    </w:p>
    <w:p w14:paraId="1C1C6090" w14:textId="77777777" w:rsidR="00B90167" w:rsidRPr="0007033F" w:rsidRDefault="00B90167" w:rsidP="00C14539">
      <w:pPr>
        <w:pStyle w:val="NormalWeb"/>
        <w:numPr>
          <w:ilvl w:val="0"/>
          <w:numId w:val="15"/>
        </w:numPr>
        <w:spacing w:line="276" w:lineRule="auto"/>
        <w:rPr>
          <w:rFonts w:ascii="Arial" w:hAnsi="Arial" w:cs="Arial"/>
          <w:sz w:val="20"/>
          <w:szCs w:val="20"/>
        </w:rPr>
      </w:pPr>
      <w:r w:rsidRPr="0007033F">
        <w:rPr>
          <w:rFonts w:ascii="Arial" w:hAnsi="Arial" w:cs="Arial"/>
          <w:sz w:val="20"/>
          <w:szCs w:val="20"/>
        </w:rPr>
        <w:t>Pérdida de confianza por parte de clientes, inversionistas y aliados comerciales.</w:t>
      </w:r>
    </w:p>
    <w:p w14:paraId="07B14743" w14:textId="77777777" w:rsidR="00B90167" w:rsidRPr="0007033F" w:rsidRDefault="00B90167" w:rsidP="00C14539">
      <w:pPr>
        <w:pStyle w:val="NormalWeb"/>
        <w:numPr>
          <w:ilvl w:val="0"/>
          <w:numId w:val="15"/>
        </w:numPr>
        <w:spacing w:line="276" w:lineRule="auto"/>
        <w:rPr>
          <w:rFonts w:ascii="Arial" w:hAnsi="Arial" w:cs="Arial"/>
          <w:sz w:val="20"/>
          <w:szCs w:val="20"/>
        </w:rPr>
      </w:pPr>
      <w:r w:rsidRPr="0007033F">
        <w:rPr>
          <w:rFonts w:ascii="Arial" w:hAnsi="Arial" w:cs="Arial"/>
          <w:sz w:val="20"/>
          <w:szCs w:val="20"/>
        </w:rPr>
        <w:t>Restricciones o limitaciones en el desarrollo de determinadas actividades financieras.</w:t>
      </w:r>
    </w:p>
    <w:p w14:paraId="37078BBD" w14:textId="77777777" w:rsidR="00B90167" w:rsidRPr="0007033F" w:rsidRDefault="00B90167" w:rsidP="00C14539">
      <w:pPr>
        <w:pStyle w:val="NormalWeb"/>
        <w:numPr>
          <w:ilvl w:val="0"/>
          <w:numId w:val="15"/>
        </w:numPr>
        <w:spacing w:line="276" w:lineRule="auto"/>
        <w:rPr>
          <w:rFonts w:ascii="Arial" w:hAnsi="Arial" w:cs="Arial"/>
          <w:sz w:val="20"/>
          <w:szCs w:val="20"/>
        </w:rPr>
      </w:pPr>
      <w:r w:rsidRPr="0007033F">
        <w:rPr>
          <w:rFonts w:ascii="Arial" w:hAnsi="Arial" w:cs="Arial"/>
          <w:sz w:val="20"/>
          <w:szCs w:val="20"/>
        </w:rPr>
        <w:t>Incremento en los niveles de supervisión por parte de los organismos de control.</w:t>
      </w:r>
    </w:p>
    <w:p w14:paraId="3788A68E" w14:textId="77777777" w:rsidR="00B90167" w:rsidRPr="0007033F" w:rsidRDefault="00B90167" w:rsidP="00C14539">
      <w:pPr>
        <w:pStyle w:val="NormalWeb"/>
        <w:numPr>
          <w:ilvl w:val="0"/>
          <w:numId w:val="15"/>
        </w:numPr>
        <w:spacing w:line="276" w:lineRule="auto"/>
        <w:rPr>
          <w:rFonts w:ascii="Arial" w:hAnsi="Arial" w:cs="Arial"/>
          <w:sz w:val="20"/>
          <w:szCs w:val="20"/>
        </w:rPr>
      </w:pPr>
      <w:r w:rsidRPr="0007033F">
        <w:rPr>
          <w:rFonts w:ascii="Arial" w:hAnsi="Arial" w:cs="Arial"/>
          <w:sz w:val="20"/>
          <w:szCs w:val="20"/>
        </w:rPr>
        <w:t>Costos legales derivados de procesos de investigación o sanción.</w:t>
      </w:r>
    </w:p>
    <w:p w14:paraId="106A67B6" w14:textId="77777777" w:rsidR="00B90167" w:rsidRPr="0007033F" w:rsidRDefault="00B90167" w:rsidP="00C14539">
      <w:pPr>
        <w:pStyle w:val="NormalWeb"/>
        <w:numPr>
          <w:ilvl w:val="0"/>
          <w:numId w:val="15"/>
        </w:numPr>
        <w:spacing w:line="276" w:lineRule="auto"/>
        <w:rPr>
          <w:rFonts w:ascii="Arial" w:hAnsi="Arial" w:cs="Arial"/>
          <w:sz w:val="20"/>
          <w:szCs w:val="20"/>
        </w:rPr>
      </w:pPr>
      <w:r w:rsidRPr="0007033F">
        <w:rPr>
          <w:rFonts w:ascii="Arial" w:hAnsi="Arial" w:cs="Arial"/>
          <w:sz w:val="20"/>
          <w:szCs w:val="20"/>
        </w:rPr>
        <w:t>Pérdida de oportunidades de negocio y relaciones comerciales.</w:t>
      </w:r>
    </w:p>
    <w:p w14:paraId="5D196797" w14:textId="4FA26A60" w:rsidR="00B90167" w:rsidRDefault="00B90167" w:rsidP="00C14539">
      <w:pPr>
        <w:pStyle w:val="NormalWeb"/>
        <w:numPr>
          <w:ilvl w:val="0"/>
          <w:numId w:val="15"/>
        </w:numPr>
        <w:spacing w:line="276" w:lineRule="auto"/>
        <w:rPr>
          <w:rFonts w:ascii="Arial" w:hAnsi="Arial" w:cs="Arial"/>
          <w:sz w:val="20"/>
          <w:szCs w:val="20"/>
        </w:rPr>
      </w:pPr>
      <w:r w:rsidRPr="0007033F">
        <w:rPr>
          <w:rFonts w:ascii="Arial" w:hAnsi="Arial" w:cs="Arial"/>
          <w:sz w:val="20"/>
          <w:szCs w:val="20"/>
        </w:rPr>
        <w:t>Riesgo de cierre o suspensión de operaciones en casos graves de incumplimiento.</w:t>
      </w:r>
      <w:commentRangeEnd w:id="26"/>
      <w:r w:rsidR="00931B8D">
        <w:rPr>
          <w:rStyle w:val="Refdecomentario"/>
          <w:rFonts w:ascii="Arial" w:hAnsi="Arial" w:cs="Arial"/>
          <w:sz w:val="20"/>
          <w:szCs w:val="20"/>
        </w:rPr>
        <w:commentReference w:id="26"/>
      </w:r>
    </w:p>
    <w:p w14:paraId="1F662CE0" w14:textId="657BBBF3" w:rsidR="004D4EDC" w:rsidRPr="00931B8D" w:rsidRDefault="0038555A" w:rsidP="003F13A0">
      <w:pPr>
        <w:pStyle w:val="NormalWeb"/>
        <w:spacing w:line="276" w:lineRule="auto"/>
        <w:rPr>
          <w:rFonts w:ascii="Arial" w:hAnsi="Arial" w:cs="Arial"/>
          <w:sz w:val="20"/>
          <w:szCs w:val="20"/>
        </w:rPr>
      </w:pPr>
      <w:r w:rsidRPr="00931B8D">
        <w:rPr>
          <w:rFonts w:ascii="Arial" w:hAnsi="Arial" w:cs="Arial"/>
          <w:sz w:val="20"/>
          <w:szCs w:val="20"/>
        </w:rPr>
        <w:t>El conjunto de consecuencias descritas evidencia que el incumplimiento de las normas relacionadas con la prevención del lavado de activos y la financiación del terrorismo compromete no solo la viabilidad financiera de las organizaciones, sino también su posición estratégica y su credibilidad en el mercado. La implementación rigurosa del sistema SARLAFT constituye, por tanto, una condición esencial para proteger la integridad institucional y garantizar la transparencia en el desarrollo de las operaciones financieras y empresariales.</w:t>
      </w:r>
    </w:p>
    <w:p w14:paraId="460A79A6" w14:textId="59474D1D" w:rsidR="003F13A0" w:rsidRDefault="004D4EDC" w:rsidP="003F13A0">
      <w:pPr>
        <w:pStyle w:val="NormalWeb"/>
        <w:spacing w:line="276" w:lineRule="auto"/>
        <w:rPr>
          <w:rFonts w:ascii="Arial" w:hAnsi="Arial" w:cs="Arial"/>
          <w:sz w:val="20"/>
          <w:szCs w:val="20"/>
        </w:rPr>
      </w:pPr>
      <w:r w:rsidRPr="00931B8D">
        <w:rPr>
          <w:rFonts w:ascii="Arial" w:hAnsi="Arial" w:cs="Arial"/>
          <w:sz w:val="20"/>
          <w:szCs w:val="20"/>
        </w:rPr>
        <w:t>Con el propósito de consolidar la comprensión de los tipos de sanciones establecidos por la normativa colombiana para la prevención del lavado de activos y la financiación del terrorismo, se presenta a continuación un recurso de audio que desarrolla, de manera clara y accesible, las características de las sanciones administrativas, penales y financieras, así como las consecuencias que su incumplimiento genera para las organizaciones dentro del sistema financiero.</w:t>
      </w:r>
    </w:p>
    <w:p w14:paraId="0F7B6C70" w14:textId="0E2D8CF9" w:rsidR="003F13A0" w:rsidRDefault="003F13A0" w:rsidP="003F13A0">
      <w:pPr>
        <w:pStyle w:val="NormalWeb"/>
        <w:spacing w:line="276" w:lineRule="auto"/>
        <w:rPr>
          <w:rFonts w:ascii="Arial" w:hAnsi="Arial" w:cs="Arial"/>
          <w:sz w:val="20"/>
          <w:szCs w:val="20"/>
        </w:rPr>
      </w:pPr>
      <w:r w:rsidRPr="003F13A0">
        <w:rPr>
          <w:rFonts w:ascii="Arial" w:eastAsia="Arial" w:hAnsi="Arial" w:cs="Arial"/>
          <w:noProof/>
          <w:sz w:val="22"/>
          <w:szCs w:val="22"/>
        </w:rPr>
        <mc:AlternateContent>
          <mc:Choice Requires="wps">
            <w:drawing>
              <wp:anchor distT="0" distB="0" distL="114300" distR="114300" simplePos="0" relativeHeight="251661312" behindDoc="0" locked="0" layoutInCell="1" allowOverlap="1" wp14:anchorId="0485E5A2" wp14:editId="1FC71BAB">
                <wp:simplePos x="0" y="0"/>
                <wp:positionH relativeFrom="column">
                  <wp:posOffset>0</wp:posOffset>
                </wp:positionH>
                <wp:positionV relativeFrom="paragraph">
                  <wp:posOffset>0</wp:posOffset>
                </wp:positionV>
                <wp:extent cx="5412105" cy="731520"/>
                <wp:effectExtent l="0" t="0" r="0" b="0"/>
                <wp:wrapNone/>
                <wp:docPr id="1204254684"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A6BD108" w14:textId="77777777" w:rsidR="003F13A0" w:rsidRDefault="003F13A0" w:rsidP="003F13A0">
                            <w:pPr>
                              <w:spacing w:line="275" w:lineRule="auto"/>
                              <w:jc w:val="center"/>
                              <w:rPr>
                                <w:b/>
                              </w:rPr>
                            </w:pPr>
                            <w:r w:rsidRPr="007E4FA3">
                              <w:rPr>
                                <w:b/>
                                <w:color w:val="FFFFFF"/>
                              </w:rPr>
                              <w:t>Podcast_Instruccional_CF</w:t>
                            </w:r>
                            <w:r>
                              <w:rPr>
                                <w:b/>
                                <w:color w:val="FFFFFF"/>
                              </w:rPr>
                              <w:t>02</w:t>
                            </w:r>
                            <w:r w:rsidRPr="007E4FA3">
                              <w:rPr>
                                <w:b/>
                                <w:color w:val="FFFFFF"/>
                              </w:rPr>
                              <w:t>_</w:t>
                            </w:r>
                            <w:r>
                              <w:rPr>
                                <w:b/>
                                <w:color w:val="FFFFFF"/>
                              </w:rPr>
                              <w:t>13330034</w:t>
                            </w:r>
                          </w:p>
                        </w:txbxContent>
                      </wps:txbx>
                      <wps:bodyPr spcFirstLastPara="1" wrap="square" lIns="91425" tIns="45700" rIns="91425" bIns="45700" anchor="ctr" anchorCtr="0">
                        <a:noAutofit/>
                      </wps:bodyPr>
                    </wps:wsp>
                  </a:graphicData>
                </a:graphic>
              </wp:anchor>
            </w:drawing>
          </mc:Choice>
          <mc:Fallback>
            <w:pict>
              <v:rect w14:anchorId="0485E5A2" id="Rectángulo 1" o:spid="_x0000_s1033" style="position:absolute;margin-left:0;margin-top:0;width:426.15pt;height:57.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" fillcolor="#39a900" strokecolor="#42719b" strokeweight="1pt">
                <v:stroke startarrowwidth="narrow" startarrowlength="short" endarrowwidth="narrow" endarrowlength="short" miterlimit="5243f"/>
                <v:textbox inset="2.53958mm,1.2694mm,2.53958mm,1.2694mm">
                  <w:txbxContent>
                    <w:p w14:paraId="5A6BD108" w14:textId="77777777" w:rsidR="003F13A0" w:rsidRDefault="003F13A0" w:rsidP="003F13A0">
                      <w:pPr>
                        <w:spacing w:line="275" w:lineRule="auto"/>
                        <w:jc w:val="center"/>
                        <w:rPr>
                          <w:b/>
                        </w:rPr>
                      </w:pPr>
                      <w:r w:rsidRPr="007E4FA3">
                        <w:rPr>
                          <w:b/>
                          <w:color w:val="FFFFFF"/>
                        </w:rPr>
                        <w:t>Podcast_Instruccional_CF</w:t>
                      </w:r>
                      <w:r>
                        <w:rPr>
                          <w:b/>
                          <w:color w:val="FFFFFF"/>
                        </w:rPr>
                        <w:t>02</w:t>
                      </w:r>
                      <w:r w:rsidRPr="007E4FA3">
                        <w:rPr>
                          <w:b/>
                          <w:color w:val="FFFFFF"/>
                        </w:rPr>
                        <w:t>_</w:t>
                      </w:r>
                      <w:r>
                        <w:rPr>
                          <w:b/>
                          <w:color w:val="FFFFFF"/>
                        </w:rPr>
                        <w:t>13330034</w:t>
                      </w:r>
                    </w:p>
                  </w:txbxContent>
                </v:textbox>
              </v:rect>
            </w:pict>
          </mc:Fallback>
        </mc:AlternateContent>
      </w:r>
    </w:p>
    <w:p w14:paraId="32C8F2EB" w14:textId="77777777" w:rsidR="003F13A0" w:rsidRDefault="003F13A0" w:rsidP="003F13A0">
      <w:pPr>
        <w:pStyle w:val="NormalWeb"/>
        <w:spacing w:line="276" w:lineRule="auto"/>
        <w:rPr>
          <w:rFonts w:ascii="Arial" w:hAnsi="Arial" w:cs="Arial"/>
          <w:sz w:val="20"/>
          <w:szCs w:val="20"/>
        </w:rPr>
      </w:pPr>
    </w:p>
    <w:p w14:paraId="3320C023" w14:textId="77777777" w:rsidR="006D57BE" w:rsidRDefault="006D57BE" w:rsidP="003F13A0">
      <w:pPr>
        <w:pStyle w:val="NormalWeb"/>
        <w:spacing w:line="276" w:lineRule="auto"/>
        <w:rPr>
          <w:rFonts w:ascii="Arial" w:hAnsi="Arial" w:cs="Arial"/>
          <w:sz w:val="20"/>
          <w:szCs w:val="20"/>
        </w:rPr>
      </w:pPr>
    </w:p>
    <w:p w14:paraId="0FDCE3ED" w14:textId="6DDCD534" w:rsidR="003C72D8" w:rsidRDefault="003C72D8" w:rsidP="00F12296">
      <w:pPr>
        <w:pStyle w:val="NormalWeb"/>
        <w:shd w:val="clear" w:color="auto" w:fill="EAF1DD" w:themeFill="accent3" w:themeFillTint="33"/>
        <w:spacing w:line="276" w:lineRule="auto"/>
        <w:rPr>
          <w:rFonts w:ascii="Arial" w:hAnsi="Arial" w:cs="Arial"/>
          <w:sz w:val="20"/>
          <w:szCs w:val="20"/>
        </w:rPr>
      </w:pPr>
      <w:r w:rsidRPr="003C72D8">
        <w:rPr>
          <w:rFonts w:ascii="Arial" w:hAnsi="Arial" w:cs="Arial"/>
          <w:sz w:val="20"/>
          <w:szCs w:val="20"/>
        </w:rPr>
        <w:t>El recurso de audio anterior sintetiza los tres tipos de sanciones establecidos por la normativa colombiana frente al incumplimiento del sistema SARLAFT: las de orden administrativo, las de carácter penal y las de naturaleza financiera. Su comprensión integral permite dimensionar el alcance real del riesgo que enfrentan las organizaciones que no implementan adecuadamente los mecanismos de prevención del lavado de activos y la financiación del terrorismo.</w:t>
      </w:r>
    </w:p>
    <w:p w14:paraId="0826B6F7" w14:textId="38C0EE30" w:rsidR="003C72D8" w:rsidRPr="0007033F" w:rsidRDefault="003C72D8" w:rsidP="003F13A0">
      <w:pPr>
        <w:pStyle w:val="NormalWeb"/>
        <w:spacing w:line="276" w:lineRule="auto"/>
        <w:rPr>
          <w:rFonts w:ascii="Arial" w:hAnsi="Arial" w:cs="Arial"/>
          <w:sz w:val="20"/>
          <w:szCs w:val="20"/>
        </w:rPr>
      </w:pPr>
      <w:r w:rsidRPr="003C72D8">
        <w:rPr>
          <w:rFonts w:ascii="Arial" w:hAnsi="Arial" w:cs="Arial"/>
          <w:sz w:val="20"/>
          <w:szCs w:val="20"/>
        </w:rPr>
        <w:t>El conocimiento de las sanciones y sus consecuencias sobre las organizaciones pone de manifiesto la importancia de contar con sistemas robustos de gestión documental que respalden el cumplimiento normativo y sustenten las decisiones adoptadas en materia de prevención. La conservación adecuada de documentos e información constituye, precisamente, uno de los pilares fundamentales sobre los que se soporta la operación del sistema SARLAFT dentro de las entidades vigiladas.</w:t>
      </w:r>
    </w:p>
    <w:p w14:paraId="08E03E65" w14:textId="62D7B8B4" w:rsidR="00B90167" w:rsidRPr="0007033F" w:rsidRDefault="0007033F" w:rsidP="0007033F">
      <w:pPr>
        <w:pStyle w:val="Ttulo3"/>
        <w:rPr>
          <w:b/>
          <w:color w:val="auto"/>
          <w:sz w:val="20"/>
          <w:szCs w:val="20"/>
        </w:rPr>
      </w:pPr>
      <w:r w:rsidRPr="00827095">
        <w:rPr>
          <w:b/>
          <w:color w:val="auto"/>
          <w:sz w:val="20"/>
          <w:szCs w:val="20"/>
        </w:rPr>
        <w:t>6. Conservación de documentos e información</w:t>
      </w:r>
    </w:p>
    <w:p w14:paraId="4C200B13" w14:textId="77777777" w:rsidR="0007033F" w:rsidRPr="0007033F" w:rsidRDefault="0007033F"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 xml:space="preserve">La conservación de documentos e información constituye un aspecto fundamental dentro del sistema SARLAFT, ya que permite a las organizaciones mantener registros claros y verificables de las operaciones </w:t>
      </w:r>
      <w:r w:rsidRPr="0007033F">
        <w:rPr>
          <w:rFonts w:eastAsia="Times New Roman"/>
          <w:sz w:val="20"/>
          <w:szCs w:val="20"/>
          <w:lang w:eastAsia="es-CO"/>
        </w:rPr>
        <w:lastRenderedPageBreak/>
        <w:t>realizadas por sus clientes. Estos registros facilitan la trazabilidad de las transacciones financieras y contribuyen al cumplimiento de las disposiciones legales relacionadas con la prevención del lavado de activos y la financiación del terrorismo.</w:t>
      </w:r>
    </w:p>
    <w:p w14:paraId="0455B3D8" w14:textId="77777777" w:rsidR="0007033F" w:rsidRPr="0007033F" w:rsidRDefault="0007033F" w:rsidP="00827095">
      <w:pPr>
        <w:shd w:val="clear" w:color="auto" w:fill="EAF1DD" w:themeFill="accent3" w:themeFillTint="33"/>
        <w:spacing w:before="100" w:beforeAutospacing="1" w:after="100" w:afterAutospacing="1"/>
        <w:rPr>
          <w:rFonts w:eastAsia="Times New Roman"/>
          <w:sz w:val="20"/>
          <w:szCs w:val="20"/>
          <w:lang w:eastAsia="es-CO"/>
        </w:rPr>
      </w:pPr>
      <w:r w:rsidRPr="0007033F">
        <w:rPr>
          <w:rFonts w:eastAsia="Times New Roman"/>
          <w:sz w:val="20"/>
          <w:szCs w:val="20"/>
          <w:lang w:eastAsia="es-CO"/>
        </w:rPr>
        <w:t>En el marco de los procesos de control interno, las entidades deben garantizar que la información relacionada con la identificación de los clientes, las operaciones realizadas y los reportes efectuados a las autoridades competentes sea almacenada de manera segura y organizada. La adecuada conservación de estos documentos permite que las organizaciones puedan responder oportunamente a requerimientos de información por parte de los organismos de supervisión y control.</w:t>
      </w:r>
    </w:p>
    <w:p w14:paraId="66E11412" w14:textId="77777777" w:rsidR="0007033F" w:rsidRPr="0007033F" w:rsidRDefault="0007033F"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la gestión adecuada de la documentación contribuye a fortalecer la transparencia y la confiabilidad de los procesos institucionales. La disponibilidad de información clara y actualizada facilita la realización de auditorías internas y externas, permite el análisis de las operaciones financieras y apoya las investigaciones relacionadas con posibles actividades ilícitas dentro del sistema económico.</w:t>
      </w:r>
    </w:p>
    <w:p w14:paraId="63CBF5FD" w14:textId="77777777" w:rsidR="0007033F" w:rsidRPr="0007033F" w:rsidRDefault="0007033F"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Para garantizar el adecuado manejo de la información dentro del sistema SARLAFT, las organizaciones deben implementar políticas y procedimientos que regulen la conservación, almacenamiento y protección de los documentos relacionados con las operaciones financieras y la información de los clientes.</w:t>
      </w:r>
    </w:p>
    <w:p w14:paraId="15257968" w14:textId="0D1C2D49" w:rsidR="0007033F" w:rsidRPr="0007033F" w:rsidRDefault="0007033F" w:rsidP="0007033F">
      <w:pPr>
        <w:pStyle w:val="Normal0"/>
        <w:rPr>
          <w:b/>
          <w:sz w:val="20"/>
          <w:szCs w:val="20"/>
        </w:rPr>
      </w:pPr>
      <w:r w:rsidRPr="0007033F">
        <w:rPr>
          <w:b/>
          <w:sz w:val="20"/>
          <w:szCs w:val="20"/>
        </w:rPr>
        <w:t>Tabla 7.</w:t>
      </w:r>
      <w:r w:rsidRPr="0007033F">
        <w:rPr>
          <w:sz w:val="20"/>
          <w:szCs w:val="20"/>
        </w:rPr>
        <w:t xml:space="preserve"> Documentos e información que deben conservar las organizaciones</w:t>
      </w:r>
    </w:p>
    <w:tbl>
      <w:tblPr>
        <w:tblStyle w:val="Tabladecuadrcula4"/>
        <w:tblW w:w="0" w:type="auto"/>
        <w:tblLook w:val="04A0" w:firstRow="1" w:lastRow="0" w:firstColumn="1" w:lastColumn="0" w:noHBand="0" w:noVBand="1"/>
      </w:tblPr>
      <w:tblGrid>
        <w:gridCol w:w="2985"/>
        <w:gridCol w:w="6977"/>
      </w:tblGrid>
      <w:tr w:rsidR="0007033F" w:rsidRPr="0007033F" w14:paraId="24ADB107" w14:textId="77777777" w:rsidTr="00873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C5B3C" w14:textId="77777777" w:rsidR="0007033F" w:rsidRPr="0007033F" w:rsidRDefault="0007033F" w:rsidP="0007033F">
            <w:pPr>
              <w:jc w:val="center"/>
              <w:rPr>
                <w:rFonts w:eastAsia="Times New Roman"/>
                <w:b w:val="0"/>
                <w:bCs w:val="0"/>
                <w:sz w:val="20"/>
                <w:szCs w:val="20"/>
                <w:lang w:eastAsia="es-CO"/>
              </w:rPr>
            </w:pPr>
            <w:r w:rsidRPr="0007033F">
              <w:rPr>
                <w:rFonts w:eastAsia="Times New Roman"/>
                <w:sz w:val="20"/>
                <w:szCs w:val="20"/>
                <w:lang w:eastAsia="es-CO"/>
              </w:rPr>
              <w:t>Tipo de documento</w:t>
            </w:r>
          </w:p>
        </w:tc>
        <w:tc>
          <w:tcPr>
            <w:tcW w:w="0" w:type="auto"/>
            <w:hideMark/>
          </w:tcPr>
          <w:p w14:paraId="64F4F6D2" w14:textId="77777777" w:rsidR="0007033F" w:rsidRPr="0007033F" w:rsidRDefault="0007033F" w:rsidP="0007033F">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Descripción</w:t>
            </w:r>
          </w:p>
        </w:tc>
      </w:tr>
      <w:tr w:rsidR="0007033F" w:rsidRPr="0007033F" w14:paraId="1DF236AE" w14:textId="77777777" w:rsidTr="00873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D321C"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Documentos de identificación del cliente</w:t>
            </w:r>
          </w:p>
        </w:tc>
        <w:tc>
          <w:tcPr>
            <w:tcW w:w="0" w:type="auto"/>
            <w:hideMark/>
          </w:tcPr>
          <w:p w14:paraId="16282A7A" w14:textId="77777777" w:rsidR="0007033F" w:rsidRPr="0007033F" w:rsidRDefault="0007033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Información que permite verificar la identidad de las personas naturales o jurídicas que mantienen relaciones con la entidad.</w:t>
            </w:r>
          </w:p>
        </w:tc>
      </w:tr>
      <w:tr w:rsidR="0007033F" w:rsidRPr="0007033F" w14:paraId="72020D78" w14:textId="77777777" w:rsidTr="00873FB9">
        <w:tc>
          <w:tcPr>
            <w:cnfStyle w:val="001000000000" w:firstRow="0" w:lastRow="0" w:firstColumn="1" w:lastColumn="0" w:oddVBand="0" w:evenVBand="0" w:oddHBand="0" w:evenHBand="0" w:firstRowFirstColumn="0" w:firstRowLastColumn="0" w:lastRowFirstColumn="0" w:lastRowLastColumn="0"/>
            <w:tcW w:w="0" w:type="auto"/>
            <w:hideMark/>
          </w:tcPr>
          <w:p w14:paraId="70287911"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Registros de operaciones financieras</w:t>
            </w:r>
          </w:p>
        </w:tc>
        <w:tc>
          <w:tcPr>
            <w:tcW w:w="0" w:type="auto"/>
            <w:hideMark/>
          </w:tcPr>
          <w:p w14:paraId="5BB9626E" w14:textId="77777777" w:rsidR="0007033F" w:rsidRPr="0007033F" w:rsidRDefault="0007033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Información detallada sobre las transacciones realizadas por los clientes dentro de la organización.</w:t>
            </w:r>
          </w:p>
        </w:tc>
      </w:tr>
      <w:tr w:rsidR="0007033F" w:rsidRPr="0007033F" w14:paraId="6F97E2A3" w14:textId="77777777" w:rsidTr="00873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BA9EE"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Reportes de operaciones sospechosas</w:t>
            </w:r>
          </w:p>
        </w:tc>
        <w:tc>
          <w:tcPr>
            <w:tcW w:w="0" w:type="auto"/>
            <w:hideMark/>
          </w:tcPr>
          <w:p w14:paraId="4742FAAF" w14:textId="77777777" w:rsidR="0007033F" w:rsidRPr="0007033F" w:rsidRDefault="0007033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Documentación relacionada con los reportes enviados a las autoridades competentes sobre operaciones que presentan indicios de irregularidad.</w:t>
            </w:r>
          </w:p>
        </w:tc>
      </w:tr>
      <w:tr w:rsidR="0007033F" w:rsidRPr="0007033F" w14:paraId="43B8CF0A" w14:textId="77777777" w:rsidTr="00873FB9">
        <w:tc>
          <w:tcPr>
            <w:cnfStyle w:val="001000000000" w:firstRow="0" w:lastRow="0" w:firstColumn="1" w:lastColumn="0" w:oddVBand="0" w:evenVBand="0" w:oddHBand="0" w:evenHBand="0" w:firstRowFirstColumn="0" w:firstRowLastColumn="0" w:lastRowFirstColumn="0" w:lastRowLastColumn="0"/>
            <w:tcW w:w="0" w:type="auto"/>
            <w:hideMark/>
          </w:tcPr>
          <w:p w14:paraId="30DE89F7"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Información de conocimiento del cliente (KYC)</w:t>
            </w:r>
          </w:p>
        </w:tc>
        <w:tc>
          <w:tcPr>
            <w:tcW w:w="0" w:type="auto"/>
            <w:hideMark/>
          </w:tcPr>
          <w:p w14:paraId="645FA138" w14:textId="77777777" w:rsidR="0007033F" w:rsidRPr="0007033F" w:rsidRDefault="0007033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Datos recopilados durante el proceso de identificación y análisis del perfil financiero del cliente.</w:t>
            </w:r>
          </w:p>
        </w:tc>
      </w:tr>
      <w:tr w:rsidR="0007033F" w:rsidRPr="0007033F" w14:paraId="60C1A140" w14:textId="77777777" w:rsidTr="00873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B897A"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Registros de monitoreo de operaciones</w:t>
            </w:r>
          </w:p>
        </w:tc>
        <w:tc>
          <w:tcPr>
            <w:tcW w:w="0" w:type="auto"/>
            <w:hideMark/>
          </w:tcPr>
          <w:p w14:paraId="1E05D4CE" w14:textId="77777777" w:rsidR="0007033F" w:rsidRPr="0007033F" w:rsidRDefault="0007033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Información generada por los sistemas de control y seguimiento de transacciones financieras.</w:t>
            </w:r>
          </w:p>
        </w:tc>
      </w:tr>
      <w:tr w:rsidR="0007033F" w:rsidRPr="0007033F" w14:paraId="7CD968D7" w14:textId="77777777" w:rsidTr="00873FB9">
        <w:tc>
          <w:tcPr>
            <w:cnfStyle w:val="001000000000" w:firstRow="0" w:lastRow="0" w:firstColumn="1" w:lastColumn="0" w:oddVBand="0" w:evenVBand="0" w:oddHBand="0" w:evenHBand="0" w:firstRowFirstColumn="0" w:firstRowLastColumn="0" w:lastRowFirstColumn="0" w:lastRowLastColumn="0"/>
            <w:tcW w:w="0" w:type="auto"/>
            <w:hideMark/>
          </w:tcPr>
          <w:p w14:paraId="7F53F9D9"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Documentos de auditoría y control interno</w:t>
            </w:r>
          </w:p>
        </w:tc>
        <w:tc>
          <w:tcPr>
            <w:tcW w:w="0" w:type="auto"/>
            <w:hideMark/>
          </w:tcPr>
          <w:p w14:paraId="53A505B9" w14:textId="77777777" w:rsidR="0007033F" w:rsidRPr="0007033F" w:rsidRDefault="0007033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Informes y registros relacionados con la verificación del cumplimiento de las políticas y procedimientos del sistema SARLAFT.</w:t>
            </w:r>
          </w:p>
        </w:tc>
      </w:tr>
    </w:tbl>
    <w:p w14:paraId="6E96C81F" w14:textId="77777777" w:rsidR="0007033F" w:rsidRDefault="0007033F" w:rsidP="0007033F">
      <w:pPr>
        <w:pStyle w:val="Normal0"/>
        <w:rPr>
          <w:b/>
          <w:sz w:val="20"/>
          <w:szCs w:val="20"/>
        </w:rPr>
      </w:pPr>
    </w:p>
    <w:p w14:paraId="080163DA" w14:textId="6C956D79" w:rsidR="00625D4C" w:rsidRPr="0007033F" w:rsidRDefault="00B2213D" w:rsidP="0007033F">
      <w:pPr>
        <w:pStyle w:val="Normal0"/>
        <w:rPr>
          <w:b/>
          <w:sz w:val="20"/>
          <w:szCs w:val="20"/>
        </w:rPr>
      </w:pPr>
      <w:r w:rsidRPr="00B2213D">
        <w:rPr>
          <w:bCs/>
          <w:sz w:val="20"/>
          <w:szCs w:val="20"/>
        </w:rPr>
        <w:t xml:space="preserve">Los documentos relacionados en la tabla anterior conforman el </w:t>
      </w:r>
      <w:r w:rsidRPr="00B2213D">
        <w:rPr>
          <w:b/>
          <w:bCs/>
          <w:sz w:val="20"/>
          <w:szCs w:val="20"/>
        </w:rPr>
        <w:t>conjunto de información</w:t>
      </w:r>
      <w:r w:rsidRPr="00B2213D">
        <w:rPr>
          <w:bCs/>
          <w:sz w:val="20"/>
          <w:szCs w:val="20"/>
        </w:rPr>
        <w:t xml:space="preserve"> que las organizaciones deben conservar para garantizar la trazabilidad de sus operaciones y el cumplimiento de sus obligaciones dentro del sistema SARLAFT. La adecuada gestión de estos registros es el fundamento de los procesos de gestión documental, cuya importancia se analiza en el siguiente apartado.</w:t>
      </w:r>
    </w:p>
    <w:p w14:paraId="372E7AF5" w14:textId="77777777" w:rsidR="0007033F" w:rsidRPr="0007033F" w:rsidRDefault="0007033F" w:rsidP="0007033F">
      <w:pPr>
        <w:pStyle w:val="Normal0"/>
        <w:rPr>
          <w:b/>
          <w:sz w:val="20"/>
          <w:szCs w:val="20"/>
        </w:rPr>
      </w:pPr>
    </w:p>
    <w:p w14:paraId="7EAB72FD" w14:textId="26436091" w:rsidR="0050514F" w:rsidRPr="0007033F" w:rsidRDefault="0007033F" w:rsidP="0007033F">
      <w:pPr>
        <w:pStyle w:val="Normal0"/>
        <w:rPr>
          <w:b/>
          <w:sz w:val="20"/>
          <w:szCs w:val="20"/>
        </w:rPr>
      </w:pPr>
      <w:r w:rsidRPr="0007033F">
        <w:rPr>
          <w:b/>
          <w:sz w:val="20"/>
          <w:szCs w:val="20"/>
        </w:rPr>
        <w:t>6.1 Importancia de la gestión documental</w:t>
      </w:r>
    </w:p>
    <w:p w14:paraId="0B8B88DA" w14:textId="77777777" w:rsidR="0007033F" w:rsidRDefault="0007033F" w:rsidP="0007033F">
      <w:pPr>
        <w:pStyle w:val="NormalWeb"/>
        <w:spacing w:line="276" w:lineRule="auto"/>
        <w:rPr>
          <w:rFonts w:ascii="Arial" w:hAnsi="Arial" w:cs="Arial"/>
          <w:sz w:val="20"/>
          <w:szCs w:val="20"/>
        </w:rPr>
      </w:pPr>
      <w:r w:rsidRPr="0007033F">
        <w:rPr>
          <w:rFonts w:ascii="Arial" w:hAnsi="Arial" w:cs="Arial"/>
          <w:sz w:val="20"/>
          <w:szCs w:val="20"/>
        </w:rPr>
        <w:t>La gestión documental es un proceso fundamental dentro de las organizaciones, especialmente en aquellas que manejan información financiera y deben cumplir con las disposiciones relacionadas con la prevención del lavado de activos y la financiación del terrorismo. Este proceso consiste en la organización, almacenamiento, control y conservación de los documentos que respaldan las operaciones realizadas por la entidad y la información relacionada con sus clientes.</w:t>
      </w:r>
    </w:p>
    <w:p w14:paraId="7F50EC9C" w14:textId="5CDA40DA" w:rsidR="00953CD9" w:rsidRDefault="00953CD9" w:rsidP="0007033F">
      <w:pPr>
        <w:pStyle w:val="NormalWeb"/>
        <w:spacing w:line="276" w:lineRule="auto"/>
        <w:rPr>
          <w:rFonts w:ascii="Arial" w:hAnsi="Arial" w:cs="Arial"/>
          <w:sz w:val="20"/>
          <w:szCs w:val="20"/>
        </w:rPr>
      </w:pPr>
      <w:r w:rsidRPr="00953CD9">
        <w:rPr>
          <w:rFonts w:ascii="Arial" w:hAnsi="Arial" w:cs="Arial"/>
          <w:sz w:val="20"/>
          <w:szCs w:val="20"/>
        </w:rPr>
        <w:lastRenderedPageBreak/>
        <w:t>En el contexto del sistema SARLAFT, la gestión documental cumple un papel estratégico al garantizar que las organizaciones conserven evidencia clara y verificable de sus operaciones. Los elementos que la conforman permiten sustentar el cumplimiento normativo ante las autoridades competentes y constituyen la base del sistema de control interno, entre los cuales se destacan los siguientes:</w:t>
      </w:r>
    </w:p>
    <w:p w14:paraId="2FB8041E" w14:textId="55222933" w:rsidR="00953CD9" w:rsidRPr="00953CD9" w:rsidRDefault="00953CD9" w:rsidP="00953CD9">
      <w:pPr>
        <w:pStyle w:val="NormalWeb"/>
        <w:numPr>
          <w:ilvl w:val="0"/>
          <w:numId w:val="39"/>
        </w:numPr>
        <w:spacing w:line="276" w:lineRule="auto"/>
        <w:rPr>
          <w:rFonts w:ascii="Arial" w:hAnsi="Arial" w:cs="Arial"/>
          <w:sz w:val="20"/>
          <w:szCs w:val="20"/>
        </w:rPr>
      </w:pPr>
      <w:commentRangeStart w:id="27"/>
      <w:r w:rsidRPr="00953CD9">
        <w:rPr>
          <w:rFonts w:ascii="Arial" w:hAnsi="Arial" w:cs="Arial"/>
          <w:b/>
          <w:bCs/>
          <w:sz w:val="20"/>
          <w:szCs w:val="20"/>
        </w:rPr>
        <w:t>Registros de transacciones financieras:</w:t>
      </w:r>
      <w:r w:rsidRPr="00953CD9">
        <w:rPr>
          <w:rFonts w:ascii="Arial" w:hAnsi="Arial" w:cs="Arial"/>
          <w:sz w:val="20"/>
          <w:szCs w:val="20"/>
        </w:rPr>
        <w:t xml:space="preserve"> documentación clara y verificable de todas las operaciones económicas realizadas por la entidad, que permite rastrear el origen y destino de los recursos y detectar movimientos inusuales o sospechosos dentro del sistema financiero. </w:t>
      </w:r>
    </w:p>
    <w:p w14:paraId="4182C924" w14:textId="659DB560" w:rsidR="00953CD9" w:rsidRPr="00953CD9" w:rsidRDefault="00953CD9" w:rsidP="00953CD9">
      <w:pPr>
        <w:pStyle w:val="NormalWeb"/>
        <w:numPr>
          <w:ilvl w:val="0"/>
          <w:numId w:val="39"/>
        </w:numPr>
        <w:spacing w:line="276" w:lineRule="auto"/>
        <w:rPr>
          <w:rFonts w:ascii="Arial" w:hAnsi="Arial" w:cs="Arial"/>
          <w:sz w:val="20"/>
          <w:szCs w:val="20"/>
        </w:rPr>
      </w:pPr>
      <w:r w:rsidRPr="00953CD9">
        <w:rPr>
          <w:rFonts w:ascii="Arial" w:hAnsi="Arial" w:cs="Arial"/>
          <w:b/>
          <w:bCs/>
          <w:sz w:val="20"/>
          <w:szCs w:val="20"/>
        </w:rPr>
        <w:t>Procesos de identificación del cliente:</w:t>
      </w:r>
      <w:r w:rsidRPr="00953CD9">
        <w:rPr>
          <w:rFonts w:ascii="Arial" w:hAnsi="Arial" w:cs="Arial"/>
          <w:sz w:val="20"/>
          <w:szCs w:val="20"/>
        </w:rPr>
        <w:t xml:space="preserve"> conjunto de procedimientos mediante los cuales la organización verifica y registra la identidad de sus clientes, con el fin de conocer su perfil de riesgo y garantizar que sus operaciones se encuentren dentro del marco legal establecido. </w:t>
      </w:r>
    </w:p>
    <w:p w14:paraId="061FA335" w14:textId="59EE040A" w:rsidR="00953CD9" w:rsidRPr="00953CD9" w:rsidRDefault="00953CD9" w:rsidP="00953CD9">
      <w:pPr>
        <w:pStyle w:val="NormalWeb"/>
        <w:numPr>
          <w:ilvl w:val="0"/>
          <w:numId w:val="39"/>
        </w:numPr>
        <w:spacing w:line="276" w:lineRule="auto"/>
        <w:rPr>
          <w:rFonts w:ascii="Arial" w:hAnsi="Arial" w:cs="Arial"/>
          <w:sz w:val="20"/>
          <w:szCs w:val="20"/>
        </w:rPr>
      </w:pPr>
      <w:r w:rsidRPr="00953CD9">
        <w:rPr>
          <w:rFonts w:ascii="Arial" w:hAnsi="Arial" w:cs="Arial"/>
          <w:b/>
          <w:bCs/>
          <w:sz w:val="20"/>
          <w:szCs w:val="20"/>
        </w:rPr>
        <w:t>Reportes a las autoridades competentes:</w:t>
      </w:r>
      <w:r w:rsidRPr="00953CD9">
        <w:rPr>
          <w:rFonts w:ascii="Arial" w:hAnsi="Arial" w:cs="Arial"/>
          <w:sz w:val="20"/>
          <w:szCs w:val="20"/>
        </w:rPr>
        <w:t xml:space="preserve"> informes periódicos que las entidades están obligadas a presentar ante los organismos de supervisión y control, con el propósito de comunicar operaciones sospechosas o situaciones que puedan estar relacionadas con el lavado de activos o la financiación del terrorismo.</w:t>
      </w:r>
      <w:commentRangeEnd w:id="27"/>
      <w:r w:rsidRPr="00953CD9">
        <w:rPr>
          <w:rStyle w:val="Refdecomentario"/>
          <w:rFonts w:ascii="Arial" w:hAnsi="Arial" w:cs="Arial"/>
          <w:sz w:val="20"/>
          <w:szCs w:val="20"/>
        </w:rPr>
        <w:commentReference w:id="27"/>
      </w:r>
    </w:p>
    <w:p w14:paraId="29B44AE0" w14:textId="3F47BD2B" w:rsidR="00953CD9" w:rsidRDefault="00953CD9" w:rsidP="0007033F">
      <w:pPr>
        <w:pStyle w:val="NormalWeb"/>
        <w:spacing w:line="276" w:lineRule="auto"/>
        <w:rPr>
          <w:rFonts w:ascii="Arial" w:hAnsi="Arial" w:cs="Arial"/>
          <w:sz w:val="20"/>
          <w:szCs w:val="20"/>
        </w:rPr>
      </w:pPr>
      <w:r w:rsidRPr="00953CD9">
        <w:rPr>
          <w:rFonts w:ascii="Arial" w:hAnsi="Arial" w:cs="Arial"/>
          <w:sz w:val="20"/>
          <w:szCs w:val="20"/>
        </w:rPr>
        <w:t xml:space="preserve">Los tres elementos descritos constituyen una fuente de información esencial para el seguimiento de las operaciones y el análisis de posibles situaciones de riesgo. Su adecuada gestión no solo respalda el cumplimiento de las obligaciones regulatorias establecidas por las autoridades de supervisión y control, sino que fortalece la capacidad de la organización para responder oportunamente ante procesos de auditoría, supervisión e investigación relacionados con la prevención del lavado de activos y la financiación del </w:t>
      </w:r>
      <w:r w:rsidRPr="00953CD9">
        <w:rPr>
          <w:rFonts w:ascii="Arial" w:hAnsi="Arial" w:cs="Arial"/>
          <w:sz w:val="20"/>
          <w:szCs w:val="20"/>
        </w:rPr>
        <w:t>terrorismo</w:t>
      </w:r>
      <w:r>
        <w:rPr>
          <w:rFonts w:ascii="Arial" w:hAnsi="Arial" w:cs="Arial"/>
          <w:sz w:val="20"/>
          <w:szCs w:val="20"/>
        </w:rPr>
        <w:t>.</w:t>
      </w:r>
    </w:p>
    <w:p w14:paraId="44013558" w14:textId="11DB6B69" w:rsidR="0007033F" w:rsidRPr="0007033F" w:rsidRDefault="0007033F" w:rsidP="00953CD9">
      <w:pPr>
        <w:pStyle w:val="NormalWeb"/>
        <w:shd w:val="clear" w:color="auto" w:fill="EAF1DD" w:themeFill="accent3" w:themeFillTint="33"/>
        <w:spacing w:line="276" w:lineRule="auto"/>
        <w:rPr>
          <w:rFonts w:ascii="Arial" w:hAnsi="Arial" w:cs="Arial"/>
          <w:sz w:val="20"/>
          <w:szCs w:val="20"/>
        </w:rPr>
      </w:pPr>
      <w:r w:rsidRPr="0007033F">
        <w:rPr>
          <w:rFonts w:ascii="Arial" w:hAnsi="Arial" w:cs="Arial"/>
          <w:sz w:val="20"/>
          <w:szCs w:val="20"/>
        </w:rPr>
        <w:t>Asimismo, una adecuada gestión documental facilita el cumplimiento de las obligaciones regulatorias establecidas por las autoridades de supervisión y control. Las organizaciones deben garantizar que la información relevante esté disponible cuando sea requerida por los organismos de control, lo cual permite apoyar procesos de auditoría, supervisión e investigación relacionados con la prevención del lavado de activos y la financiación del terrorismo.</w:t>
      </w:r>
    </w:p>
    <w:p w14:paraId="7EAFE657" w14:textId="03CD15C3" w:rsidR="00E374D2" w:rsidRDefault="00E374D2" w:rsidP="0007033F">
      <w:pPr>
        <w:pStyle w:val="NormalWeb"/>
        <w:spacing w:line="276" w:lineRule="auto"/>
        <w:rPr>
          <w:rFonts w:ascii="Arial" w:hAnsi="Arial" w:cs="Arial"/>
          <w:sz w:val="20"/>
          <w:szCs w:val="20"/>
        </w:rPr>
      </w:pPr>
      <w:r w:rsidRPr="00E374D2">
        <w:rPr>
          <w:rFonts w:ascii="Arial" w:hAnsi="Arial" w:cs="Arial"/>
          <w:sz w:val="20"/>
          <w:szCs w:val="20"/>
        </w:rPr>
        <w:t>La implementación de políticas de gestión documental contribuye a mejorar la eficiencia administrativa de las organizaciones, al facilitar la organización, conservación y consulta oportuna de la información. Entre los principales beneficios de una gestión documental adecuada se destacan los siguientes:</w:t>
      </w:r>
    </w:p>
    <w:p w14:paraId="2194EDE9" w14:textId="0043D7DA" w:rsidR="00E374D2" w:rsidRPr="00E374D2" w:rsidRDefault="00E374D2" w:rsidP="00E374D2">
      <w:pPr>
        <w:pStyle w:val="NormalWeb"/>
        <w:numPr>
          <w:ilvl w:val="0"/>
          <w:numId w:val="40"/>
        </w:numPr>
        <w:spacing w:line="276" w:lineRule="auto"/>
        <w:rPr>
          <w:rFonts w:ascii="Arial" w:hAnsi="Arial" w:cs="Arial"/>
          <w:sz w:val="20"/>
          <w:szCs w:val="20"/>
        </w:rPr>
      </w:pPr>
      <w:commentRangeStart w:id="28"/>
      <w:r w:rsidRPr="00E374D2">
        <w:rPr>
          <w:rFonts w:ascii="Arial" w:hAnsi="Arial" w:cs="Arial"/>
          <w:b/>
          <w:bCs/>
          <w:sz w:val="20"/>
          <w:szCs w:val="20"/>
        </w:rPr>
        <w:t>Acceso y consulta de información:</w:t>
      </w:r>
      <w:r w:rsidRPr="00E374D2">
        <w:rPr>
          <w:rFonts w:ascii="Arial" w:hAnsi="Arial" w:cs="Arial"/>
          <w:sz w:val="20"/>
          <w:szCs w:val="20"/>
        </w:rPr>
        <w:t xml:space="preserve"> garantiza la disponibilidad oportuna de los registros y documentos requeridos por las autoridades de supervisión, control o auditoría. </w:t>
      </w:r>
    </w:p>
    <w:p w14:paraId="6977C401" w14:textId="6A4A8835" w:rsidR="00E374D2" w:rsidRPr="00E374D2" w:rsidRDefault="00E374D2" w:rsidP="00E374D2">
      <w:pPr>
        <w:pStyle w:val="NormalWeb"/>
        <w:numPr>
          <w:ilvl w:val="0"/>
          <w:numId w:val="40"/>
        </w:numPr>
        <w:spacing w:line="276" w:lineRule="auto"/>
        <w:rPr>
          <w:rFonts w:ascii="Arial" w:hAnsi="Arial" w:cs="Arial"/>
          <w:sz w:val="20"/>
          <w:szCs w:val="20"/>
        </w:rPr>
      </w:pPr>
      <w:r w:rsidRPr="00E374D2">
        <w:rPr>
          <w:rFonts w:ascii="Arial" w:hAnsi="Arial" w:cs="Arial"/>
          <w:b/>
          <w:bCs/>
          <w:sz w:val="20"/>
          <w:szCs w:val="20"/>
        </w:rPr>
        <w:t>Conservación de registros financieros:</w:t>
      </w:r>
      <w:r w:rsidRPr="00E374D2">
        <w:rPr>
          <w:rFonts w:ascii="Arial" w:hAnsi="Arial" w:cs="Arial"/>
          <w:sz w:val="20"/>
          <w:szCs w:val="20"/>
        </w:rPr>
        <w:t xml:space="preserve"> permite mantener evidencia confiable y verificable de las operaciones realizadas por la entidad dentro del sistema financiero. </w:t>
      </w:r>
    </w:p>
    <w:p w14:paraId="32A75BB1" w14:textId="6BCB83F0" w:rsidR="00E374D2" w:rsidRPr="00E374D2" w:rsidRDefault="00E374D2" w:rsidP="00E374D2">
      <w:pPr>
        <w:pStyle w:val="NormalWeb"/>
        <w:numPr>
          <w:ilvl w:val="0"/>
          <w:numId w:val="40"/>
        </w:numPr>
        <w:spacing w:line="276" w:lineRule="auto"/>
        <w:rPr>
          <w:rFonts w:ascii="Arial" w:hAnsi="Arial" w:cs="Arial"/>
          <w:sz w:val="20"/>
          <w:szCs w:val="20"/>
        </w:rPr>
      </w:pPr>
      <w:r w:rsidRPr="00E374D2">
        <w:rPr>
          <w:rFonts w:ascii="Arial" w:hAnsi="Arial" w:cs="Arial"/>
          <w:b/>
          <w:bCs/>
          <w:sz w:val="20"/>
          <w:szCs w:val="20"/>
        </w:rPr>
        <w:t>Cumplimiento normativo:</w:t>
      </w:r>
      <w:r w:rsidRPr="00E374D2">
        <w:rPr>
          <w:rFonts w:ascii="Arial" w:hAnsi="Arial" w:cs="Arial"/>
          <w:sz w:val="20"/>
          <w:szCs w:val="20"/>
        </w:rPr>
        <w:t xml:space="preserve"> fortalece la aplicación de las disposiciones relacionadas con el sistema SARLAFT, reduciendo el riesgo de sanciones por incumplimiento. </w:t>
      </w:r>
    </w:p>
    <w:p w14:paraId="40E0865C" w14:textId="2B7B0A5E" w:rsidR="00E374D2" w:rsidRPr="00E374D2" w:rsidRDefault="00E374D2" w:rsidP="00E374D2">
      <w:pPr>
        <w:pStyle w:val="NormalWeb"/>
        <w:numPr>
          <w:ilvl w:val="0"/>
          <w:numId w:val="40"/>
        </w:numPr>
        <w:spacing w:line="276" w:lineRule="auto"/>
        <w:rPr>
          <w:rFonts w:ascii="Arial" w:hAnsi="Arial" w:cs="Arial"/>
          <w:sz w:val="20"/>
          <w:szCs w:val="20"/>
        </w:rPr>
      </w:pPr>
      <w:r w:rsidRPr="00E374D2">
        <w:rPr>
          <w:rFonts w:ascii="Arial" w:hAnsi="Arial" w:cs="Arial"/>
          <w:b/>
          <w:bCs/>
          <w:sz w:val="20"/>
          <w:szCs w:val="20"/>
        </w:rPr>
        <w:t>Protección de la información:</w:t>
      </w:r>
      <w:r w:rsidRPr="00E374D2">
        <w:rPr>
          <w:rFonts w:ascii="Arial" w:hAnsi="Arial" w:cs="Arial"/>
          <w:sz w:val="20"/>
          <w:szCs w:val="20"/>
        </w:rPr>
        <w:t xml:space="preserve"> salvaguarda los documentos y registros institucionales frente a pérdidas, alteraciones o accesos no autorizados, garantizando su integridad y confidencialidad.</w:t>
      </w:r>
      <w:commentRangeEnd w:id="28"/>
      <w:r w:rsidRPr="00E374D2">
        <w:rPr>
          <w:rStyle w:val="Refdecomentario"/>
          <w:rFonts w:ascii="Arial" w:hAnsi="Arial" w:cs="Arial"/>
          <w:sz w:val="20"/>
          <w:szCs w:val="20"/>
        </w:rPr>
        <w:commentReference w:id="28"/>
      </w:r>
    </w:p>
    <w:p w14:paraId="62C31078" w14:textId="0506F622" w:rsidR="00E374D2" w:rsidRDefault="00DF613E" w:rsidP="00E374D2">
      <w:pPr>
        <w:pStyle w:val="NormalWeb"/>
        <w:spacing w:line="276" w:lineRule="auto"/>
        <w:rPr>
          <w:rFonts w:ascii="Arial" w:hAnsi="Arial" w:cs="Arial"/>
          <w:sz w:val="20"/>
          <w:szCs w:val="20"/>
        </w:rPr>
      </w:pPr>
      <w:r w:rsidRPr="00DF613E">
        <w:rPr>
          <w:rFonts w:ascii="Arial" w:hAnsi="Arial" w:cs="Arial"/>
          <w:sz w:val="20"/>
          <w:szCs w:val="20"/>
        </w:rPr>
        <w:t>Los beneficios descritos demuestran que una gestión documental sólida no solo responde a una exigencia regulatoria, sino que se convierte en un instrumento estratégico que fortalece la transparencia, la trazabilidad de las operaciones y la capacidad de respuesta institucional frente a los procesos de supervisión y control del sistema LA/FT.</w:t>
      </w:r>
    </w:p>
    <w:p w14:paraId="0A02A12D" w14:textId="317E9095" w:rsidR="00E374D2" w:rsidRDefault="00DF613E" w:rsidP="00DF613E">
      <w:pPr>
        <w:pStyle w:val="NormalWeb"/>
        <w:shd w:val="clear" w:color="auto" w:fill="DBE5F1" w:themeFill="accent1" w:themeFillTint="33"/>
        <w:spacing w:line="276" w:lineRule="auto"/>
        <w:rPr>
          <w:rFonts w:ascii="Arial" w:hAnsi="Arial" w:cs="Arial"/>
          <w:sz w:val="20"/>
          <w:szCs w:val="20"/>
        </w:rPr>
      </w:pPr>
      <w:r w:rsidRPr="00DF613E">
        <w:rPr>
          <w:rFonts w:ascii="Arial" w:hAnsi="Arial" w:cs="Arial"/>
          <w:sz w:val="20"/>
          <w:szCs w:val="20"/>
        </w:rPr>
        <w:t xml:space="preserve">Junto a la gestión documental, la protección de la información personal y financiera de los clientes constituye otro pilar fundamental del sistema de prevención del lavado de activos y la financiación del terrorismo. El </w:t>
      </w:r>
      <w:r w:rsidRPr="00DF613E">
        <w:rPr>
          <w:rFonts w:ascii="Arial" w:hAnsi="Arial" w:cs="Arial"/>
          <w:sz w:val="20"/>
          <w:szCs w:val="20"/>
        </w:rPr>
        <w:lastRenderedPageBreak/>
        <w:t>siguiente apartado describe los mecanismos que las organizaciones deben implementar para garantizar la confidencialidad, integridad y disponibilidad de estos datos.</w:t>
      </w:r>
    </w:p>
    <w:p w14:paraId="114680BA" w14:textId="54DD9F7F" w:rsidR="0007033F" w:rsidRPr="0007033F" w:rsidRDefault="0007033F" w:rsidP="0007033F">
      <w:pPr>
        <w:pStyle w:val="Normal0"/>
        <w:rPr>
          <w:b/>
          <w:sz w:val="20"/>
          <w:szCs w:val="20"/>
        </w:rPr>
      </w:pPr>
      <w:r w:rsidRPr="0007033F">
        <w:rPr>
          <w:b/>
          <w:sz w:val="20"/>
          <w:szCs w:val="20"/>
        </w:rPr>
        <w:t>6.2 Protección de la información del cliente</w:t>
      </w:r>
    </w:p>
    <w:p w14:paraId="0FFF51DD" w14:textId="77777777" w:rsidR="0007033F" w:rsidRPr="0007033F" w:rsidRDefault="0007033F" w:rsidP="0007033F">
      <w:pPr>
        <w:pStyle w:val="NormalWeb"/>
        <w:spacing w:line="276" w:lineRule="auto"/>
        <w:rPr>
          <w:rFonts w:ascii="Arial" w:hAnsi="Arial" w:cs="Arial"/>
          <w:sz w:val="20"/>
          <w:szCs w:val="20"/>
          <w:lang w:eastAsia="es-CO"/>
        </w:rPr>
      </w:pPr>
      <w:r w:rsidRPr="0007033F">
        <w:rPr>
          <w:rFonts w:ascii="Arial" w:hAnsi="Arial" w:cs="Arial"/>
          <w:sz w:val="20"/>
          <w:szCs w:val="20"/>
        </w:rPr>
        <w:t>La protección de la información del cliente es un aspecto esencial dentro de los procesos de gestión de la información en las organizaciones, especialmente en aquellas que operan dentro del sistema financiero. Las entidades que recopilan y administran datos personales y financieros tienen la responsabilidad de garantizar que esta información sea utilizada de manera adecuada, evitando su divulgación, uso indebido o acceso no autorizado.</w:t>
      </w:r>
    </w:p>
    <w:p w14:paraId="50F44A26" w14:textId="77777777" w:rsidR="0007033F" w:rsidRPr="0007033F" w:rsidRDefault="0007033F" w:rsidP="00DF613E">
      <w:pPr>
        <w:pStyle w:val="NormalWeb"/>
        <w:shd w:val="clear" w:color="auto" w:fill="F2DBDB" w:themeFill="accent2" w:themeFillTint="33"/>
        <w:spacing w:line="276" w:lineRule="auto"/>
        <w:rPr>
          <w:rFonts w:ascii="Arial" w:hAnsi="Arial" w:cs="Arial"/>
          <w:sz w:val="20"/>
          <w:szCs w:val="20"/>
        </w:rPr>
      </w:pPr>
      <w:r w:rsidRPr="0007033F">
        <w:rPr>
          <w:rFonts w:ascii="Arial" w:hAnsi="Arial" w:cs="Arial"/>
          <w:sz w:val="20"/>
          <w:szCs w:val="20"/>
        </w:rPr>
        <w:t>En el contexto del sistema SARLAFT, la información del cliente es fundamental para los procesos de conocimiento del cliente (KYC), monitoreo de operaciones y prevención del lavado de activos y la financiación del terrorismo. Por esta razón, las organizaciones deben implementar mecanismos que permitan proteger la confidencialidad, integridad y disponibilidad de los datos recopilados durante las relaciones comerciales o financieras.</w:t>
      </w:r>
    </w:p>
    <w:p w14:paraId="5FC0E8ED" w14:textId="3652625B" w:rsidR="0011542F" w:rsidRDefault="0011542F" w:rsidP="0007033F">
      <w:pPr>
        <w:pStyle w:val="NormalWeb"/>
        <w:spacing w:line="276" w:lineRule="auto"/>
        <w:rPr>
          <w:rFonts w:ascii="Arial" w:hAnsi="Arial" w:cs="Arial"/>
          <w:sz w:val="20"/>
          <w:szCs w:val="20"/>
        </w:rPr>
      </w:pPr>
      <w:r w:rsidRPr="0011542F">
        <w:rPr>
          <w:rFonts w:ascii="Arial" w:hAnsi="Arial" w:cs="Arial"/>
          <w:sz w:val="20"/>
          <w:szCs w:val="20"/>
        </w:rPr>
        <w:t>El marco legal colombiano respalda la protección de la información del cliente mediante disposiciones que regulan su tratamiento, almacenamiento y uso. En ese contexto, las organizaciones deben adoptar medidas concretas que garanticen la confidencialidad e integridad de los datos recopilados, entre las cuales se destacan las siguientes:</w:t>
      </w:r>
    </w:p>
    <w:p w14:paraId="5A951739" w14:textId="116529AA" w:rsidR="0004388F" w:rsidRPr="0004388F" w:rsidRDefault="0004388F" w:rsidP="0004388F">
      <w:pPr>
        <w:pStyle w:val="NormalWeb"/>
        <w:numPr>
          <w:ilvl w:val="0"/>
          <w:numId w:val="41"/>
        </w:numPr>
        <w:spacing w:line="276" w:lineRule="auto"/>
        <w:rPr>
          <w:rFonts w:ascii="Arial" w:hAnsi="Arial" w:cs="Arial"/>
          <w:sz w:val="20"/>
          <w:szCs w:val="20"/>
        </w:rPr>
      </w:pPr>
      <w:commentRangeStart w:id="29"/>
      <w:r w:rsidRPr="0004388F">
        <w:rPr>
          <w:rFonts w:ascii="Arial" w:hAnsi="Arial" w:cs="Arial"/>
          <w:b/>
          <w:bCs/>
          <w:sz w:val="20"/>
          <w:szCs w:val="20"/>
        </w:rPr>
        <w:t>Políticas de seguridad de la información:</w:t>
      </w:r>
      <w:r w:rsidRPr="0004388F">
        <w:rPr>
          <w:rFonts w:ascii="Arial" w:hAnsi="Arial" w:cs="Arial"/>
          <w:sz w:val="20"/>
          <w:szCs w:val="20"/>
        </w:rPr>
        <w:t xml:space="preserve"> lineamientos internos que establecen los criterios para el manejo, protección y uso adecuado de los datos personales y financieros dentro de la organización. </w:t>
      </w:r>
    </w:p>
    <w:p w14:paraId="24A8D640" w14:textId="2AE69AEC" w:rsidR="0004388F" w:rsidRPr="0004388F" w:rsidRDefault="0004388F" w:rsidP="0004388F">
      <w:pPr>
        <w:pStyle w:val="NormalWeb"/>
        <w:numPr>
          <w:ilvl w:val="0"/>
          <w:numId w:val="41"/>
        </w:numPr>
        <w:spacing w:line="276" w:lineRule="auto"/>
        <w:rPr>
          <w:rFonts w:ascii="Arial" w:hAnsi="Arial" w:cs="Arial"/>
          <w:sz w:val="20"/>
          <w:szCs w:val="20"/>
        </w:rPr>
      </w:pPr>
      <w:r w:rsidRPr="0004388F">
        <w:rPr>
          <w:rFonts w:ascii="Arial" w:hAnsi="Arial" w:cs="Arial"/>
          <w:b/>
          <w:bCs/>
          <w:sz w:val="20"/>
          <w:szCs w:val="20"/>
        </w:rPr>
        <w:t>Control de acceso:</w:t>
      </w:r>
      <w:r w:rsidRPr="0004388F">
        <w:rPr>
          <w:rFonts w:ascii="Arial" w:hAnsi="Arial" w:cs="Arial"/>
          <w:sz w:val="20"/>
          <w:szCs w:val="20"/>
        </w:rPr>
        <w:t xml:space="preserve"> mecanismos que restringen el ingreso a los sistemas de información, garantizando que solo el personal autorizado pueda consultar o modificar los datos de los clientes. </w:t>
      </w:r>
    </w:p>
    <w:p w14:paraId="7C302858" w14:textId="02F77F70" w:rsidR="0004388F" w:rsidRPr="0004388F" w:rsidRDefault="0004388F" w:rsidP="0004388F">
      <w:pPr>
        <w:pStyle w:val="NormalWeb"/>
        <w:numPr>
          <w:ilvl w:val="0"/>
          <w:numId w:val="41"/>
        </w:numPr>
        <w:spacing w:line="276" w:lineRule="auto"/>
        <w:rPr>
          <w:rFonts w:ascii="Arial" w:hAnsi="Arial" w:cs="Arial"/>
          <w:sz w:val="20"/>
          <w:szCs w:val="20"/>
        </w:rPr>
      </w:pPr>
      <w:r w:rsidRPr="0004388F">
        <w:rPr>
          <w:rFonts w:ascii="Arial" w:hAnsi="Arial" w:cs="Arial"/>
          <w:b/>
          <w:bCs/>
          <w:sz w:val="20"/>
          <w:szCs w:val="20"/>
        </w:rPr>
        <w:t>Herramientas tecnológicas de protección:</w:t>
      </w:r>
      <w:r w:rsidRPr="0004388F">
        <w:rPr>
          <w:rFonts w:ascii="Arial" w:hAnsi="Arial" w:cs="Arial"/>
          <w:sz w:val="20"/>
          <w:szCs w:val="20"/>
        </w:rPr>
        <w:t xml:space="preserve"> recursos digitales implementados para salvaguardar los datos almacenados frente a accesos no autorizados, pérdidas o alteraciones. </w:t>
      </w:r>
    </w:p>
    <w:p w14:paraId="5E88A2AA" w14:textId="2C869DFC" w:rsidR="0004388F" w:rsidRPr="0004388F" w:rsidRDefault="0004388F" w:rsidP="0004388F">
      <w:pPr>
        <w:pStyle w:val="NormalWeb"/>
        <w:numPr>
          <w:ilvl w:val="0"/>
          <w:numId w:val="41"/>
        </w:numPr>
        <w:spacing w:line="276" w:lineRule="auto"/>
        <w:rPr>
          <w:rFonts w:ascii="Arial" w:hAnsi="Arial" w:cs="Arial"/>
          <w:sz w:val="20"/>
          <w:szCs w:val="20"/>
        </w:rPr>
      </w:pPr>
      <w:r w:rsidRPr="0004388F">
        <w:rPr>
          <w:rFonts w:ascii="Arial" w:hAnsi="Arial" w:cs="Arial"/>
          <w:b/>
          <w:bCs/>
          <w:sz w:val="20"/>
          <w:szCs w:val="20"/>
        </w:rPr>
        <w:t>Capacitación del personal:</w:t>
      </w:r>
      <w:r w:rsidRPr="0004388F">
        <w:rPr>
          <w:rFonts w:ascii="Arial" w:hAnsi="Arial" w:cs="Arial"/>
          <w:sz w:val="20"/>
          <w:szCs w:val="20"/>
        </w:rPr>
        <w:t xml:space="preserve"> formación continua dirigida a los colaboradores de la organización sobre el manejo responsable y confidencial de la información sensible de los clientes. </w:t>
      </w:r>
    </w:p>
    <w:p w14:paraId="3AD546C6" w14:textId="49AD25EC" w:rsidR="0004388F" w:rsidRPr="0004388F" w:rsidRDefault="0004388F" w:rsidP="0004388F">
      <w:pPr>
        <w:pStyle w:val="NormalWeb"/>
        <w:numPr>
          <w:ilvl w:val="0"/>
          <w:numId w:val="41"/>
        </w:numPr>
        <w:spacing w:line="276" w:lineRule="auto"/>
        <w:rPr>
          <w:rFonts w:ascii="Arial" w:hAnsi="Arial" w:cs="Arial"/>
          <w:sz w:val="20"/>
          <w:szCs w:val="20"/>
        </w:rPr>
      </w:pPr>
      <w:r w:rsidRPr="0004388F">
        <w:rPr>
          <w:rFonts w:ascii="Arial" w:hAnsi="Arial" w:cs="Arial"/>
          <w:b/>
          <w:bCs/>
          <w:sz w:val="20"/>
          <w:szCs w:val="20"/>
        </w:rPr>
        <w:t>Procedimientos para el tratamiento de datos:</w:t>
      </w:r>
      <w:r w:rsidRPr="0004388F">
        <w:rPr>
          <w:rFonts w:ascii="Arial" w:hAnsi="Arial" w:cs="Arial"/>
          <w:sz w:val="20"/>
          <w:szCs w:val="20"/>
        </w:rPr>
        <w:t xml:space="preserve"> protocolos documentados que regulan la recopilación, procesamiento y conservación de la información personal conforme a la normativa vigente. </w:t>
      </w:r>
    </w:p>
    <w:p w14:paraId="0C0952D2" w14:textId="39E2D5AC" w:rsidR="0004388F" w:rsidRPr="0004388F" w:rsidRDefault="0004388F" w:rsidP="0004388F">
      <w:pPr>
        <w:pStyle w:val="NormalWeb"/>
        <w:numPr>
          <w:ilvl w:val="0"/>
          <w:numId w:val="41"/>
        </w:numPr>
        <w:spacing w:line="276" w:lineRule="auto"/>
        <w:rPr>
          <w:rFonts w:ascii="Arial" w:hAnsi="Arial" w:cs="Arial"/>
          <w:sz w:val="20"/>
          <w:szCs w:val="20"/>
        </w:rPr>
      </w:pPr>
      <w:r w:rsidRPr="0004388F">
        <w:rPr>
          <w:rFonts w:ascii="Arial" w:hAnsi="Arial" w:cs="Arial"/>
          <w:b/>
          <w:bCs/>
          <w:sz w:val="20"/>
          <w:szCs w:val="20"/>
        </w:rPr>
        <w:t>Monitoreo y control permanente:</w:t>
      </w:r>
      <w:r w:rsidRPr="0004388F">
        <w:rPr>
          <w:rFonts w:ascii="Arial" w:hAnsi="Arial" w:cs="Arial"/>
          <w:sz w:val="20"/>
          <w:szCs w:val="20"/>
        </w:rPr>
        <w:t xml:space="preserve"> seguimiento continuo del uso de la información dentro de la organización, con el fin de detectar y prevenir situaciones de riesgo o incumplimiento normativo.</w:t>
      </w:r>
      <w:commentRangeEnd w:id="29"/>
      <w:r w:rsidRPr="0004388F">
        <w:rPr>
          <w:rStyle w:val="Refdecomentario"/>
          <w:rFonts w:ascii="Arial" w:hAnsi="Arial" w:cs="Arial"/>
          <w:sz w:val="20"/>
          <w:szCs w:val="20"/>
        </w:rPr>
        <w:commentReference w:id="29"/>
      </w:r>
    </w:p>
    <w:p w14:paraId="5D6B218B" w14:textId="7E31E248" w:rsidR="0011542F" w:rsidRPr="0004388F" w:rsidRDefault="0004388F" w:rsidP="0004388F">
      <w:pPr>
        <w:pStyle w:val="NormalWeb"/>
        <w:spacing w:line="276" w:lineRule="auto"/>
        <w:rPr>
          <w:rFonts w:ascii="Arial" w:hAnsi="Arial" w:cs="Arial"/>
          <w:sz w:val="20"/>
          <w:szCs w:val="20"/>
        </w:rPr>
      </w:pPr>
      <w:r w:rsidRPr="0004388F">
        <w:rPr>
          <w:rFonts w:ascii="Arial" w:hAnsi="Arial" w:cs="Arial"/>
          <w:sz w:val="20"/>
          <w:szCs w:val="20"/>
        </w:rPr>
        <w:t>Las medidas descritas configuran un sistema integral de protección que permite a las organizaciones cumplir con sus obligaciones legales en materia de privacidad, fortalecer la confianza de sus clientes y reducir el riesgo de que la información sensible sea utilizada para fines distintos a los autorizados dentro del marco del sistema LA/FT.</w:t>
      </w:r>
    </w:p>
    <w:p w14:paraId="543BAA5C" w14:textId="77777777" w:rsidR="0007033F" w:rsidRPr="0007033F" w:rsidRDefault="0007033F" w:rsidP="0004388F">
      <w:pPr>
        <w:pStyle w:val="NormalWeb"/>
        <w:shd w:val="clear" w:color="auto" w:fill="DBE5F1" w:themeFill="accent1" w:themeFillTint="33"/>
        <w:spacing w:line="276" w:lineRule="auto"/>
        <w:rPr>
          <w:rFonts w:ascii="Arial" w:hAnsi="Arial" w:cs="Arial"/>
          <w:sz w:val="20"/>
          <w:szCs w:val="20"/>
        </w:rPr>
      </w:pPr>
      <w:r w:rsidRPr="0007033F">
        <w:rPr>
          <w:rFonts w:ascii="Arial" w:hAnsi="Arial" w:cs="Arial"/>
          <w:sz w:val="20"/>
          <w:szCs w:val="20"/>
        </w:rPr>
        <w:t>De igual manera, la implementación de políticas de protección de la información contribuye a fortalecer la confianza entre las organizaciones y sus clientes. Cuando las entidades demuestran que cuentan con mecanismos adecuados para proteger los datos personales y financieros, promueven una mayor transparencia en sus operaciones y fortalecen la seguridad de la información dentro de sus sistemas.</w:t>
      </w:r>
    </w:p>
    <w:p w14:paraId="10036C3C" w14:textId="77777777" w:rsidR="0007033F" w:rsidRPr="0007033F" w:rsidRDefault="0007033F" w:rsidP="0007033F">
      <w:pPr>
        <w:pStyle w:val="NormalWeb"/>
        <w:spacing w:line="276" w:lineRule="auto"/>
        <w:rPr>
          <w:rFonts w:ascii="Arial" w:hAnsi="Arial" w:cs="Arial"/>
          <w:sz w:val="20"/>
          <w:szCs w:val="20"/>
        </w:rPr>
      </w:pPr>
      <w:r w:rsidRPr="0007033F">
        <w:rPr>
          <w:rFonts w:ascii="Arial" w:hAnsi="Arial" w:cs="Arial"/>
          <w:sz w:val="20"/>
          <w:szCs w:val="20"/>
        </w:rPr>
        <w:t>Entre algunas de las principales medidas para la protección de la información del cliente se encuentran las siguientes:</w:t>
      </w:r>
    </w:p>
    <w:p w14:paraId="6E5BE0FB" w14:textId="77777777" w:rsidR="0007033F" w:rsidRPr="0007033F" w:rsidRDefault="0007033F" w:rsidP="00C14539">
      <w:pPr>
        <w:pStyle w:val="NormalWeb"/>
        <w:numPr>
          <w:ilvl w:val="0"/>
          <w:numId w:val="17"/>
        </w:numPr>
        <w:spacing w:line="276" w:lineRule="auto"/>
        <w:rPr>
          <w:rFonts w:ascii="Arial" w:hAnsi="Arial" w:cs="Arial"/>
          <w:sz w:val="20"/>
          <w:szCs w:val="20"/>
        </w:rPr>
      </w:pPr>
      <w:commentRangeStart w:id="30"/>
      <w:r w:rsidRPr="0007033F">
        <w:rPr>
          <w:rFonts w:ascii="Arial" w:hAnsi="Arial" w:cs="Arial"/>
          <w:sz w:val="20"/>
          <w:szCs w:val="20"/>
        </w:rPr>
        <w:lastRenderedPageBreak/>
        <w:t>Implementación de políticas de seguridad de la información dentro de la organización.</w:t>
      </w:r>
    </w:p>
    <w:p w14:paraId="55D2FD4F" w14:textId="77777777" w:rsidR="0007033F" w:rsidRPr="0007033F" w:rsidRDefault="0007033F" w:rsidP="00C14539">
      <w:pPr>
        <w:pStyle w:val="NormalWeb"/>
        <w:numPr>
          <w:ilvl w:val="0"/>
          <w:numId w:val="17"/>
        </w:numPr>
        <w:spacing w:line="276" w:lineRule="auto"/>
        <w:rPr>
          <w:rFonts w:ascii="Arial" w:hAnsi="Arial" w:cs="Arial"/>
          <w:sz w:val="20"/>
          <w:szCs w:val="20"/>
        </w:rPr>
      </w:pPr>
      <w:r w:rsidRPr="0007033F">
        <w:rPr>
          <w:rFonts w:ascii="Arial" w:hAnsi="Arial" w:cs="Arial"/>
          <w:sz w:val="20"/>
          <w:szCs w:val="20"/>
        </w:rPr>
        <w:t>Control de acceso a los sistemas que contienen información de los clientes.</w:t>
      </w:r>
    </w:p>
    <w:p w14:paraId="1A4CB0EB" w14:textId="77777777" w:rsidR="0007033F" w:rsidRPr="0007033F" w:rsidRDefault="0007033F" w:rsidP="00C14539">
      <w:pPr>
        <w:pStyle w:val="NormalWeb"/>
        <w:numPr>
          <w:ilvl w:val="0"/>
          <w:numId w:val="17"/>
        </w:numPr>
        <w:spacing w:line="276" w:lineRule="auto"/>
        <w:rPr>
          <w:rFonts w:ascii="Arial" w:hAnsi="Arial" w:cs="Arial"/>
          <w:sz w:val="20"/>
          <w:szCs w:val="20"/>
        </w:rPr>
      </w:pPr>
      <w:r w:rsidRPr="0007033F">
        <w:rPr>
          <w:rFonts w:ascii="Arial" w:hAnsi="Arial" w:cs="Arial"/>
          <w:sz w:val="20"/>
          <w:szCs w:val="20"/>
        </w:rPr>
        <w:t>Uso de herramientas tecnológicas para proteger los datos almacenados.</w:t>
      </w:r>
    </w:p>
    <w:p w14:paraId="0B2BEC75" w14:textId="77777777" w:rsidR="0007033F" w:rsidRPr="0007033F" w:rsidRDefault="0007033F" w:rsidP="00C14539">
      <w:pPr>
        <w:pStyle w:val="NormalWeb"/>
        <w:numPr>
          <w:ilvl w:val="0"/>
          <w:numId w:val="17"/>
        </w:numPr>
        <w:spacing w:line="276" w:lineRule="auto"/>
        <w:rPr>
          <w:rFonts w:ascii="Arial" w:hAnsi="Arial" w:cs="Arial"/>
          <w:sz w:val="20"/>
          <w:szCs w:val="20"/>
        </w:rPr>
      </w:pPr>
      <w:r w:rsidRPr="0007033F">
        <w:rPr>
          <w:rFonts w:ascii="Arial" w:hAnsi="Arial" w:cs="Arial"/>
          <w:sz w:val="20"/>
          <w:szCs w:val="20"/>
        </w:rPr>
        <w:t>Capacitación del personal en el manejo adecuado de la información confidencial.</w:t>
      </w:r>
    </w:p>
    <w:p w14:paraId="2F1B0A1D" w14:textId="77777777" w:rsidR="0007033F" w:rsidRPr="0007033F" w:rsidRDefault="0007033F" w:rsidP="00C14539">
      <w:pPr>
        <w:pStyle w:val="NormalWeb"/>
        <w:numPr>
          <w:ilvl w:val="0"/>
          <w:numId w:val="17"/>
        </w:numPr>
        <w:spacing w:line="276" w:lineRule="auto"/>
        <w:rPr>
          <w:rFonts w:ascii="Arial" w:hAnsi="Arial" w:cs="Arial"/>
          <w:sz w:val="20"/>
          <w:szCs w:val="20"/>
        </w:rPr>
      </w:pPr>
      <w:r w:rsidRPr="0007033F">
        <w:rPr>
          <w:rFonts w:ascii="Arial" w:hAnsi="Arial" w:cs="Arial"/>
          <w:sz w:val="20"/>
          <w:szCs w:val="20"/>
        </w:rPr>
        <w:t>Establecimiento de procedimientos para el tratamiento de datos personales.</w:t>
      </w:r>
    </w:p>
    <w:p w14:paraId="3B5FCA8F" w14:textId="77777777" w:rsidR="0007033F" w:rsidRPr="0007033F" w:rsidRDefault="0007033F" w:rsidP="00C14539">
      <w:pPr>
        <w:pStyle w:val="NormalWeb"/>
        <w:numPr>
          <w:ilvl w:val="0"/>
          <w:numId w:val="17"/>
        </w:numPr>
        <w:spacing w:line="276" w:lineRule="auto"/>
        <w:rPr>
          <w:rFonts w:ascii="Arial" w:hAnsi="Arial" w:cs="Arial"/>
          <w:sz w:val="20"/>
          <w:szCs w:val="20"/>
        </w:rPr>
      </w:pPr>
      <w:r w:rsidRPr="0007033F">
        <w:rPr>
          <w:rFonts w:ascii="Arial" w:hAnsi="Arial" w:cs="Arial"/>
          <w:sz w:val="20"/>
          <w:szCs w:val="20"/>
        </w:rPr>
        <w:t>Protección de los documentos físicos y digitales que contienen información sensible.</w:t>
      </w:r>
    </w:p>
    <w:p w14:paraId="64EAA97D" w14:textId="77777777" w:rsidR="0007033F" w:rsidRPr="0007033F" w:rsidRDefault="0007033F" w:rsidP="00C14539">
      <w:pPr>
        <w:pStyle w:val="NormalWeb"/>
        <w:numPr>
          <w:ilvl w:val="0"/>
          <w:numId w:val="17"/>
        </w:numPr>
        <w:spacing w:line="276" w:lineRule="auto"/>
        <w:rPr>
          <w:rFonts w:ascii="Arial" w:hAnsi="Arial" w:cs="Arial"/>
          <w:sz w:val="20"/>
          <w:szCs w:val="20"/>
        </w:rPr>
      </w:pPr>
      <w:r w:rsidRPr="0007033F">
        <w:rPr>
          <w:rFonts w:ascii="Arial" w:hAnsi="Arial" w:cs="Arial"/>
          <w:sz w:val="20"/>
          <w:szCs w:val="20"/>
        </w:rPr>
        <w:t>Cumplimiento de la normativa relacionada con la protección de datos personales.</w:t>
      </w:r>
    </w:p>
    <w:p w14:paraId="1A843007" w14:textId="5CFB6A65" w:rsidR="0007033F" w:rsidRPr="0007033F" w:rsidRDefault="0007033F" w:rsidP="00C14539">
      <w:pPr>
        <w:pStyle w:val="NormalWeb"/>
        <w:numPr>
          <w:ilvl w:val="0"/>
          <w:numId w:val="17"/>
        </w:numPr>
        <w:spacing w:line="276" w:lineRule="auto"/>
        <w:rPr>
          <w:rFonts w:ascii="Arial" w:hAnsi="Arial" w:cs="Arial"/>
          <w:sz w:val="20"/>
          <w:szCs w:val="20"/>
        </w:rPr>
      </w:pPr>
      <w:r w:rsidRPr="0007033F">
        <w:rPr>
          <w:rFonts w:ascii="Arial" w:hAnsi="Arial" w:cs="Arial"/>
          <w:sz w:val="20"/>
          <w:szCs w:val="20"/>
        </w:rPr>
        <w:t>Monitoreo y control permanente del uso de la información dentro de la organización.</w:t>
      </w:r>
      <w:commentRangeEnd w:id="30"/>
      <w:r w:rsidR="0011542F" w:rsidRPr="0007033F">
        <w:rPr>
          <w:rStyle w:val="Refdecomentario"/>
          <w:rFonts w:ascii="Arial" w:hAnsi="Arial" w:cs="Arial"/>
          <w:sz w:val="20"/>
          <w:szCs w:val="20"/>
        </w:rPr>
        <w:commentReference w:id="30"/>
      </w:r>
    </w:p>
    <w:p w14:paraId="637180C4" w14:textId="77777777" w:rsidR="0011542F" w:rsidRDefault="0011542F" w:rsidP="0007033F">
      <w:pPr>
        <w:pStyle w:val="Normal0"/>
        <w:rPr>
          <w:b/>
          <w:sz w:val="20"/>
          <w:szCs w:val="20"/>
        </w:rPr>
      </w:pPr>
    </w:p>
    <w:p w14:paraId="2080C9C1" w14:textId="77777777" w:rsidR="0011542F" w:rsidRDefault="0011542F" w:rsidP="0007033F">
      <w:pPr>
        <w:pStyle w:val="Normal0"/>
        <w:rPr>
          <w:b/>
          <w:sz w:val="20"/>
          <w:szCs w:val="20"/>
        </w:rPr>
      </w:pPr>
    </w:p>
    <w:p w14:paraId="7E4A16FF" w14:textId="5D4D6446" w:rsidR="0004388F" w:rsidRPr="0004388F" w:rsidRDefault="0004388F" w:rsidP="0007033F">
      <w:pPr>
        <w:pStyle w:val="Normal0"/>
        <w:rPr>
          <w:bCs/>
          <w:sz w:val="20"/>
          <w:szCs w:val="20"/>
        </w:rPr>
      </w:pPr>
      <w:r w:rsidRPr="0004388F">
        <w:rPr>
          <w:bCs/>
          <w:sz w:val="20"/>
          <w:szCs w:val="20"/>
        </w:rPr>
        <w:t xml:space="preserve">La implementación de las medidas de protección descritas </w:t>
      </w:r>
      <w:r>
        <w:rPr>
          <w:bCs/>
          <w:sz w:val="20"/>
          <w:szCs w:val="20"/>
        </w:rPr>
        <w:t xml:space="preserve">anteriormente </w:t>
      </w:r>
      <w:r w:rsidRPr="0004388F">
        <w:rPr>
          <w:bCs/>
          <w:sz w:val="20"/>
          <w:szCs w:val="20"/>
        </w:rPr>
        <w:t>requiere</w:t>
      </w:r>
      <w:r>
        <w:rPr>
          <w:bCs/>
          <w:sz w:val="20"/>
          <w:szCs w:val="20"/>
        </w:rPr>
        <w:t xml:space="preserve"> de </w:t>
      </w:r>
      <w:r w:rsidRPr="0004388F">
        <w:rPr>
          <w:bCs/>
          <w:sz w:val="20"/>
          <w:szCs w:val="20"/>
        </w:rPr>
        <w:t>un soporte normativo interno que oriente de manera sistemática su aplicación dentro de la organización. Las políticas de privacidad y confidencialidad constituyen ese soporte, al establecer los lineamientos que regulan el ciclo completo de la información desde su recopilación hasta su conservación o eliminación.</w:t>
      </w:r>
    </w:p>
    <w:p w14:paraId="5CAD7CFC" w14:textId="77777777" w:rsidR="0004388F" w:rsidRDefault="0004388F" w:rsidP="0007033F">
      <w:pPr>
        <w:pStyle w:val="Normal0"/>
        <w:rPr>
          <w:b/>
          <w:sz w:val="20"/>
          <w:szCs w:val="20"/>
        </w:rPr>
      </w:pPr>
    </w:p>
    <w:p w14:paraId="0C9D272E" w14:textId="7B613EA7" w:rsidR="0007033F" w:rsidRPr="0007033F" w:rsidRDefault="0007033F" w:rsidP="0007033F">
      <w:pPr>
        <w:pStyle w:val="Normal0"/>
        <w:rPr>
          <w:b/>
          <w:sz w:val="20"/>
          <w:szCs w:val="20"/>
        </w:rPr>
      </w:pPr>
      <w:r w:rsidRPr="0007033F">
        <w:rPr>
          <w:b/>
          <w:sz w:val="20"/>
          <w:szCs w:val="20"/>
        </w:rPr>
        <w:t>6.3 Políticas de privacidad y confidencialidad</w:t>
      </w:r>
    </w:p>
    <w:p w14:paraId="3AFA53D3" w14:textId="0739014D" w:rsidR="0007033F" w:rsidRDefault="00336E0B" w:rsidP="0007033F">
      <w:pPr>
        <w:spacing w:before="100" w:beforeAutospacing="1" w:after="100" w:afterAutospacing="1"/>
        <w:rPr>
          <w:rFonts w:eastAsia="Times New Roman"/>
          <w:sz w:val="20"/>
          <w:szCs w:val="20"/>
          <w:lang w:eastAsia="es-CO"/>
        </w:rPr>
      </w:pPr>
      <w:r>
        <w:rPr>
          <w:rFonts w:eastAsia="Times New Roman"/>
          <w:noProof/>
          <w:sz w:val="20"/>
          <w:szCs w:val="20"/>
          <w:lang w:eastAsia="es-CO"/>
        </w:rPr>
        <mc:AlternateContent>
          <mc:Choice Requires="wps">
            <w:drawing>
              <wp:anchor distT="0" distB="0" distL="114300" distR="114300" simplePos="0" relativeHeight="251669504" behindDoc="0" locked="0" layoutInCell="1" allowOverlap="1" wp14:anchorId="30F391AF" wp14:editId="557571E3">
                <wp:simplePos x="0" y="0"/>
                <wp:positionH relativeFrom="column">
                  <wp:posOffset>422281</wp:posOffset>
                </wp:positionH>
                <wp:positionV relativeFrom="paragraph">
                  <wp:posOffset>935627</wp:posOffset>
                </wp:positionV>
                <wp:extent cx="5047413" cy="885302"/>
                <wp:effectExtent l="57150" t="38100" r="77470" b="86360"/>
                <wp:wrapNone/>
                <wp:docPr id="675792858" name="Rectángulo: esquinas redondeadas 25"/>
                <wp:cNvGraphicFramePr/>
                <a:graphic xmlns:a="http://schemas.openxmlformats.org/drawingml/2006/main">
                  <a:graphicData uri="http://schemas.microsoft.com/office/word/2010/wordprocessingShape">
                    <wps:wsp>
                      <wps:cNvSpPr/>
                      <wps:spPr>
                        <a:xfrm>
                          <a:off x="0" y="0"/>
                          <a:ext cx="5047413" cy="885302"/>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68B9F92" w14:textId="4A566134" w:rsidR="00336E0B" w:rsidRPr="00336E0B" w:rsidRDefault="00336E0B" w:rsidP="00336E0B">
                            <w:pPr>
                              <w:jc w:val="center"/>
                              <w:rPr>
                                <w:sz w:val="20"/>
                                <w:szCs w:val="20"/>
                              </w:rPr>
                            </w:pPr>
                            <w:r w:rsidRPr="00336E0B">
                              <w:rPr>
                                <w:sz w:val="20"/>
                                <w:szCs w:val="20"/>
                              </w:rPr>
                              <w:t>La privacidad y la confidencialidad no son opcionales: constituyen obligaciones legales y éticas que definen la forma en que las organizaciones gestionan la información de sus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F391AF" id="Rectángulo: esquinas redondeadas 25" o:spid="_x0000_s1034" style="position:absolute;margin-left:33.25pt;margin-top:73.65pt;width:397.45pt;height:69.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" fillcolor="#a7bfde [1620]" strokecolor="#4579b8 [3044]">
                <v:fill color2="#e4ecf5 [500]" rotate="t" angle="180" colors="0 #a3c4ff;22938f #bfd5ff;1 #e5eeff" focus="100%" type="gradient"/>
                <v:shadow on="t" color="black" opacity="24903f" origin=",.5" offset="0,.55556mm"/>
                <v:textbox>
                  <w:txbxContent>
                    <w:p w14:paraId="268B9F92" w14:textId="4A566134" w:rsidR="00336E0B" w:rsidRPr="00336E0B" w:rsidRDefault="00336E0B" w:rsidP="00336E0B">
                      <w:pPr>
                        <w:jc w:val="center"/>
                        <w:rPr>
                          <w:sz w:val="20"/>
                          <w:szCs w:val="20"/>
                        </w:rPr>
                      </w:pPr>
                      <w:r w:rsidRPr="00336E0B">
                        <w:rPr>
                          <w:sz w:val="20"/>
                          <w:szCs w:val="20"/>
                        </w:rPr>
                        <w:t>La privacidad y la confidencialidad no son opcionales: constituyen obligaciones legales y éticas que definen la forma en que las organizaciones gestionan la información de sus clientes.</w:t>
                      </w:r>
                    </w:p>
                  </w:txbxContent>
                </v:textbox>
              </v:roundrect>
            </w:pict>
          </mc:Fallback>
        </mc:AlternateContent>
      </w:r>
      <w:r w:rsidR="0007033F" w:rsidRPr="0007033F">
        <w:rPr>
          <w:rFonts w:eastAsia="Times New Roman"/>
          <w:sz w:val="20"/>
          <w:szCs w:val="20"/>
          <w:lang w:eastAsia="es-CO"/>
        </w:rPr>
        <w:t>Las políticas de privacidad y confidencialidad constituyen un conjunto de lineamientos y normas internas que establecen cómo las organizaciones deben recopilar, utilizar, almacenar y proteger la información personal y financiera de sus clientes. Estas políticas son fundamentales para garantizar que los datos sean manejados de manera responsable, segura y conforme a las disposiciones legales vigentes.</w:t>
      </w:r>
    </w:p>
    <w:p w14:paraId="598D9698" w14:textId="77777777" w:rsidR="00336E0B" w:rsidRPr="0007033F" w:rsidRDefault="00336E0B" w:rsidP="0007033F">
      <w:pPr>
        <w:spacing w:before="100" w:beforeAutospacing="1" w:after="100" w:afterAutospacing="1"/>
        <w:rPr>
          <w:rFonts w:eastAsia="Times New Roman"/>
          <w:sz w:val="20"/>
          <w:szCs w:val="20"/>
          <w:lang w:eastAsia="es-CO"/>
        </w:rPr>
      </w:pPr>
    </w:p>
    <w:p w14:paraId="025DBB69" w14:textId="77777777" w:rsidR="00336E0B" w:rsidRDefault="00336E0B" w:rsidP="0007033F">
      <w:pPr>
        <w:spacing w:before="100" w:beforeAutospacing="1" w:after="100" w:afterAutospacing="1"/>
        <w:rPr>
          <w:rFonts w:eastAsia="Times New Roman"/>
          <w:sz w:val="20"/>
          <w:szCs w:val="20"/>
          <w:lang w:eastAsia="es-CO"/>
        </w:rPr>
      </w:pPr>
    </w:p>
    <w:p w14:paraId="3E15E868" w14:textId="77777777" w:rsidR="00336E0B" w:rsidRDefault="00336E0B" w:rsidP="0007033F">
      <w:pPr>
        <w:spacing w:before="100" w:beforeAutospacing="1" w:after="100" w:afterAutospacing="1"/>
        <w:rPr>
          <w:rFonts w:eastAsia="Times New Roman"/>
          <w:sz w:val="20"/>
          <w:szCs w:val="20"/>
          <w:lang w:eastAsia="es-CO"/>
        </w:rPr>
      </w:pPr>
    </w:p>
    <w:p w14:paraId="306E9381" w14:textId="60EB4DD6" w:rsidR="0007033F" w:rsidRPr="0007033F" w:rsidRDefault="0007033F" w:rsidP="0007033F">
      <w:pPr>
        <w:spacing w:before="100" w:beforeAutospacing="1" w:after="100" w:afterAutospacing="1"/>
        <w:rPr>
          <w:rFonts w:eastAsia="Times New Roman"/>
          <w:sz w:val="20"/>
          <w:szCs w:val="20"/>
          <w:lang w:eastAsia="es-CO"/>
        </w:rPr>
      </w:pPr>
      <w:r w:rsidRPr="0007033F">
        <w:rPr>
          <w:rFonts w:eastAsia="Times New Roman"/>
          <w:sz w:val="20"/>
          <w:szCs w:val="20"/>
          <w:lang w:eastAsia="es-CO"/>
        </w:rPr>
        <w:t>En el contexto del sistema SARLAFT, las políticas de privacidad y confidencialidad permiten asegurar que la información obtenida durante los procesos de conocimiento del cliente, monitoreo de operaciones y reporte de transacciones sea utilizada únicamente para los fines autorizados. De esta manera, las organizaciones pueden prevenir el uso indebido de los datos y proteger la información sensible relacionada con sus clientes.</w:t>
      </w:r>
    </w:p>
    <w:p w14:paraId="1D1D8B24" w14:textId="77777777" w:rsidR="0007033F" w:rsidRDefault="0007033F" w:rsidP="007C2D8A">
      <w:pPr>
        <w:shd w:val="clear" w:color="auto" w:fill="F2DBDB" w:themeFill="accent2" w:themeFillTint="33"/>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la implementación de políticas claras de privacidad y confidencialidad fortalece la confianza entre las organizaciones y los usuarios de sus servicios. Cuando los clientes tienen la seguridad de que su información será protegida adecuadamente, se promueve una relación basada en la transparencia y el respeto por la protección de los datos personales.</w:t>
      </w:r>
    </w:p>
    <w:p w14:paraId="73F7CC68" w14:textId="3208CE57" w:rsidR="007E54CF" w:rsidRDefault="007E54CF" w:rsidP="0007033F">
      <w:pPr>
        <w:spacing w:before="100" w:beforeAutospacing="1" w:after="100" w:afterAutospacing="1"/>
        <w:rPr>
          <w:rFonts w:eastAsia="Times New Roman"/>
          <w:sz w:val="20"/>
          <w:szCs w:val="20"/>
          <w:lang w:eastAsia="es-CO"/>
        </w:rPr>
      </w:pPr>
      <w:r w:rsidRPr="007E54CF">
        <w:rPr>
          <w:rFonts w:eastAsia="Times New Roman"/>
          <w:sz w:val="20"/>
          <w:szCs w:val="20"/>
          <w:lang w:eastAsia="es-CO"/>
        </w:rPr>
        <w:t>La implementación de políticas claras de privacidad y confidencialidad genera efectos concretos sobre la relación entre la organización y sus grupos de interés, entre los cuales se destacan los siguientes:</w:t>
      </w:r>
    </w:p>
    <w:p w14:paraId="45335E79" w14:textId="2B60D673" w:rsidR="007E54CF" w:rsidRPr="007C2D8A" w:rsidRDefault="007E54CF" w:rsidP="007C2D8A">
      <w:pPr>
        <w:pStyle w:val="Prrafodelista"/>
        <w:numPr>
          <w:ilvl w:val="0"/>
          <w:numId w:val="42"/>
        </w:numPr>
        <w:spacing w:before="100" w:beforeAutospacing="1" w:after="100" w:afterAutospacing="1"/>
        <w:rPr>
          <w:rFonts w:eastAsia="Times New Roman"/>
          <w:sz w:val="20"/>
          <w:szCs w:val="20"/>
          <w:lang w:eastAsia="es-CO"/>
        </w:rPr>
      </w:pPr>
      <w:r w:rsidRPr="007C2D8A">
        <w:rPr>
          <w:rFonts w:eastAsia="Times New Roman"/>
          <w:b/>
          <w:bCs/>
          <w:sz w:val="20"/>
          <w:szCs w:val="20"/>
          <w:lang w:eastAsia="es-CO"/>
        </w:rPr>
        <w:t>Confianza institucional:</w:t>
      </w:r>
      <w:r w:rsidRPr="007C2D8A">
        <w:rPr>
          <w:rFonts w:eastAsia="Times New Roman"/>
          <w:sz w:val="20"/>
          <w:szCs w:val="20"/>
          <w:lang w:eastAsia="es-CO"/>
        </w:rPr>
        <w:t xml:space="preserve"> cuando los clientes tienen certeza de que su información será protegida adecuadamente, se fortalece el vínculo de transparencia y credibilidad entre la organización y sus usuarios.</w:t>
      </w:r>
    </w:p>
    <w:p w14:paraId="4782C75A" w14:textId="14263ACD" w:rsidR="007E54CF" w:rsidRPr="007C2D8A" w:rsidRDefault="007E54CF" w:rsidP="007C2D8A">
      <w:pPr>
        <w:pStyle w:val="Prrafodelista"/>
        <w:numPr>
          <w:ilvl w:val="0"/>
          <w:numId w:val="42"/>
        </w:numPr>
        <w:spacing w:before="100" w:beforeAutospacing="1" w:after="100" w:afterAutospacing="1"/>
        <w:rPr>
          <w:rFonts w:eastAsia="Times New Roman"/>
          <w:sz w:val="20"/>
          <w:szCs w:val="20"/>
          <w:lang w:eastAsia="es-CO"/>
        </w:rPr>
      </w:pPr>
      <w:r w:rsidRPr="007C2D8A">
        <w:rPr>
          <w:rFonts w:eastAsia="Times New Roman"/>
          <w:b/>
          <w:bCs/>
          <w:sz w:val="20"/>
          <w:szCs w:val="20"/>
          <w:lang w:eastAsia="es-CO"/>
        </w:rPr>
        <w:t>Cumplimiento normativo:</w:t>
      </w:r>
      <w:r w:rsidRPr="007C2D8A">
        <w:rPr>
          <w:rFonts w:eastAsia="Times New Roman"/>
          <w:sz w:val="20"/>
          <w:szCs w:val="20"/>
          <w:lang w:eastAsia="es-CO"/>
        </w:rPr>
        <w:t xml:space="preserve"> las políticas de privacidad permiten a las organizaciones cumplir con las disposiciones legales relacionadas con la protección de datos personales y la seguridad de la información.</w:t>
      </w:r>
    </w:p>
    <w:p w14:paraId="467955BD" w14:textId="1E0A41A7" w:rsidR="007C2D8A" w:rsidRPr="007C2D8A" w:rsidRDefault="007C2D8A" w:rsidP="007C2D8A">
      <w:pPr>
        <w:pStyle w:val="Prrafodelista"/>
        <w:numPr>
          <w:ilvl w:val="0"/>
          <w:numId w:val="42"/>
        </w:numPr>
        <w:spacing w:before="100" w:beforeAutospacing="1" w:after="100" w:afterAutospacing="1"/>
        <w:rPr>
          <w:rFonts w:eastAsia="Times New Roman"/>
          <w:sz w:val="20"/>
          <w:szCs w:val="20"/>
          <w:lang w:eastAsia="es-CO"/>
        </w:rPr>
      </w:pPr>
      <w:r w:rsidRPr="007C2D8A">
        <w:rPr>
          <w:rFonts w:eastAsia="Times New Roman"/>
          <w:b/>
          <w:bCs/>
          <w:sz w:val="20"/>
          <w:szCs w:val="20"/>
          <w:lang w:eastAsia="es-CO"/>
        </w:rPr>
        <w:lastRenderedPageBreak/>
        <w:t>Control de acceso a la información:</w:t>
      </w:r>
      <w:r w:rsidRPr="007C2D8A">
        <w:rPr>
          <w:rFonts w:eastAsia="Times New Roman"/>
          <w:sz w:val="20"/>
          <w:szCs w:val="20"/>
          <w:lang w:eastAsia="es-CO"/>
        </w:rPr>
        <w:t xml:space="preserve"> el establecimiento de procedimientos claros garantiza que solo el personal autorizado pueda gestionar la información confidencial, previniendo accesos no autorizados o usos indebidos.</w:t>
      </w:r>
    </w:p>
    <w:p w14:paraId="555A6E97" w14:textId="170D478F" w:rsidR="007E54CF" w:rsidRPr="007C2D8A" w:rsidRDefault="007E54CF" w:rsidP="007C2D8A">
      <w:pPr>
        <w:pStyle w:val="Prrafodelista"/>
        <w:numPr>
          <w:ilvl w:val="0"/>
          <w:numId w:val="42"/>
        </w:numPr>
        <w:spacing w:before="100" w:beforeAutospacing="1" w:after="100" w:afterAutospacing="1"/>
        <w:rPr>
          <w:rFonts w:eastAsia="Times New Roman"/>
          <w:sz w:val="20"/>
          <w:szCs w:val="20"/>
          <w:lang w:eastAsia="es-CO"/>
        </w:rPr>
      </w:pPr>
      <w:r w:rsidRPr="007C2D8A">
        <w:rPr>
          <w:rFonts w:eastAsia="Times New Roman"/>
          <w:b/>
          <w:bCs/>
          <w:sz w:val="20"/>
          <w:szCs w:val="20"/>
          <w:lang w:eastAsia="es-CO"/>
        </w:rPr>
        <w:t>Protección de datos sensibles:</w:t>
      </w:r>
      <w:r w:rsidRPr="007C2D8A">
        <w:rPr>
          <w:rFonts w:eastAsia="Times New Roman"/>
          <w:sz w:val="20"/>
          <w:szCs w:val="20"/>
          <w:lang w:eastAsia="es-CO"/>
        </w:rPr>
        <w:t xml:space="preserve"> la definición de responsabilidades en el manejo de la información asegura que los datos de los clientes sean utilizados únicamente para los fines autorizados dentro del marco legal vigente.</w:t>
      </w:r>
    </w:p>
    <w:p w14:paraId="5B96350E" w14:textId="1797931F" w:rsidR="007C2D8A" w:rsidRDefault="007C2D8A" w:rsidP="007C2D8A">
      <w:pPr>
        <w:spacing w:before="100" w:beforeAutospacing="1" w:after="100" w:afterAutospacing="1"/>
        <w:rPr>
          <w:rFonts w:eastAsia="Times New Roman"/>
          <w:sz w:val="20"/>
          <w:szCs w:val="20"/>
          <w:lang w:eastAsia="es-CO"/>
        </w:rPr>
      </w:pPr>
      <w:r w:rsidRPr="007C2D8A">
        <w:rPr>
          <w:rFonts w:eastAsia="Times New Roman"/>
          <w:sz w:val="20"/>
          <w:szCs w:val="20"/>
          <w:lang w:eastAsia="es-CO"/>
        </w:rPr>
        <w:t>Los cuatro aspectos descritos evidencian que las políticas de privacidad y confidencialidad no se limitan a proteger la información, sino que estructuran una cultura organizacional basada en la responsabilidad, la transparencia y el respeto por los derechos de los clientes dentro del sistema financiero colombiano.</w:t>
      </w:r>
    </w:p>
    <w:p w14:paraId="53F41062" w14:textId="4789ACE2" w:rsidR="007C2D8A" w:rsidRPr="0007033F" w:rsidRDefault="007C2D8A" w:rsidP="0007033F">
      <w:pPr>
        <w:spacing w:before="100" w:beforeAutospacing="1" w:after="100" w:afterAutospacing="1"/>
        <w:rPr>
          <w:rFonts w:eastAsia="Times New Roman"/>
          <w:sz w:val="20"/>
          <w:szCs w:val="20"/>
          <w:lang w:eastAsia="es-CO"/>
        </w:rPr>
      </w:pPr>
      <w:r w:rsidRPr="007C2D8A">
        <w:rPr>
          <w:rFonts w:eastAsia="Times New Roman"/>
          <w:sz w:val="20"/>
          <w:szCs w:val="20"/>
          <w:lang w:eastAsia="es-CO"/>
        </w:rPr>
        <w:t>Los elementos que estructuran las políticas de privacidad y confidencialidad dentro de las organizaciones abarcan aspectos técnicos, normativos y operativos que actúan de manera articulada. La siguiente tabla presenta los componentes esenciales que dichas políticas deben contemplar para garantizar una gestión responsable y segura de la información:</w:t>
      </w:r>
    </w:p>
    <w:p w14:paraId="2443A09D" w14:textId="65139176" w:rsidR="0050514F" w:rsidRPr="0007033F" w:rsidRDefault="0007033F" w:rsidP="0007033F">
      <w:pPr>
        <w:pStyle w:val="Normal0"/>
        <w:rPr>
          <w:b/>
          <w:sz w:val="20"/>
          <w:szCs w:val="20"/>
        </w:rPr>
      </w:pPr>
      <w:r w:rsidRPr="0007033F">
        <w:rPr>
          <w:b/>
          <w:sz w:val="20"/>
          <w:szCs w:val="20"/>
        </w:rPr>
        <w:t>Tabla 8.</w:t>
      </w:r>
      <w:r w:rsidRPr="0007033F">
        <w:rPr>
          <w:sz w:val="20"/>
          <w:szCs w:val="20"/>
        </w:rPr>
        <w:t xml:space="preserve"> Elementos de las políticas de privacidad y confidencialidad</w:t>
      </w:r>
    </w:p>
    <w:tbl>
      <w:tblPr>
        <w:tblStyle w:val="Tabladecuadrcula4"/>
        <w:tblW w:w="0" w:type="auto"/>
        <w:tblLook w:val="04A0" w:firstRow="1" w:lastRow="0" w:firstColumn="1" w:lastColumn="0" w:noHBand="0" w:noVBand="1"/>
      </w:tblPr>
      <w:tblGrid>
        <w:gridCol w:w="2627"/>
        <w:gridCol w:w="7335"/>
      </w:tblGrid>
      <w:tr w:rsidR="0007033F" w:rsidRPr="0007033F" w14:paraId="01C44D33" w14:textId="77777777" w:rsidTr="00873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4EA00" w14:textId="77777777" w:rsidR="0007033F" w:rsidRPr="0007033F" w:rsidRDefault="0007033F" w:rsidP="0007033F">
            <w:pPr>
              <w:jc w:val="center"/>
              <w:rPr>
                <w:rFonts w:eastAsia="Times New Roman"/>
                <w:b w:val="0"/>
                <w:bCs w:val="0"/>
                <w:sz w:val="20"/>
                <w:szCs w:val="20"/>
                <w:lang w:eastAsia="es-CO"/>
              </w:rPr>
            </w:pPr>
            <w:r w:rsidRPr="0007033F">
              <w:rPr>
                <w:rFonts w:eastAsia="Times New Roman"/>
                <w:sz w:val="20"/>
                <w:szCs w:val="20"/>
                <w:lang w:eastAsia="es-CO"/>
              </w:rPr>
              <w:t>Elemento</w:t>
            </w:r>
          </w:p>
        </w:tc>
        <w:tc>
          <w:tcPr>
            <w:tcW w:w="0" w:type="auto"/>
            <w:hideMark/>
          </w:tcPr>
          <w:p w14:paraId="1021F518" w14:textId="77777777" w:rsidR="0007033F" w:rsidRPr="0007033F" w:rsidRDefault="0007033F" w:rsidP="0007033F">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Descripción</w:t>
            </w:r>
          </w:p>
        </w:tc>
      </w:tr>
      <w:tr w:rsidR="0007033F" w:rsidRPr="0007033F" w14:paraId="3387E495" w14:textId="77777777" w:rsidTr="00873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248D6"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Recolección de información</w:t>
            </w:r>
          </w:p>
        </w:tc>
        <w:tc>
          <w:tcPr>
            <w:tcW w:w="0" w:type="auto"/>
            <w:hideMark/>
          </w:tcPr>
          <w:p w14:paraId="38411323" w14:textId="77777777" w:rsidR="0007033F" w:rsidRPr="0007033F" w:rsidRDefault="0007033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Definición de los tipos de datos que la organización puede recopilar de sus clientes y los fines para los cuales serán utilizados.</w:t>
            </w:r>
          </w:p>
        </w:tc>
      </w:tr>
      <w:tr w:rsidR="0007033F" w:rsidRPr="0007033F" w14:paraId="3E356074" w14:textId="77777777" w:rsidTr="00873FB9">
        <w:tc>
          <w:tcPr>
            <w:cnfStyle w:val="001000000000" w:firstRow="0" w:lastRow="0" w:firstColumn="1" w:lastColumn="0" w:oddVBand="0" w:evenVBand="0" w:oddHBand="0" w:evenHBand="0" w:firstRowFirstColumn="0" w:firstRowLastColumn="0" w:lastRowFirstColumn="0" w:lastRowLastColumn="0"/>
            <w:tcW w:w="0" w:type="auto"/>
            <w:hideMark/>
          </w:tcPr>
          <w:p w14:paraId="7F58EAD0"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Uso de la información</w:t>
            </w:r>
          </w:p>
        </w:tc>
        <w:tc>
          <w:tcPr>
            <w:tcW w:w="0" w:type="auto"/>
            <w:hideMark/>
          </w:tcPr>
          <w:p w14:paraId="113520BB" w14:textId="77777777" w:rsidR="0007033F" w:rsidRPr="0007033F" w:rsidRDefault="0007033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Establecimiento de los propósitos para los cuales se utilizarán los datos personales y financieros de los clientes.</w:t>
            </w:r>
          </w:p>
        </w:tc>
      </w:tr>
      <w:tr w:rsidR="0007033F" w:rsidRPr="0007033F" w14:paraId="0EA275B7" w14:textId="77777777" w:rsidTr="00873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216A9"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Protección de datos</w:t>
            </w:r>
          </w:p>
        </w:tc>
        <w:tc>
          <w:tcPr>
            <w:tcW w:w="0" w:type="auto"/>
            <w:hideMark/>
          </w:tcPr>
          <w:p w14:paraId="50EC2709" w14:textId="77777777" w:rsidR="0007033F" w:rsidRPr="0007033F" w:rsidRDefault="0007033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Implementación de medidas de seguridad para proteger la información frente a accesos no autorizados o uso indebido.</w:t>
            </w:r>
          </w:p>
        </w:tc>
      </w:tr>
      <w:tr w:rsidR="0007033F" w:rsidRPr="0007033F" w14:paraId="68D9A204" w14:textId="77777777" w:rsidTr="00873FB9">
        <w:tc>
          <w:tcPr>
            <w:cnfStyle w:val="001000000000" w:firstRow="0" w:lastRow="0" w:firstColumn="1" w:lastColumn="0" w:oddVBand="0" w:evenVBand="0" w:oddHBand="0" w:evenHBand="0" w:firstRowFirstColumn="0" w:firstRowLastColumn="0" w:lastRowFirstColumn="0" w:lastRowLastColumn="0"/>
            <w:tcW w:w="0" w:type="auto"/>
            <w:hideMark/>
          </w:tcPr>
          <w:p w14:paraId="098AA11C"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Control de acceso</w:t>
            </w:r>
          </w:p>
        </w:tc>
        <w:tc>
          <w:tcPr>
            <w:tcW w:w="0" w:type="auto"/>
            <w:hideMark/>
          </w:tcPr>
          <w:p w14:paraId="2653686B" w14:textId="6234D58C" w:rsidR="0007033F" w:rsidRPr="0007033F" w:rsidRDefault="0007033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 xml:space="preserve">Definición de quiénes dentro de la organización pueden acceder a la información y </w:t>
            </w:r>
            <w:r w:rsidR="00873FB9" w:rsidRPr="0007033F">
              <w:rPr>
                <w:rFonts w:eastAsia="Times New Roman"/>
                <w:sz w:val="20"/>
                <w:szCs w:val="20"/>
                <w:lang w:eastAsia="es-CO"/>
              </w:rPr>
              <w:t>en qué condiciones</w:t>
            </w:r>
            <w:r w:rsidRPr="0007033F">
              <w:rPr>
                <w:rFonts w:eastAsia="Times New Roman"/>
                <w:sz w:val="20"/>
                <w:szCs w:val="20"/>
                <w:lang w:eastAsia="es-CO"/>
              </w:rPr>
              <w:t>.</w:t>
            </w:r>
          </w:p>
        </w:tc>
      </w:tr>
      <w:tr w:rsidR="0007033F" w:rsidRPr="0007033F" w14:paraId="2D3969A3" w14:textId="77777777" w:rsidTr="00873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968CC"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Conservación de la información</w:t>
            </w:r>
          </w:p>
        </w:tc>
        <w:tc>
          <w:tcPr>
            <w:tcW w:w="0" w:type="auto"/>
            <w:hideMark/>
          </w:tcPr>
          <w:p w14:paraId="4FA5F874" w14:textId="77777777" w:rsidR="0007033F" w:rsidRPr="0007033F" w:rsidRDefault="0007033F" w:rsidP="0007033F">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Establecimiento de políticas para el almacenamiento y conservación segura de los datos recopilados.</w:t>
            </w:r>
          </w:p>
        </w:tc>
      </w:tr>
      <w:tr w:rsidR="0007033F" w:rsidRPr="0007033F" w14:paraId="6BBEED1B" w14:textId="77777777" w:rsidTr="00873FB9">
        <w:tc>
          <w:tcPr>
            <w:cnfStyle w:val="001000000000" w:firstRow="0" w:lastRow="0" w:firstColumn="1" w:lastColumn="0" w:oddVBand="0" w:evenVBand="0" w:oddHBand="0" w:evenHBand="0" w:firstRowFirstColumn="0" w:firstRowLastColumn="0" w:lastRowFirstColumn="0" w:lastRowLastColumn="0"/>
            <w:tcW w:w="0" w:type="auto"/>
            <w:hideMark/>
          </w:tcPr>
          <w:p w14:paraId="0E965EDF" w14:textId="77777777" w:rsidR="0007033F" w:rsidRPr="0007033F" w:rsidRDefault="0007033F" w:rsidP="0007033F">
            <w:pPr>
              <w:rPr>
                <w:rFonts w:eastAsia="Times New Roman"/>
                <w:sz w:val="20"/>
                <w:szCs w:val="20"/>
                <w:lang w:eastAsia="es-CO"/>
              </w:rPr>
            </w:pPr>
            <w:r w:rsidRPr="0007033F">
              <w:rPr>
                <w:rFonts w:eastAsia="Times New Roman"/>
                <w:sz w:val="20"/>
                <w:szCs w:val="20"/>
                <w:lang w:eastAsia="es-CO"/>
              </w:rPr>
              <w:t>Confidencialidad</w:t>
            </w:r>
          </w:p>
        </w:tc>
        <w:tc>
          <w:tcPr>
            <w:tcW w:w="0" w:type="auto"/>
            <w:hideMark/>
          </w:tcPr>
          <w:p w14:paraId="39C23D85" w14:textId="77777777" w:rsidR="0007033F" w:rsidRPr="0007033F" w:rsidRDefault="0007033F" w:rsidP="0007033F">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Compromiso de la organización y de sus colaboradores de proteger la información de los clientes y evitar su divulgación indebida.</w:t>
            </w:r>
          </w:p>
        </w:tc>
      </w:tr>
    </w:tbl>
    <w:p w14:paraId="20A4E82A" w14:textId="0A4AB579" w:rsidR="0050514F" w:rsidRPr="0007033F" w:rsidRDefault="0050514F" w:rsidP="0007033F">
      <w:pPr>
        <w:pStyle w:val="Normal0"/>
        <w:rPr>
          <w:b/>
          <w:sz w:val="20"/>
          <w:szCs w:val="20"/>
        </w:rPr>
      </w:pPr>
    </w:p>
    <w:p w14:paraId="05DF747D" w14:textId="77777777" w:rsidR="007C2D8A" w:rsidRDefault="007C2D8A" w:rsidP="0007033F">
      <w:pPr>
        <w:pStyle w:val="Normal0"/>
        <w:rPr>
          <w:bCs/>
          <w:sz w:val="20"/>
          <w:szCs w:val="20"/>
        </w:rPr>
      </w:pPr>
      <w:r w:rsidRPr="007C2D8A">
        <w:rPr>
          <w:bCs/>
          <w:sz w:val="20"/>
          <w:szCs w:val="20"/>
        </w:rPr>
        <w:t xml:space="preserve">Los elementos descritos en la tabla anterior configuran el marco mínimo que toda organización debe implementar para garantizar una gestión responsable de la información de sus clientes. Su aplicación sistemática no solo reduce el riesgo de incumplimiento normativo, sino que fortalece la cultura de transparencia institucional y consolida la confianza de los grupos de interés en el sistema financiero colombiano. </w:t>
      </w:r>
    </w:p>
    <w:p w14:paraId="43E3BF08" w14:textId="77777777" w:rsidR="007C2D8A" w:rsidRDefault="007C2D8A" w:rsidP="0007033F">
      <w:pPr>
        <w:pStyle w:val="Normal0"/>
        <w:rPr>
          <w:bCs/>
          <w:sz w:val="20"/>
          <w:szCs w:val="20"/>
        </w:rPr>
      </w:pPr>
    </w:p>
    <w:p w14:paraId="0F5E7F98" w14:textId="6884A611" w:rsidR="007C2D8A" w:rsidRDefault="007C2D8A" w:rsidP="007C2D8A">
      <w:pPr>
        <w:pStyle w:val="Normal0"/>
        <w:shd w:val="clear" w:color="auto" w:fill="DBE5F1" w:themeFill="accent1" w:themeFillTint="33"/>
        <w:rPr>
          <w:bCs/>
          <w:sz w:val="20"/>
          <w:szCs w:val="20"/>
        </w:rPr>
      </w:pPr>
      <w:r w:rsidRPr="007C2D8A">
        <w:rPr>
          <w:bCs/>
          <w:sz w:val="20"/>
          <w:szCs w:val="20"/>
        </w:rPr>
        <w:t>El conocimiento de estos elementos resulta fundamental para comprender cómo las organizaciones estructuran sus mecanismos de protección dentro del sistema SARLAFT y dan cumplimiento a las disposiciones legales vigentes en materia de privacidad y confidencialidad de la información.</w:t>
      </w:r>
    </w:p>
    <w:p w14:paraId="3F98C3BF" w14:textId="77777777" w:rsidR="007C2D8A" w:rsidRDefault="007C2D8A" w:rsidP="0007033F">
      <w:pPr>
        <w:pStyle w:val="Normal0"/>
        <w:rPr>
          <w:bCs/>
          <w:sz w:val="20"/>
          <w:szCs w:val="20"/>
        </w:rPr>
      </w:pPr>
    </w:p>
    <w:p w14:paraId="578FFEF2" w14:textId="77777777" w:rsidR="00BE0018" w:rsidRPr="0007033F" w:rsidRDefault="00BE0018" w:rsidP="0007033F">
      <w:pPr>
        <w:pStyle w:val="Normal0"/>
        <w:rPr>
          <w:b/>
          <w:sz w:val="20"/>
          <w:szCs w:val="20"/>
        </w:rPr>
      </w:pPr>
    </w:p>
    <w:p w14:paraId="20D65025" w14:textId="77777777" w:rsidR="00825570" w:rsidRPr="0007033F" w:rsidRDefault="00825570" w:rsidP="0007033F">
      <w:pPr>
        <w:pStyle w:val="Normal0"/>
        <w:rPr>
          <w:b/>
          <w:sz w:val="20"/>
          <w:szCs w:val="20"/>
        </w:rPr>
      </w:pPr>
    </w:p>
    <w:p w14:paraId="00000070" w14:textId="702AE506" w:rsidR="00AD17D4" w:rsidRPr="0007033F" w:rsidRDefault="00025888" w:rsidP="0007033F">
      <w:pPr>
        <w:pStyle w:val="Normal0"/>
        <w:numPr>
          <w:ilvl w:val="0"/>
          <w:numId w:val="1"/>
        </w:numPr>
        <w:ind w:left="284" w:hanging="284"/>
        <w:rPr>
          <w:b/>
          <w:sz w:val="20"/>
          <w:szCs w:val="20"/>
        </w:rPr>
      </w:pPr>
      <w:r w:rsidRPr="0007033F">
        <w:rPr>
          <w:b/>
          <w:sz w:val="20"/>
          <w:szCs w:val="20"/>
        </w:rPr>
        <w:t>SÍNTESIS</w:t>
      </w:r>
    </w:p>
    <w:p w14:paraId="67A29513" w14:textId="17735848" w:rsidR="00AD17D4" w:rsidRDefault="00AD17D4" w:rsidP="0007033F">
      <w:pPr>
        <w:pStyle w:val="Normal0"/>
        <w:rPr>
          <w:sz w:val="20"/>
          <w:szCs w:val="20"/>
          <w:lang w:eastAsia="en-US"/>
        </w:rPr>
      </w:pPr>
    </w:p>
    <w:p w14:paraId="77A0C5BE" w14:textId="77777777" w:rsidR="004F4330" w:rsidRPr="004F4330" w:rsidRDefault="004F4330" w:rsidP="004F4330">
      <w:pPr>
        <w:pStyle w:val="Normal0"/>
        <w:rPr>
          <w:sz w:val="20"/>
          <w:szCs w:val="20"/>
          <w:lang w:eastAsia="en-US"/>
        </w:rPr>
      </w:pPr>
      <w:r w:rsidRPr="004F4330">
        <w:rPr>
          <w:sz w:val="20"/>
          <w:szCs w:val="20"/>
          <w:lang w:eastAsia="en-US"/>
        </w:rPr>
        <w:t xml:space="preserve">La aplicación del sistema SARLAFT en las organizaciones comprende el conocimiento del cliente, la identificación y el análisis de operaciones financieras, los sistemas de reporte y el papel de los organismos de control como mecanismos articulados para prevenir el lavado de activos y la financiación del terrorismo. A lo largo de los contenidos se examinan, además, las responsabilidades frente al cumplimiento normativo, las </w:t>
      </w:r>
      <w:r w:rsidRPr="004F4330">
        <w:rPr>
          <w:sz w:val="20"/>
          <w:szCs w:val="20"/>
          <w:lang w:eastAsia="en-US"/>
        </w:rPr>
        <w:lastRenderedPageBreak/>
        <w:t>sanciones derivadas de su incumplimiento y la importancia de la gestión y protección de la información institucional, elementos que permiten al aprendiz comprender cómo se implementan en la práctica los procesos de prevención, detección y reporte de operaciones ilícitas dentro del entorno organizacional. A continuación, el mapa conceptual presenta, de manera visual, la organización de los contenidos y la relación entre sus ejes temáticos.</w:t>
      </w:r>
    </w:p>
    <w:p w14:paraId="7FA4FD92" w14:textId="77777777" w:rsidR="004F4330" w:rsidRPr="0007033F" w:rsidRDefault="004F4330" w:rsidP="0007033F">
      <w:pPr>
        <w:pStyle w:val="Normal0"/>
        <w:rPr>
          <w:sz w:val="20"/>
          <w:szCs w:val="20"/>
          <w:lang w:eastAsia="en-US"/>
        </w:rPr>
      </w:pPr>
    </w:p>
    <w:p w14:paraId="3F0E866B" w14:textId="5708D3CC" w:rsidR="009B1481" w:rsidRPr="0007033F" w:rsidRDefault="007851E0" w:rsidP="0007033F">
      <w:pPr>
        <w:pStyle w:val="Normal0"/>
        <w:rPr>
          <w:sz w:val="20"/>
          <w:szCs w:val="20"/>
          <w:lang w:eastAsia="en-US"/>
        </w:rPr>
      </w:pPr>
      <w:commentRangeStart w:id="31"/>
      <w:r>
        <w:rPr>
          <w:noProof/>
        </w:rPr>
        <w:drawing>
          <wp:inline distT="0" distB="0" distL="0" distR="0" wp14:anchorId="08B22A7B" wp14:editId="05F45061">
            <wp:extent cx="6332220" cy="4303395"/>
            <wp:effectExtent l="0" t="0" r="0" b="1905"/>
            <wp:docPr id="324733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33371" name=""/>
                    <pic:cNvPicPr/>
                  </pic:nvPicPr>
                  <pic:blipFill>
                    <a:blip r:embed="rId37"/>
                    <a:stretch>
                      <a:fillRect/>
                    </a:stretch>
                  </pic:blipFill>
                  <pic:spPr>
                    <a:xfrm>
                      <a:off x="0" y="0"/>
                      <a:ext cx="6332220" cy="4303395"/>
                    </a:xfrm>
                    <a:prstGeom prst="rect">
                      <a:avLst/>
                    </a:prstGeom>
                  </pic:spPr>
                </pic:pic>
              </a:graphicData>
            </a:graphic>
          </wp:inline>
        </w:drawing>
      </w:r>
      <w:commentRangeEnd w:id="31"/>
      <w:r w:rsidR="00F534B3" w:rsidRPr="0007033F">
        <w:rPr>
          <w:rStyle w:val="Refdecomentario"/>
          <w:sz w:val="20"/>
          <w:szCs w:val="20"/>
          <w:lang w:eastAsia="en-US"/>
        </w:rPr>
        <w:commentReference w:id="31"/>
      </w:r>
    </w:p>
    <w:p w14:paraId="70E158DC" w14:textId="0A89C95C" w:rsidR="00AD17D4" w:rsidRDefault="00AD17D4" w:rsidP="0007033F">
      <w:pPr>
        <w:pStyle w:val="Normal0"/>
        <w:jc w:val="center"/>
        <w:rPr>
          <w:sz w:val="20"/>
          <w:szCs w:val="20"/>
          <w:lang w:eastAsia="en-US"/>
        </w:rPr>
      </w:pPr>
    </w:p>
    <w:p w14:paraId="46C4DD2F" w14:textId="77777777" w:rsidR="00513576" w:rsidRPr="0007033F" w:rsidRDefault="00513576" w:rsidP="00D90275">
      <w:pPr>
        <w:pStyle w:val="Normal0"/>
        <w:rPr>
          <w:sz w:val="20"/>
          <w:szCs w:val="20"/>
          <w:lang w:eastAsia="en-US"/>
        </w:rPr>
      </w:pPr>
    </w:p>
    <w:p w14:paraId="064B350B" w14:textId="77777777" w:rsidR="00032CDE" w:rsidRDefault="00032CDE" w:rsidP="0007033F">
      <w:pPr>
        <w:pStyle w:val="Normal0"/>
        <w:rPr>
          <w:sz w:val="20"/>
          <w:szCs w:val="20"/>
          <w:lang w:eastAsia="en-US"/>
        </w:rPr>
      </w:pPr>
    </w:p>
    <w:p w14:paraId="15006B61" w14:textId="77777777" w:rsidR="00032CDE" w:rsidRPr="0007033F" w:rsidRDefault="00032CDE" w:rsidP="0007033F">
      <w:pPr>
        <w:pStyle w:val="Normal0"/>
        <w:rPr>
          <w:sz w:val="20"/>
          <w:szCs w:val="20"/>
          <w:lang w:eastAsia="en-US"/>
        </w:rPr>
      </w:pPr>
    </w:p>
    <w:p w14:paraId="00000075" w14:textId="77777777" w:rsidR="00AD17D4" w:rsidRPr="0007033F" w:rsidRDefault="00025888" w:rsidP="0007033F">
      <w:pPr>
        <w:pStyle w:val="Normal0"/>
        <w:numPr>
          <w:ilvl w:val="0"/>
          <w:numId w:val="1"/>
        </w:numPr>
        <w:ind w:left="284" w:hanging="284"/>
        <w:rPr>
          <w:b/>
          <w:sz w:val="20"/>
          <w:szCs w:val="20"/>
        </w:rPr>
      </w:pPr>
      <w:r w:rsidRPr="0007033F">
        <w:rPr>
          <w:b/>
          <w:sz w:val="20"/>
          <w:szCs w:val="20"/>
        </w:rPr>
        <w:t>ACTIVIDADES DIDÁCTICAS</w:t>
      </w:r>
    </w:p>
    <w:p w14:paraId="0000008A" w14:textId="15551067" w:rsidR="00AD17D4" w:rsidRPr="0007033F" w:rsidRDefault="00AD17D4" w:rsidP="0007033F">
      <w:pPr>
        <w:pStyle w:val="Normal0"/>
        <w:rPr>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856182" w:rsidRPr="00EF2353" w14:paraId="55E7F395" w14:textId="77777777" w:rsidTr="003310C6">
        <w:trPr>
          <w:trHeight w:val="491"/>
        </w:trPr>
        <w:tc>
          <w:tcPr>
            <w:tcW w:w="0" w:type="auto"/>
            <w:gridSpan w:val="2"/>
            <w:shd w:val="clear" w:color="auto" w:fill="000000" w:themeFill="text1"/>
            <w:vAlign w:val="center"/>
          </w:tcPr>
          <w:p w14:paraId="44B459DB" w14:textId="77777777" w:rsidR="003310C6" w:rsidRPr="00EF2353" w:rsidRDefault="003310C6" w:rsidP="0007033F">
            <w:pPr>
              <w:jc w:val="center"/>
              <w:rPr>
                <w:b/>
                <w:bCs/>
                <w:sz w:val="20"/>
                <w:szCs w:val="20"/>
              </w:rPr>
            </w:pPr>
            <w:r w:rsidRPr="00EF2353">
              <w:rPr>
                <w:rFonts w:eastAsia="Calibri"/>
                <w:b/>
                <w:bCs/>
                <w:sz w:val="20"/>
                <w:szCs w:val="20"/>
              </w:rPr>
              <w:t>DESCRIPCIÓN DE ACTIVIDAD DIDÁCTICA</w:t>
            </w:r>
          </w:p>
        </w:tc>
      </w:tr>
      <w:tr w:rsidR="00856182" w:rsidRPr="00EF2353" w14:paraId="2C1D5AEC" w14:textId="77777777" w:rsidTr="003310C6">
        <w:trPr>
          <w:trHeight w:val="806"/>
        </w:trPr>
        <w:tc>
          <w:tcPr>
            <w:tcW w:w="2693" w:type="dxa"/>
            <w:vAlign w:val="center"/>
          </w:tcPr>
          <w:p w14:paraId="3E7890D7" w14:textId="77777777" w:rsidR="003310C6" w:rsidRPr="00EF2353" w:rsidRDefault="003310C6" w:rsidP="0007033F">
            <w:pPr>
              <w:rPr>
                <w:rFonts w:eastAsia="Calibri"/>
                <w:b/>
                <w:bCs/>
                <w:sz w:val="20"/>
                <w:szCs w:val="20"/>
              </w:rPr>
            </w:pPr>
            <w:r w:rsidRPr="00EF2353">
              <w:rPr>
                <w:rFonts w:eastAsia="Calibri"/>
                <w:b/>
                <w:bCs/>
                <w:sz w:val="20"/>
                <w:szCs w:val="20"/>
              </w:rPr>
              <w:t>Nombre de la Actividad</w:t>
            </w:r>
          </w:p>
        </w:tc>
        <w:tc>
          <w:tcPr>
            <w:tcW w:w="6848" w:type="dxa"/>
            <w:vAlign w:val="center"/>
          </w:tcPr>
          <w:p w14:paraId="32596FA8" w14:textId="72769BDD" w:rsidR="003310C6" w:rsidRPr="00EF2353" w:rsidRDefault="00B422F3" w:rsidP="0007033F">
            <w:pPr>
              <w:rPr>
                <w:sz w:val="20"/>
                <w:szCs w:val="20"/>
              </w:rPr>
            </w:pPr>
            <w:r w:rsidRPr="00B422F3">
              <w:rPr>
                <w:sz w:val="20"/>
                <w:szCs w:val="20"/>
                <w:lang w:val="es-419"/>
              </w:rPr>
              <w:t>¡Operación SARLAFT: misión cumplimiento!</w:t>
            </w:r>
          </w:p>
        </w:tc>
      </w:tr>
      <w:tr w:rsidR="00856182" w:rsidRPr="00EF2353" w14:paraId="55EF97DE" w14:textId="77777777" w:rsidTr="003310C6">
        <w:trPr>
          <w:trHeight w:val="806"/>
        </w:trPr>
        <w:tc>
          <w:tcPr>
            <w:tcW w:w="2693" w:type="dxa"/>
            <w:vAlign w:val="center"/>
          </w:tcPr>
          <w:p w14:paraId="7D35CFDF" w14:textId="77777777" w:rsidR="003310C6" w:rsidRPr="00EF2353" w:rsidRDefault="003310C6" w:rsidP="0007033F">
            <w:pPr>
              <w:rPr>
                <w:rFonts w:eastAsia="Calibri"/>
                <w:b/>
                <w:bCs/>
                <w:sz w:val="20"/>
                <w:szCs w:val="20"/>
              </w:rPr>
            </w:pPr>
            <w:r w:rsidRPr="00EF2353">
              <w:rPr>
                <w:rFonts w:eastAsia="Calibri"/>
                <w:b/>
                <w:bCs/>
                <w:sz w:val="20"/>
                <w:szCs w:val="20"/>
              </w:rPr>
              <w:t>Objetivo de la actividad</w:t>
            </w:r>
          </w:p>
        </w:tc>
        <w:tc>
          <w:tcPr>
            <w:tcW w:w="6848" w:type="dxa"/>
            <w:vAlign w:val="center"/>
          </w:tcPr>
          <w:p w14:paraId="14748A70" w14:textId="200CD555" w:rsidR="003310C6" w:rsidRPr="00EF2353" w:rsidRDefault="00EF2353" w:rsidP="0007033F">
            <w:pPr>
              <w:rPr>
                <w:sz w:val="20"/>
                <w:szCs w:val="20"/>
              </w:rPr>
            </w:pPr>
            <w:r w:rsidRPr="00EF2353">
              <w:rPr>
                <w:sz w:val="20"/>
                <w:szCs w:val="20"/>
              </w:rPr>
              <w:t>Evaluar la apropiación de los procedimientos del sistema SARLAFT en materia de conocimiento del cliente, identificación de operaciones financieras, sistemas de reporte y control institucional para la prevención del lavado de activos y la financiación del terrorismo.</w:t>
            </w:r>
          </w:p>
        </w:tc>
      </w:tr>
      <w:tr w:rsidR="00856182" w:rsidRPr="00EF2353" w14:paraId="4D5645D2" w14:textId="77777777" w:rsidTr="003310C6">
        <w:trPr>
          <w:trHeight w:val="1258"/>
        </w:trPr>
        <w:tc>
          <w:tcPr>
            <w:tcW w:w="2693" w:type="dxa"/>
            <w:vAlign w:val="center"/>
          </w:tcPr>
          <w:p w14:paraId="63A20DCB" w14:textId="77777777" w:rsidR="003310C6" w:rsidRPr="00EF2353" w:rsidRDefault="003310C6" w:rsidP="0007033F">
            <w:pPr>
              <w:rPr>
                <w:rFonts w:eastAsia="Calibri"/>
                <w:b/>
                <w:bCs/>
                <w:sz w:val="20"/>
                <w:szCs w:val="20"/>
              </w:rPr>
            </w:pPr>
            <w:r w:rsidRPr="00EF2353">
              <w:rPr>
                <w:rFonts w:eastAsia="Calibri"/>
                <w:b/>
                <w:bCs/>
                <w:sz w:val="20"/>
                <w:szCs w:val="20"/>
              </w:rPr>
              <w:lastRenderedPageBreak/>
              <w:t>Tipo de actividad sugerida</w:t>
            </w:r>
          </w:p>
        </w:tc>
        <w:tc>
          <w:tcPr>
            <w:tcW w:w="6848" w:type="dxa"/>
            <w:vAlign w:val="center"/>
          </w:tcPr>
          <w:p w14:paraId="4F10A9FE" w14:textId="78578D59" w:rsidR="003310C6" w:rsidRPr="00EF2353" w:rsidRDefault="003B3FC7" w:rsidP="0007033F">
            <w:pPr>
              <w:rPr>
                <w:b/>
                <w:sz w:val="20"/>
                <w:szCs w:val="20"/>
              </w:rPr>
            </w:pPr>
            <w:r w:rsidRPr="00EF2353">
              <w:rPr>
                <w:noProof/>
                <w:sz w:val="20"/>
                <w:szCs w:val="20"/>
                <w:lang w:val="en-US" w:eastAsia="en-US"/>
              </w:rPr>
              <w:drawing>
                <wp:anchor distT="0" distB="0" distL="114300" distR="114300" simplePos="0" relativeHeight="251659264" behindDoc="0" locked="0" layoutInCell="1" hidden="0" allowOverlap="1" wp14:anchorId="51D68558" wp14:editId="2DC65E1B">
                  <wp:simplePos x="0" y="0"/>
                  <wp:positionH relativeFrom="column">
                    <wp:posOffset>-2540</wp:posOffset>
                  </wp:positionH>
                  <wp:positionV relativeFrom="paragraph">
                    <wp:posOffset>492760</wp:posOffset>
                  </wp:positionV>
                  <wp:extent cx="962025" cy="712470"/>
                  <wp:effectExtent l="0" t="0" r="9525"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EF2353" w14:paraId="71D755B1" w14:textId="77777777" w:rsidTr="003310C6">
        <w:trPr>
          <w:trHeight w:val="1849"/>
        </w:trPr>
        <w:tc>
          <w:tcPr>
            <w:tcW w:w="2693" w:type="dxa"/>
            <w:vAlign w:val="center"/>
          </w:tcPr>
          <w:p w14:paraId="01C16D3F" w14:textId="77777777" w:rsidR="003310C6" w:rsidRPr="00EF2353" w:rsidRDefault="003310C6" w:rsidP="0007033F">
            <w:pPr>
              <w:rPr>
                <w:rFonts w:eastAsia="Calibri"/>
                <w:b/>
                <w:bCs/>
                <w:sz w:val="20"/>
                <w:szCs w:val="20"/>
              </w:rPr>
            </w:pPr>
            <w:r w:rsidRPr="00EF2353">
              <w:rPr>
                <w:rFonts w:eastAsia="Calibri"/>
                <w:b/>
                <w:bCs/>
                <w:sz w:val="20"/>
                <w:szCs w:val="20"/>
              </w:rPr>
              <w:t xml:space="preserve">Archivo de la actividad </w:t>
            </w:r>
          </w:p>
          <w:p w14:paraId="7488C933" w14:textId="77777777" w:rsidR="003310C6" w:rsidRPr="00EF2353" w:rsidRDefault="003310C6" w:rsidP="0007033F">
            <w:pPr>
              <w:rPr>
                <w:rFonts w:eastAsia="Calibri"/>
                <w:b/>
                <w:bCs/>
                <w:sz w:val="20"/>
                <w:szCs w:val="20"/>
              </w:rPr>
            </w:pPr>
            <w:r w:rsidRPr="00EF2353">
              <w:rPr>
                <w:rFonts w:eastAsia="Calibri"/>
                <w:b/>
                <w:bCs/>
                <w:sz w:val="20"/>
                <w:szCs w:val="20"/>
              </w:rPr>
              <w:t>(Anexo donde se describe la actividad propuesta)</w:t>
            </w:r>
          </w:p>
        </w:tc>
        <w:tc>
          <w:tcPr>
            <w:tcW w:w="6848" w:type="dxa"/>
            <w:vAlign w:val="center"/>
          </w:tcPr>
          <w:p w14:paraId="3E9B9607" w14:textId="221E9189" w:rsidR="003310C6" w:rsidRPr="00EF2353" w:rsidRDefault="003B3FC7" w:rsidP="0007033F">
            <w:pPr>
              <w:rPr>
                <w:b/>
                <w:i/>
                <w:sz w:val="20"/>
                <w:szCs w:val="20"/>
              </w:rPr>
            </w:pPr>
            <w:r w:rsidRPr="00EF2353">
              <w:rPr>
                <w:sz w:val="20"/>
                <w:szCs w:val="20"/>
              </w:rPr>
              <w:t>Actividad_didactica_CF</w:t>
            </w:r>
            <w:r w:rsidR="00A9211E">
              <w:rPr>
                <w:sz w:val="20"/>
                <w:szCs w:val="20"/>
              </w:rPr>
              <w:t>0</w:t>
            </w:r>
            <w:r w:rsidR="0050514F" w:rsidRPr="00EF2353">
              <w:rPr>
                <w:sz w:val="20"/>
                <w:szCs w:val="20"/>
              </w:rPr>
              <w:t>2</w:t>
            </w:r>
          </w:p>
        </w:tc>
      </w:tr>
    </w:tbl>
    <w:p w14:paraId="12A50BA1" w14:textId="643CFA18" w:rsidR="003310C6" w:rsidRPr="0007033F" w:rsidRDefault="003310C6" w:rsidP="0007033F">
      <w:pPr>
        <w:pStyle w:val="Normal0"/>
        <w:rPr>
          <w:sz w:val="20"/>
          <w:szCs w:val="20"/>
        </w:rPr>
      </w:pPr>
    </w:p>
    <w:p w14:paraId="027952A6" w14:textId="02903847" w:rsidR="0031697E" w:rsidRPr="0007033F" w:rsidRDefault="0031697E" w:rsidP="0007033F">
      <w:pPr>
        <w:pStyle w:val="Normal0"/>
        <w:rPr>
          <w:sz w:val="20"/>
          <w:szCs w:val="20"/>
        </w:rPr>
      </w:pPr>
    </w:p>
    <w:p w14:paraId="4C391654" w14:textId="77777777" w:rsidR="005D1E9B" w:rsidRPr="0007033F" w:rsidRDefault="005D1E9B" w:rsidP="0007033F">
      <w:pPr>
        <w:pStyle w:val="Normal0"/>
        <w:rPr>
          <w:sz w:val="20"/>
          <w:szCs w:val="20"/>
        </w:rPr>
      </w:pPr>
    </w:p>
    <w:p w14:paraId="000000A1" w14:textId="77777777" w:rsidR="00AD17D4" w:rsidRDefault="00025888" w:rsidP="0007033F">
      <w:pPr>
        <w:pStyle w:val="Normal0"/>
        <w:numPr>
          <w:ilvl w:val="0"/>
          <w:numId w:val="1"/>
        </w:numPr>
        <w:ind w:left="284" w:hanging="284"/>
        <w:rPr>
          <w:b/>
          <w:sz w:val="20"/>
          <w:szCs w:val="20"/>
        </w:rPr>
      </w:pPr>
      <w:r w:rsidRPr="0007033F">
        <w:rPr>
          <w:b/>
          <w:sz w:val="20"/>
          <w:szCs w:val="20"/>
        </w:rPr>
        <w:t xml:space="preserve">GLOSARIO: </w:t>
      </w:r>
    </w:p>
    <w:p w14:paraId="59EE69C6" w14:textId="77777777" w:rsidR="00174370" w:rsidRPr="00174370" w:rsidRDefault="00174370" w:rsidP="00174370">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Debida diligencia:</w:t>
      </w:r>
      <w:r w:rsidRPr="00174370">
        <w:rPr>
          <w:rFonts w:eastAsia="Times New Roman"/>
          <w:sz w:val="20"/>
          <w:szCs w:val="20"/>
          <w:lang w:eastAsia="es-CO"/>
        </w:rPr>
        <w:t xml:space="preserve"> proceso de verificación y conocimiento del cliente que permite identificar los riesgos asociados a las relaciones comerciales o financieras.</w:t>
      </w:r>
    </w:p>
    <w:p w14:paraId="2A5CADC4" w14:textId="77777777" w:rsidR="00174370" w:rsidRPr="00174370" w:rsidRDefault="00174370" w:rsidP="00174370">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Financiación del terrorismo:</w:t>
      </w:r>
      <w:r w:rsidRPr="00174370">
        <w:rPr>
          <w:rFonts w:eastAsia="Times New Roman"/>
          <w:sz w:val="20"/>
          <w:szCs w:val="20"/>
          <w:lang w:eastAsia="es-CO"/>
        </w:rPr>
        <w:t xml:space="preserve"> provisión o recolección de recursos financieros destinados a apoyar o facilitar actividades relacionadas con el terrorismo.</w:t>
      </w:r>
    </w:p>
    <w:p w14:paraId="40831411" w14:textId="77777777" w:rsidR="00174370" w:rsidRPr="00174370" w:rsidRDefault="00174370" w:rsidP="00174370">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GAFI:</w:t>
      </w:r>
      <w:r w:rsidRPr="00174370">
        <w:rPr>
          <w:rFonts w:eastAsia="Times New Roman"/>
          <w:sz w:val="20"/>
          <w:szCs w:val="20"/>
          <w:lang w:eastAsia="es-CO"/>
        </w:rPr>
        <w:t xml:space="preserve"> Grupo de Acción Financiera Internacional, organismo que establece estándares y recomendaciones para combatir el lavado de activos y la financiación del terrorismo.</w:t>
      </w:r>
    </w:p>
    <w:p w14:paraId="7FA59E2C" w14:textId="77777777" w:rsidR="00174370" w:rsidRPr="00174370" w:rsidRDefault="00174370" w:rsidP="00174370">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Lavado de activos:</w:t>
      </w:r>
      <w:r w:rsidRPr="00174370">
        <w:rPr>
          <w:rFonts w:eastAsia="Times New Roman"/>
          <w:sz w:val="20"/>
          <w:szCs w:val="20"/>
          <w:lang w:eastAsia="es-CO"/>
        </w:rPr>
        <w:t xml:space="preserve"> proceso mediante el cual se busca ocultar o disimular el origen ilícito de recursos provenientes de actividades ilegales para darles apariencia de legalidad.</w:t>
      </w:r>
    </w:p>
    <w:p w14:paraId="0FB20190" w14:textId="77777777" w:rsidR="00174370" w:rsidRPr="00174370" w:rsidRDefault="00174370" w:rsidP="00174370">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Oficial de cumplimiento:</w:t>
      </w:r>
      <w:r w:rsidRPr="00174370">
        <w:rPr>
          <w:rFonts w:eastAsia="Times New Roman"/>
          <w:sz w:val="20"/>
          <w:szCs w:val="20"/>
          <w:lang w:eastAsia="es-CO"/>
        </w:rPr>
        <w:t xml:space="preserve"> persona responsable dentro de la organización de supervisar la implementación y el funcionamiento del sistema SARLAFT.</w:t>
      </w:r>
    </w:p>
    <w:p w14:paraId="3AF2A34A" w14:textId="77777777" w:rsidR="00174370" w:rsidRPr="00174370" w:rsidRDefault="00174370" w:rsidP="00174370">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Operación inusual:</w:t>
      </w:r>
      <w:r w:rsidRPr="00174370">
        <w:rPr>
          <w:rFonts w:eastAsia="Times New Roman"/>
          <w:sz w:val="20"/>
          <w:szCs w:val="20"/>
          <w:lang w:eastAsia="es-CO"/>
        </w:rPr>
        <w:t xml:space="preserve"> transacción o actividad que no corresponde al comportamiento normal del cliente o que presenta características atípicas frente a su perfil financiero.</w:t>
      </w:r>
    </w:p>
    <w:p w14:paraId="096F2DA5" w14:textId="4B097CCF" w:rsidR="00174370" w:rsidRPr="00174370" w:rsidRDefault="00174370" w:rsidP="00174370">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Operación sospechosa:</w:t>
      </w:r>
      <w:r w:rsidRPr="00174370">
        <w:rPr>
          <w:rFonts w:eastAsia="Times New Roman"/>
          <w:sz w:val="20"/>
          <w:szCs w:val="20"/>
          <w:lang w:eastAsia="es-CO"/>
        </w:rPr>
        <w:t xml:space="preserve"> operación que, después de ser analizada, presenta indicios de estar relacionada con actividades de lavado de activos o financiación del terrorismo</w:t>
      </w:r>
      <w:r w:rsidR="006B67EC">
        <w:rPr>
          <w:rFonts w:eastAsia="Times New Roman"/>
          <w:sz w:val="20"/>
          <w:szCs w:val="20"/>
          <w:lang w:eastAsia="es-CO"/>
        </w:rPr>
        <w:t>.</w:t>
      </w:r>
    </w:p>
    <w:p w14:paraId="0936CBAA" w14:textId="6C1F4FEA" w:rsidR="00174370" w:rsidRPr="00174370" w:rsidRDefault="00174370" w:rsidP="00174370">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SARLAFT:</w:t>
      </w:r>
      <w:r w:rsidRPr="00174370">
        <w:rPr>
          <w:rFonts w:eastAsia="Times New Roman"/>
          <w:sz w:val="20"/>
          <w:szCs w:val="20"/>
          <w:lang w:eastAsia="es-CO"/>
        </w:rPr>
        <w:t xml:space="preserve"> </w:t>
      </w:r>
      <w:r w:rsidR="00BC3553">
        <w:rPr>
          <w:rFonts w:eastAsia="Times New Roman"/>
          <w:sz w:val="20"/>
          <w:szCs w:val="20"/>
          <w:lang w:eastAsia="es-CO"/>
        </w:rPr>
        <w:t>S</w:t>
      </w:r>
      <w:r w:rsidRPr="00174370">
        <w:rPr>
          <w:rFonts w:eastAsia="Times New Roman"/>
          <w:sz w:val="20"/>
          <w:szCs w:val="20"/>
          <w:lang w:eastAsia="es-CO"/>
        </w:rPr>
        <w:t xml:space="preserve">istema de </w:t>
      </w:r>
      <w:r w:rsidR="00BC3553">
        <w:rPr>
          <w:rFonts w:eastAsia="Times New Roman"/>
          <w:sz w:val="20"/>
          <w:szCs w:val="20"/>
          <w:lang w:eastAsia="es-CO"/>
        </w:rPr>
        <w:t>A</w:t>
      </w:r>
      <w:r w:rsidRPr="00174370">
        <w:rPr>
          <w:rFonts w:eastAsia="Times New Roman"/>
          <w:sz w:val="20"/>
          <w:szCs w:val="20"/>
          <w:lang w:eastAsia="es-CO"/>
        </w:rPr>
        <w:t xml:space="preserve">dministración del </w:t>
      </w:r>
      <w:r w:rsidR="00BC3553">
        <w:rPr>
          <w:rFonts w:eastAsia="Times New Roman"/>
          <w:sz w:val="20"/>
          <w:szCs w:val="20"/>
          <w:lang w:eastAsia="es-CO"/>
        </w:rPr>
        <w:t>R</w:t>
      </w:r>
      <w:r w:rsidRPr="00174370">
        <w:rPr>
          <w:rFonts w:eastAsia="Times New Roman"/>
          <w:sz w:val="20"/>
          <w:szCs w:val="20"/>
          <w:lang w:eastAsia="es-CO"/>
        </w:rPr>
        <w:t xml:space="preserve">iesgo de </w:t>
      </w:r>
      <w:r w:rsidR="00BC3553">
        <w:rPr>
          <w:rFonts w:eastAsia="Times New Roman"/>
          <w:sz w:val="20"/>
          <w:szCs w:val="20"/>
          <w:lang w:eastAsia="es-CO"/>
        </w:rPr>
        <w:t>L</w:t>
      </w:r>
      <w:r w:rsidRPr="00174370">
        <w:rPr>
          <w:rFonts w:eastAsia="Times New Roman"/>
          <w:sz w:val="20"/>
          <w:szCs w:val="20"/>
          <w:lang w:eastAsia="es-CO"/>
        </w:rPr>
        <w:t xml:space="preserve">avado de </w:t>
      </w:r>
      <w:r w:rsidR="00BC3553">
        <w:rPr>
          <w:rFonts w:eastAsia="Times New Roman"/>
          <w:sz w:val="20"/>
          <w:szCs w:val="20"/>
          <w:lang w:eastAsia="es-CO"/>
        </w:rPr>
        <w:t>A</w:t>
      </w:r>
      <w:r w:rsidRPr="00174370">
        <w:rPr>
          <w:rFonts w:eastAsia="Times New Roman"/>
          <w:sz w:val="20"/>
          <w:szCs w:val="20"/>
          <w:lang w:eastAsia="es-CO"/>
        </w:rPr>
        <w:t xml:space="preserve">ctivos y </w:t>
      </w:r>
      <w:r w:rsidR="00BC3553">
        <w:rPr>
          <w:rFonts w:eastAsia="Times New Roman"/>
          <w:sz w:val="20"/>
          <w:szCs w:val="20"/>
          <w:lang w:eastAsia="es-CO"/>
        </w:rPr>
        <w:t>F</w:t>
      </w:r>
      <w:r w:rsidRPr="00174370">
        <w:rPr>
          <w:rFonts w:eastAsia="Times New Roman"/>
          <w:sz w:val="20"/>
          <w:szCs w:val="20"/>
          <w:lang w:eastAsia="es-CO"/>
        </w:rPr>
        <w:t xml:space="preserve">inanciación del </w:t>
      </w:r>
      <w:r w:rsidR="006B67EC">
        <w:rPr>
          <w:rFonts w:eastAsia="Times New Roman"/>
          <w:sz w:val="20"/>
          <w:szCs w:val="20"/>
          <w:lang w:eastAsia="es-CO"/>
        </w:rPr>
        <w:t>T</w:t>
      </w:r>
      <w:r w:rsidRPr="00174370">
        <w:rPr>
          <w:rFonts w:eastAsia="Times New Roman"/>
          <w:sz w:val="20"/>
          <w:szCs w:val="20"/>
          <w:lang w:eastAsia="es-CO"/>
        </w:rPr>
        <w:t>errorismo, conjunto de políticas, procedimientos y controles implementados por las organizaciones para prevenir estas actividades ilícitas.</w:t>
      </w:r>
    </w:p>
    <w:p w14:paraId="162FFF7E" w14:textId="77777777" w:rsidR="00174370" w:rsidRPr="00174370" w:rsidRDefault="00174370" w:rsidP="00174370">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UIAF:</w:t>
      </w:r>
      <w:r w:rsidRPr="00174370">
        <w:rPr>
          <w:rFonts w:eastAsia="Times New Roman"/>
          <w:sz w:val="20"/>
          <w:szCs w:val="20"/>
          <w:lang w:eastAsia="es-CO"/>
        </w:rPr>
        <w:t xml:space="preserve"> Unidad de Información y Análisis Financiero, entidad encargada de recibir, analizar y procesar reportes relacionados con posibles operaciones de lavado de activos y financiación del terrorismo.</w:t>
      </w:r>
    </w:p>
    <w:p w14:paraId="36DAE10B" w14:textId="05F8283C" w:rsidR="00C81748" w:rsidRPr="0007033F" w:rsidRDefault="00C81748" w:rsidP="0007033F">
      <w:pPr>
        <w:rPr>
          <w:sz w:val="20"/>
          <w:szCs w:val="20"/>
        </w:rPr>
      </w:pPr>
    </w:p>
    <w:p w14:paraId="1C2C32FB" w14:textId="77777777" w:rsidR="00C81748" w:rsidRPr="0007033F" w:rsidRDefault="00C81748" w:rsidP="0007033F">
      <w:pPr>
        <w:rPr>
          <w:sz w:val="20"/>
          <w:szCs w:val="20"/>
        </w:rPr>
      </w:pPr>
    </w:p>
    <w:p w14:paraId="6FBB7CAB" w14:textId="082C138E" w:rsidR="0073729C" w:rsidRDefault="00025888" w:rsidP="0007033F">
      <w:pPr>
        <w:pStyle w:val="Normal0"/>
        <w:numPr>
          <w:ilvl w:val="0"/>
          <w:numId w:val="1"/>
        </w:numPr>
        <w:ind w:left="284" w:hanging="284"/>
        <w:rPr>
          <w:b/>
          <w:sz w:val="20"/>
          <w:szCs w:val="20"/>
        </w:rPr>
      </w:pPr>
      <w:r w:rsidRPr="0007033F">
        <w:rPr>
          <w:b/>
          <w:sz w:val="20"/>
          <w:szCs w:val="20"/>
        </w:rPr>
        <w:t xml:space="preserve">REFERENCIAS BIBLIOGRÁFICAS: </w:t>
      </w:r>
    </w:p>
    <w:p w14:paraId="059CCE72" w14:textId="77777777" w:rsidR="00CA0DAF" w:rsidRPr="00CA0DAF" w:rsidRDefault="00CA0DAF" w:rsidP="00CA0DAF">
      <w:pPr>
        <w:pStyle w:val="NormalWeb"/>
        <w:spacing w:line="360" w:lineRule="auto"/>
        <w:ind w:left="720" w:hanging="720"/>
        <w:rPr>
          <w:rFonts w:ascii="Arial" w:hAnsi="Arial" w:cs="Arial"/>
          <w:sz w:val="20"/>
          <w:szCs w:val="20"/>
          <w:lang w:eastAsia="es-CO"/>
        </w:rPr>
      </w:pPr>
      <w:r w:rsidRPr="00CA0DAF">
        <w:rPr>
          <w:rFonts w:ascii="Arial" w:hAnsi="Arial" w:cs="Arial"/>
          <w:sz w:val="20"/>
          <w:szCs w:val="20"/>
        </w:rPr>
        <w:t xml:space="preserve">Congreso de la República de Colombia. (1999). </w:t>
      </w:r>
      <w:r w:rsidRPr="00CA0DAF">
        <w:rPr>
          <w:rStyle w:val="nfasis"/>
          <w:rFonts w:ascii="Arial" w:hAnsi="Arial" w:cs="Arial"/>
          <w:sz w:val="20"/>
          <w:szCs w:val="20"/>
        </w:rPr>
        <w:t>Ley 526 de 1999. Por medio de la cual se crea la Unidad de Información y Análisis Financiero (UIAF) y se dictan otras disposiciones relacionadas con la prevención del lavado de activos</w:t>
      </w:r>
      <w:r w:rsidRPr="00CA0DAF">
        <w:rPr>
          <w:rFonts w:ascii="Arial" w:hAnsi="Arial" w:cs="Arial"/>
          <w:sz w:val="20"/>
          <w:szCs w:val="20"/>
        </w:rPr>
        <w:t>.</w:t>
      </w:r>
    </w:p>
    <w:p w14:paraId="6BA88BEE" w14:textId="77777777" w:rsidR="00CA0DAF" w:rsidRPr="00CA0DAF" w:rsidRDefault="00CA0DAF" w:rsidP="00CA0DAF">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Congreso de la República de Colombia. (2006). </w:t>
      </w:r>
      <w:r w:rsidRPr="00CA0DAF">
        <w:rPr>
          <w:rStyle w:val="nfasis"/>
          <w:rFonts w:ascii="Arial" w:hAnsi="Arial" w:cs="Arial"/>
          <w:sz w:val="20"/>
          <w:szCs w:val="20"/>
        </w:rPr>
        <w:t>Ley 1121 de 2006. Por la cual se dictan normas para la prevención, detección, investigación y sanción de la financiación del terrorismo</w:t>
      </w:r>
      <w:r w:rsidRPr="00CA0DAF">
        <w:rPr>
          <w:rFonts w:ascii="Arial" w:hAnsi="Arial" w:cs="Arial"/>
          <w:sz w:val="20"/>
          <w:szCs w:val="20"/>
        </w:rPr>
        <w:t>.</w:t>
      </w:r>
    </w:p>
    <w:p w14:paraId="3C0D2338" w14:textId="77777777" w:rsidR="00CA0DAF" w:rsidRPr="00CA0DAF" w:rsidRDefault="00CA0DAF" w:rsidP="00CA0DAF">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Congreso de la República de Colombia. (2008). </w:t>
      </w:r>
      <w:r w:rsidRPr="00CA0DAF">
        <w:rPr>
          <w:rStyle w:val="nfasis"/>
          <w:rFonts w:ascii="Arial" w:hAnsi="Arial" w:cs="Arial"/>
          <w:sz w:val="20"/>
          <w:szCs w:val="20"/>
        </w:rPr>
        <w:t>Ley 1266 de 2008. Por la cual se dictan disposiciones generales del habeas data y se regula el manejo de la información financiera y crediticia</w:t>
      </w:r>
      <w:r w:rsidRPr="00CA0DAF">
        <w:rPr>
          <w:rFonts w:ascii="Arial" w:hAnsi="Arial" w:cs="Arial"/>
          <w:sz w:val="20"/>
          <w:szCs w:val="20"/>
        </w:rPr>
        <w:t>.</w:t>
      </w:r>
    </w:p>
    <w:p w14:paraId="5F0CFBA0" w14:textId="77777777" w:rsidR="00CA0DAF" w:rsidRPr="00CA0DAF" w:rsidRDefault="00CA0DAF" w:rsidP="00CA0DAF">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Federación Latinoamericana de Bancos (FELABAN). (2016). </w:t>
      </w:r>
      <w:r w:rsidRPr="00CA0DAF">
        <w:rPr>
          <w:rStyle w:val="nfasis"/>
          <w:rFonts w:ascii="Arial" w:hAnsi="Arial" w:cs="Arial"/>
          <w:sz w:val="20"/>
          <w:szCs w:val="20"/>
        </w:rPr>
        <w:t>Informe sobre prevención del lavado de activos y financiación del terrorismo en el sector financiero</w:t>
      </w:r>
      <w:r w:rsidRPr="00CA0DAF">
        <w:rPr>
          <w:rFonts w:ascii="Arial" w:hAnsi="Arial" w:cs="Arial"/>
          <w:sz w:val="20"/>
          <w:szCs w:val="20"/>
        </w:rPr>
        <w:t>.</w:t>
      </w:r>
    </w:p>
    <w:p w14:paraId="101E12A1" w14:textId="77777777" w:rsidR="00CA0DAF" w:rsidRPr="00CA0DAF" w:rsidRDefault="00CA0DAF" w:rsidP="00CA0DAF">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Grupo de Acción Financiera Internacional (GAFI). (2012). </w:t>
      </w:r>
      <w:r w:rsidRPr="00CA0DAF">
        <w:rPr>
          <w:rStyle w:val="nfasis"/>
          <w:rFonts w:ascii="Arial" w:hAnsi="Arial" w:cs="Arial"/>
          <w:sz w:val="20"/>
          <w:szCs w:val="20"/>
        </w:rPr>
        <w:t>Recomendaciones del GAFI para la lucha contra el lavado de activos y la financiación del terrorismo</w:t>
      </w:r>
      <w:r w:rsidRPr="00CA0DAF">
        <w:rPr>
          <w:rFonts w:ascii="Arial" w:hAnsi="Arial" w:cs="Arial"/>
          <w:sz w:val="20"/>
          <w:szCs w:val="20"/>
        </w:rPr>
        <w:t>.</w:t>
      </w:r>
    </w:p>
    <w:p w14:paraId="6CBD545F" w14:textId="77777777" w:rsidR="00CA0DAF" w:rsidRPr="00CA0DAF" w:rsidRDefault="00CA0DAF" w:rsidP="00CA0DAF">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Servicio Nacional de Aprendizaje (SENA). (2017). </w:t>
      </w:r>
      <w:r w:rsidRPr="00CA0DAF">
        <w:rPr>
          <w:rStyle w:val="nfasis"/>
          <w:rFonts w:ascii="Arial" w:hAnsi="Arial" w:cs="Arial"/>
          <w:sz w:val="20"/>
          <w:szCs w:val="20"/>
        </w:rPr>
        <w:t>Material de formación: Análisis del sistema de administración del riesgo de lavado de activos y financiación del terrorismo – SARLAFT</w:t>
      </w:r>
      <w:r w:rsidRPr="00CA0DAF">
        <w:rPr>
          <w:rFonts w:ascii="Arial" w:hAnsi="Arial" w:cs="Arial"/>
          <w:sz w:val="20"/>
          <w:szCs w:val="20"/>
        </w:rPr>
        <w:t>.</w:t>
      </w:r>
    </w:p>
    <w:p w14:paraId="365AAEF5" w14:textId="77777777" w:rsidR="00CA0DAF" w:rsidRPr="00CA0DAF" w:rsidRDefault="00CA0DAF" w:rsidP="00CA0DAF">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Superintendencia Financiera de Colombia. (2022). </w:t>
      </w:r>
      <w:r w:rsidRPr="00CA0DAF">
        <w:rPr>
          <w:rStyle w:val="nfasis"/>
          <w:rFonts w:ascii="Arial" w:hAnsi="Arial" w:cs="Arial"/>
          <w:sz w:val="20"/>
          <w:szCs w:val="20"/>
        </w:rPr>
        <w:t>Circular Básica Jurídica. Sistema de Administración del Riesgo de Lavado de Activos y Financiación del Terrorismo (SARLAFT)</w:t>
      </w:r>
      <w:r w:rsidRPr="00CA0DAF">
        <w:rPr>
          <w:rFonts w:ascii="Arial" w:hAnsi="Arial" w:cs="Arial"/>
          <w:sz w:val="20"/>
          <w:szCs w:val="20"/>
        </w:rPr>
        <w:t>.</w:t>
      </w:r>
    </w:p>
    <w:p w14:paraId="6F9BA4C8" w14:textId="74ADCFDE" w:rsidR="00CA0DAF" w:rsidRPr="00CA0DAF" w:rsidRDefault="00CA0DAF" w:rsidP="00D90275">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Unidad de Información y Análisis Financiero (UIAF). (2023). </w:t>
      </w:r>
      <w:r w:rsidRPr="00CA0DAF">
        <w:rPr>
          <w:rStyle w:val="nfasis"/>
          <w:rFonts w:ascii="Arial" w:hAnsi="Arial" w:cs="Arial"/>
          <w:sz w:val="20"/>
          <w:szCs w:val="20"/>
        </w:rPr>
        <w:t>Lineamientos para la prevención y detección del lavado de activos y la financiación del terrorismo</w:t>
      </w:r>
      <w:r w:rsidRPr="00CA0DAF">
        <w:rPr>
          <w:rFonts w:ascii="Arial" w:hAnsi="Arial" w:cs="Arial"/>
          <w:sz w:val="20"/>
          <w:szCs w:val="20"/>
        </w:rPr>
        <w:t>.</w:t>
      </w:r>
    </w:p>
    <w:p w14:paraId="42BEB87D" w14:textId="77777777" w:rsidR="00C81748" w:rsidRPr="0007033F" w:rsidRDefault="00C81748" w:rsidP="0007033F">
      <w:pPr>
        <w:pStyle w:val="Normal0"/>
        <w:rPr>
          <w:b/>
          <w:sz w:val="20"/>
          <w:szCs w:val="20"/>
        </w:rPr>
      </w:pPr>
    </w:p>
    <w:p w14:paraId="000000B0" w14:textId="77777777" w:rsidR="00AD17D4" w:rsidRPr="0007033F" w:rsidRDefault="00025888" w:rsidP="0007033F">
      <w:pPr>
        <w:pStyle w:val="Normal0"/>
        <w:numPr>
          <w:ilvl w:val="0"/>
          <w:numId w:val="1"/>
        </w:numPr>
        <w:ind w:left="284" w:hanging="284"/>
        <w:rPr>
          <w:b/>
          <w:sz w:val="20"/>
          <w:szCs w:val="20"/>
        </w:rPr>
      </w:pPr>
      <w:r w:rsidRPr="0007033F">
        <w:rPr>
          <w:b/>
          <w:sz w:val="20"/>
          <w:szCs w:val="20"/>
        </w:rPr>
        <w:t>CONTROL DEL DOCUMENTO</w:t>
      </w:r>
    </w:p>
    <w:p w14:paraId="000000B1" w14:textId="77777777" w:rsidR="00AD17D4" w:rsidRPr="0007033F" w:rsidRDefault="00AD17D4" w:rsidP="0007033F">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856182" w:rsidRPr="0007033F" w14:paraId="27B3F990" w14:textId="77777777" w:rsidTr="0057321F">
        <w:tc>
          <w:tcPr>
            <w:tcW w:w="1272" w:type="dxa"/>
            <w:tcBorders>
              <w:top w:val="nil"/>
              <w:left w:val="nil"/>
            </w:tcBorders>
            <w:shd w:val="clear" w:color="auto" w:fill="auto"/>
          </w:tcPr>
          <w:p w14:paraId="000000B2" w14:textId="77777777" w:rsidR="00AD17D4" w:rsidRPr="0007033F" w:rsidRDefault="00AD17D4" w:rsidP="0007033F">
            <w:pPr>
              <w:pStyle w:val="Normal0"/>
              <w:rPr>
                <w:sz w:val="20"/>
                <w:szCs w:val="20"/>
              </w:rPr>
            </w:pPr>
          </w:p>
        </w:tc>
        <w:tc>
          <w:tcPr>
            <w:tcW w:w="1991" w:type="dxa"/>
            <w:shd w:val="clear" w:color="auto" w:fill="auto"/>
            <w:vAlign w:val="center"/>
          </w:tcPr>
          <w:p w14:paraId="000000B3" w14:textId="77777777" w:rsidR="00AD17D4" w:rsidRPr="0007033F" w:rsidRDefault="00025888" w:rsidP="0007033F">
            <w:pPr>
              <w:pStyle w:val="Normal0"/>
              <w:rPr>
                <w:sz w:val="20"/>
                <w:szCs w:val="20"/>
              </w:rPr>
            </w:pPr>
            <w:r w:rsidRPr="0007033F">
              <w:rPr>
                <w:sz w:val="20"/>
                <w:szCs w:val="20"/>
              </w:rPr>
              <w:t>Nombre</w:t>
            </w:r>
          </w:p>
        </w:tc>
        <w:tc>
          <w:tcPr>
            <w:tcW w:w="1559" w:type="dxa"/>
            <w:shd w:val="clear" w:color="auto" w:fill="auto"/>
            <w:vAlign w:val="center"/>
          </w:tcPr>
          <w:p w14:paraId="000000B4" w14:textId="77777777" w:rsidR="00AD17D4" w:rsidRPr="0007033F" w:rsidRDefault="00025888" w:rsidP="0007033F">
            <w:pPr>
              <w:pStyle w:val="Normal0"/>
              <w:rPr>
                <w:sz w:val="20"/>
                <w:szCs w:val="20"/>
              </w:rPr>
            </w:pPr>
            <w:r w:rsidRPr="0007033F">
              <w:rPr>
                <w:sz w:val="20"/>
                <w:szCs w:val="20"/>
              </w:rPr>
              <w:t>Cargo</w:t>
            </w:r>
          </w:p>
        </w:tc>
        <w:tc>
          <w:tcPr>
            <w:tcW w:w="3257" w:type="dxa"/>
            <w:shd w:val="clear" w:color="auto" w:fill="auto"/>
            <w:vAlign w:val="center"/>
          </w:tcPr>
          <w:p w14:paraId="000000B6" w14:textId="77777777" w:rsidR="00AD17D4" w:rsidRPr="0007033F" w:rsidRDefault="00025888" w:rsidP="0007033F">
            <w:pPr>
              <w:pStyle w:val="Normal0"/>
              <w:rPr>
                <w:sz w:val="20"/>
                <w:szCs w:val="20"/>
              </w:rPr>
            </w:pPr>
            <w:r w:rsidRPr="0007033F">
              <w:rPr>
                <w:sz w:val="20"/>
                <w:szCs w:val="20"/>
              </w:rPr>
              <w:t>Dependencia</w:t>
            </w:r>
          </w:p>
        </w:tc>
        <w:tc>
          <w:tcPr>
            <w:tcW w:w="1888" w:type="dxa"/>
            <w:shd w:val="clear" w:color="auto" w:fill="auto"/>
            <w:vAlign w:val="center"/>
          </w:tcPr>
          <w:p w14:paraId="000000B7" w14:textId="77777777" w:rsidR="00AD17D4" w:rsidRPr="0007033F" w:rsidRDefault="00025888" w:rsidP="0007033F">
            <w:pPr>
              <w:pStyle w:val="Normal0"/>
              <w:rPr>
                <w:sz w:val="20"/>
                <w:szCs w:val="20"/>
              </w:rPr>
            </w:pPr>
            <w:r w:rsidRPr="0007033F">
              <w:rPr>
                <w:sz w:val="20"/>
                <w:szCs w:val="20"/>
              </w:rPr>
              <w:t>Fecha</w:t>
            </w:r>
          </w:p>
        </w:tc>
      </w:tr>
      <w:tr w:rsidR="00856182" w:rsidRPr="0007033F" w14:paraId="2FF467CA" w14:textId="77777777" w:rsidTr="0057321F">
        <w:trPr>
          <w:trHeight w:val="340"/>
        </w:trPr>
        <w:tc>
          <w:tcPr>
            <w:tcW w:w="1272" w:type="dxa"/>
            <w:shd w:val="clear" w:color="auto" w:fill="auto"/>
          </w:tcPr>
          <w:p w14:paraId="000000B8" w14:textId="77777777" w:rsidR="00AD17D4" w:rsidRPr="0007033F" w:rsidRDefault="00025888" w:rsidP="0007033F">
            <w:pPr>
              <w:pStyle w:val="Normal0"/>
              <w:rPr>
                <w:sz w:val="20"/>
                <w:szCs w:val="20"/>
              </w:rPr>
            </w:pPr>
            <w:r w:rsidRPr="0007033F">
              <w:rPr>
                <w:sz w:val="20"/>
                <w:szCs w:val="20"/>
              </w:rPr>
              <w:t>Autor</w:t>
            </w:r>
          </w:p>
        </w:tc>
        <w:tc>
          <w:tcPr>
            <w:tcW w:w="1991" w:type="dxa"/>
            <w:shd w:val="clear" w:color="auto" w:fill="auto"/>
          </w:tcPr>
          <w:p w14:paraId="000000B9" w14:textId="1B17528F" w:rsidR="00AD17D4" w:rsidRPr="0007033F" w:rsidRDefault="005A1745" w:rsidP="0007033F">
            <w:pPr>
              <w:pStyle w:val="Normal0"/>
              <w:rPr>
                <w:b w:val="0"/>
                <w:sz w:val="20"/>
                <w:szCs w:val="20"/>
              </w:rPr>
            </w:pPr>
            <w:r w:rsidRPr="0007033F">
              <w:rPr>
                <w:b w:val="0"/>
                <w:bCs/>
                <w:sz w:val="20"/>
                <w:szCs w:val="20"/>
              </w:rPr>
              <w:t>Gustavo Ernesto Mariño Puentes</w:t>
            </w:r>
          </w:p>
        </w:tc>
        <w:tc>
          <w:tcPr>
            <w:tcW w:w="1559" w:type="dxa"/>
            <w:shd w:val="clear" w:color="auto" w:fill="auto"/>
          </w:tcPr>
          <w:p w14:paraId="000000BA" w14:textId="77777777" w:rsidR="00AD17D4" w:rsidRPr="0007033F" w:rsidRDefault="00025888" w:rsidP="0007033F">
            <w:pPr>
              <w:pStyle w:val="Normal0"/>
              <w:rPr>
                <w:b w:val="0"/>
                <w:sz w:val="20"/>
                <w:szCs w:val="20"/>
              </w:rPr>
            </w:pPr>
            <w:r w:rsidRPr="0007033F">
              <w:rPr>
                <w:b w:val="0"/>
                <w:bCs/>
                <w:sz w:val="20"/>
                <w:szCs w:val="20"/>
              </w:rPr>
              <w:t>Experto temático</w:t>
            </w:r>
          </w:p>
        </w:tc>
        <w:tc>
          <w:tcPr>
            <w:tcW w:w="3257" w:type="dxa"/>
            <w:shd w:val="clear" w:color="auto" w:fill="auto"/>
          </w:tcPr>
          <w:p w14:paraId="000000BB" w14:textId="77777777" w:rsidR="00AD17D4" w:rsidRPr="0007033F" w:rsidRDefault="00025888" w:rsidP="0007033F">
            <w:pPr>
              <w:pStyle w:val="Normal0"/>
              <w:rPr>
                <w:b w:val="0"/>
                <w:sz w:val="20"/>
                <w:szCs w:val="20"/>
              </w:rPr>
            </w:pPr>
            <w:r w:rsidRPr="0007033F">
              <w:rPr>
                <w:b w:val="0"/>
                <w:bCs/>
                <w:sz w:val="20"/>
                <w:szCs w:val="20"/>
              </w:rPr>
              <w:t>Regional Tolima. Centro de Comercio y Servicios.</w:t>
            </w:r>
          </w:p>
        </w:tc>
        <w:tc>
          <w:tcPr>
            <w:tcW w:w="1888" w:type="dxa"/>
            <w:shd w:val="clear" w:color="auto" w:fill="auto"/>
          </w:tcPr>
          <w:p w14:paraId="000000BC" w14:textId="21664613" w:rsidR="00AD17D4" w:rsidRPr="0007033F" w:rsidRDefault="003B3E35" w:rsidP="0007033F">
            <w:pPr>
              <w:pStyle w:val="Normal0"/>
              <w:rPr>
                <w:b w:val="0"/>
                <w:sz w:val="20"/>
                <w:szCs w:val="20"/>
              </w:rPr>
            </w:pPr>
            <w:r w:rsidRPr="0007033F">
              <w:rPr>
                <w:b w:val="0"/>
                <w:sz w:val="20"/>
                <w:szCs w:val="20"/>
              </w:rPr>
              <w:t>Marzo</w:t>
            </w:r>
            <w:r w:rsidR="005A1745" w:rsidRPr="0007033F">
              <w:rPr>
                <w:b w:val="0"/>
                <w:sz w:val="20"/>
                <w:szCs w:val="20"/>
              </w:rPr>
              <w:t xml:space="preserve"> 2026</w:t>
            </w:r>
          </w:p>
        </w:tc>
      </w:tr>
      <w:tr w:rsidR="004330B1" w:rsidRPr="0007033F" w14:paraId="203E8BF0" w14:textId="77777777" w:rsidTr="0057321F">
        <w:trPr>
          <w:trHeight w:val="340"/>
        </w:trPr>
        <w:tc>
          <w:tcPr>
            <w:tcW w:w="1272" w:type="dxa"/>
            <w:shd w:val="clear" w:color="auto" w:fill="auto"/>
          </w:tcPr>
          <w:p w14:paraId="28059DCF" w14:textId="059D5660" w:rsidR="004330B1" w:rsidRPr="0007033F" w:rsidRDefault="004330B1" w:rsidP="0007033F">
            <w:pPr>
              <w:pStyle w:val="Normal0"/>
              <w:rPr>
                <w:sz w:val="20"/>
                <w:szCs w:val="20"/>
              </w:rPr>
            </w:pPr>
            <w:r w:rsidRPr="0007033F">
              <w:rPr>
                <w:sz w:val="20"/>
                <w:szCs w:val="20"/>
              </w:rPr>
              <w:t>Autor</w:t>
            </w:r>
          </w:p>
        </w:tc>
        <w:tc>
          <w:tcPr>
            <w:tcW w:w="1991" w:type="dxa"/>
            <w:shd w:val="clear" w:color="auto" w:fill="auto"/>
          </w:tcPr>
          <w:p w14:paraId="7A83DE25" w14:textId="7E3133F5" w:rsidR="004330B1" w:rsidRPr="0007033F" w:rsidRDefault="004330B1" w:rsidP="0007033F">
            <w:pPr>
              <w:pStyle w:val="Normal0"/>
              <w:rPr>
                <w:bCs/>
                <w:sz w:val="20"/>
                <w:szCs w:val="20"/>
              </w:rPr>
            </w:pPr>
            <w:r w:rsidRPr="0007033F">
              <w:rPr>
                <w:b w:val="0"/>
                <w:sz w:val="20"/>
                <w:szCs w:val="20"/>
              </w:rPr>
              <w:t>Gloria Lid</w:t>
            </w:r>
            <w:r w:rsidR="00D61DE1">
              <w:rPr>
                <w:b w:val="0"/>
                <w:sz w:val="20"/>
                <w:szCs w:val="20"/>
              </w:rPr>
              <w:t>a</w:t>
            </w:r>
            <w:r w:rsidRPr="0007033F">
              <w:rPr>
                <w:b w:val="0"/>
                <w:sz w:val="20"/>
                <w:szCs w:val="20"/>
              </w:rPr>
              <w:t xml:space="preserve"> Alzate Suárez</w:t>
            </w:r>
          </w:p>
        </w:tc>
        <w:tc>
          <w:tcPr>
            <w:tcW w:w="1559" w:type="dxa"/>
            <w:shd w:val="clear" w:color="auto" w:fill="auto"/>
          </w:tcPr>
          <w:p w14:paraId="2FEE2A61" w14:textId="0A7BA05C" w:rsidR="004330B1" w:rsidRPr="0007033F" w:rsidRDefault="004330B1" w:rsidP="0007033F">
            <w:pPr>
              <w:pStyle w:val="Normal0"/>
              <w:rPr>
                <w:bCs/>
                <w:sz w:val="20"/>
                <w:szCs w:val="20"/>
              </w:rPr>
            </w:pPr>
            <w:r w:rsidRPr="0007033F">
              <w:rPr>
                <w:b w:val="0"/>
                <w:bCs/>
                <w:sz w:val="20"/>
                <w:szCs w:val="20"/>
              </w:rPr>
              <w:t>Evaluadora instruccional</w:t>
            </w:r>
          </w:p>
        </w:tc>
        <w:tc>
          <w:tcPr>
            <w:tcW w:w="3257" w:type="dxa"/>
            <w:shd w:val="clear" w:color="auto" w:fill="auto"/>
          </w:tcPr>
          <w:p w14:paraId="5EDC854E" w14:textId="43C39A0D" w:rsidR="004330B1" w:rsidRPr="0007033F" w:rsidRDefault="004330B1" w:rsidP="0007033F">
            <w:pPr>
              <w:pStyle w:val="Normal0"/>
              <w:rPr>
                <w:bCs/>
                <w:sz w:val="20"/>
                <w:szCs w:val="20"/>
              </w:rPr>
            </w:pPr>
            <w:r w:rsidRPr="0007033F">
              <w:rPr>
                <w:b w:val="0"/>
                <w:bCs/>
                <w:sz w:val="20"/>
                <w:szCs w:val="20"/>
              </w:rPr>
              <w:t>Regional Tolima. Centro de Comercio y Servicios.</w:t>
            </w:r>
          </w:p>
        </w:tc>
        <w:tc>
          <w:tcPr>
            <w:tcW w:w="1888" w:type="dxa"/>
            <w:shd w:val="clear" w:color="auto" w:fill="auto"/>
          </w:tcPr>
          <w:p w14:paraId="4CF2F8C5" w14:textId="39636E75" w:rsidR="004330B1" w:rsidRPr="0007033F" w:rsidRDefault="00B22A34" w:rsidP="0007033F">
            <w:pPr>
              <w:pStyle w:val="Normal0"/>
              <w:rPr>
                <w:sz w:val="20"/>
                <w:szCs w:val="20"/>
              </w:rPr>
            </w:pPr>
            <w:r>
              <w:rPr>
                <w:b w:val="0"/>
                <w:sz w:val="20"/>
                <w:szCs w:val="20"/>
              </w:rPr>
              <w:t>Abril</w:t>
            </w:r>
            <w:r w:rsidR="004330B1" w:rsidRPr="0007033F">
              <w:rPr>
                <w:b w:val="0"/>
                <w:sz w:val="20"/>
                <w:szCs w:val="20"/>
              </w:rPr>
              <w:t xml:space="preserve"> 2026</w:t>
            </w:r>
          </w:p>
        </w:tc>
      </w:tr>
    </w:tbl>
    <w:p w14:paraId="000000C2" w14:textId="77777777" w:rsidR="00AD17D4" w:rsidRPr="0007033F" w:rsidRDefault="00AD17D4" w:rsidP="0007033F">
      <w:pPr>
        <w:pStyle w:val="Normal0"/>
        <w:rPr>
          <w:sz w:val="20"/>
          <w:szCs w:val="20"/>
        </w:rPr>
      </w:pPr>
    </w:p>
    <w:p w14:paraId="40E90CE6" w14:textId="77777777" w:rsidR="00AD17D4" w:rsidRPr="0007033F" w:rsidRDefault="00AD17D4" w:rsidP="0007033F">
      <w:pPr>
        <w:pStyle w:val="Normal0"/>
        <w:rPr>
          <w:sz w:val="20"/>
          <w:szCs w:val="20"/>
        </w:rPr>
      </w:pPr>
    </w:p>
    <w:p w14:paraId="000000C5" w14:textId="77777777" w:rsidR="00AD17D4" w:rsidRPr="0007033F" w:rsidRDefault="00025888" w:rsidP="0007033F">
      <w:pPr>
        <w:pStyle w:val="Normal0"/>
        <w:numPr>
          <w:ilvl w:val="0"/>
          <w:numId w:val="1"/>
        </w:numPr>
        <w:ind w:left="284" w:hanging="284"/>
        <w:rPr>
          <w:b/>
          <w:sz w:val="20"/>
          <w:szCs w:val="20"/>
        </w:rPr>
      </w:pPr>
      <w:r w:rsidRPr="0007033F">
        <w:rPr>
          <w:b/>
          <w:sz w:val="20"/>
          <w:szCs w:val="20"/>
        </w:rPr>
        <w:t>CONTROL DE CAMBIOS (Diligenciar únicamente si realiza ajustes a la Unidad Temática)</w:t>
      </w:r>
    </w:p>
    <w:p w14:paraId="000000C6" w14:textId="77777777" w:rsidR="00AD17D4" w:rsidRPr="0007033F" w:rsidRDefault="00AD17D4" w:rsidP="0007033F">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856182" w:rsidRPr="0007033F" w14:paraId="31F82D5C" w14:textId="77777777" w:rsidTr="005E505A">
        <w:tc>
          <w:tcPr>
            <w:tcW w:w="1264" w:type="dxa"/>
            <w:tcBorders>
              <w:top w:val="nil"/>
              <w:left w:val="nil"/>
            </w:tcBorders>
            <w:shd w:val="clear" w:color="auto" w:fill="auto"/>
          </w:tcPr>
          <w:p w14:paraId="000000C7" w14:textId="77777777" w:rsidR="00AD17D4" w:rsidRPr="0007033F" w:rsidRDefault="00AD17D4" w:rsidP="0007033F">
            <w:pPr>
              <w:pStyle w:val="Normal0"/>
              <w:rPr>
                <w:sz w:val="20"/>
                <w:szCs w:val="20"/>
              </w:rPr>
            </w:pPr>
          </w:p>
        </w:tc>
        <w:tc>
          <w:tcPr>
            <w:tcW w:w="1855" w:type="dxa"/>
            <w:shd w:val="clear" w:color="auto" w:fill="auto"/>
          </w:tcPr>
          <w:p w14:paraId="000000C8" w14:textId="77777777" w:rsidR="00AD17D4" w:rsidRPr="0007033F" w:rsidRDefault="00025888" w:rsidP="0007033F">
            <w:pPr>
              <w:pStyle w:val="Normal0"/>
              <w:rPr>
                <w:sz w:val="20"/>
                <w:szCs w:val="20"/>
              </w:rPr>
            </w:pPr>
            <w:r w:rsidRPr="0007033F">
              <w:rPr>
                <w:sz w:val="20"/>
                <w:szCs w:val="20"/>
              </w:rPr>
              <w:t>Nombre</w:t>
            </w:r>
          </w:p>
        </w:tc>
        <w:tc>
          <w:tcPr>
            <w:tcW w:w="1701" w:type="dxa"/>
            <w:shd w:val="clear" w:color="auto" w:fill="auto"/>
          </w:tcPr>
          <w:p w14:paraId="000000C9" w14:textId="77777777" w:rsidR="00AD17D4" w:rsidRPr="0007033F" w:rsidRDefault="00025888" w:rsidP="0007033F">
            <w:pPr>
              <w:pStyle w:val="Normal0"/>
              <w:rPr>
                <w:sz w:val="20"/>
                <w:szCs w:val="20"/>
              </w:rPr>
            </w:pPr>
            <w:r w:rsidRPr="0007033F">
              <w:rPr>
                <w:sz w:val="20"/>
                <w:szCs w:val="20"/>
              </w:rPr>
              <w:t>Cargo</w:t>
            </w:r>
          </w:p>
        </w:tc>
        <w:tc>
          <w:tcPr>
            <w:tcW w:w="1843" w:type="dxa"/>
            <w:shd w:val="clear" w:color="auto" w:fill="auto"/>
          </w:tcPr>
          <w:p w14:paraId="000000CA" w14:textId="77777777" w:rsidR="00AD17D4" w:rsidRPr="0007033F" w:rsidRDefault="00025888" w:rsidP="0007033F">
            <w:pPr>
              <w:pStyle w:val="Normal0"/>
              <w:rPr>
                <w:sz w:val="20"/>
                <w:szCs w:val="20"/>
              </w:rPr>
            </w:pPr>
            <w:r w:rsidRPr="0007033F">
              <w:rPr>
                <w:sz w:val="20"/>
                <w:szCs w:val="20"/>
              </w:rPr>
              <w:t>Dependencia</w:t>
            </w:r>
          </w:p>
        </w:tc>
        <w:tc>
          <w:tcPr>
            <w:tcW w:w="1275" w:type="dxa"/>
            <w:shd w:val="clear" w:color="auto" w:fill="auto"/>
          </w:tcPr>
          <w:p w14:paraId="000000CB" w14:textId="77777777" w:rsidR="00AD17D4" w:rsidRPr="0007033F" w:rsidRDefault="00025888" w:rsidP="0007033F">
            <w:pPr>
              <w:pStyle w:val="Normal0"/>
              <w:rPr>
                <w:sz w:val="20"/>
                <w:szCs w:val="20"/>
              </w:rPr>
            </w:pPr>
            <w:r w:rsidRPr="0007033F">
              <w:rPr>
                <w:sz w:val="20"/>
                <w:szCs w:val="20"/>
              </w:rPr>
              <w:t>Fecha</w:t>
            </w:r>
          </w:p>
        </w:tc>
        <w:tc>
          <w:tcPr>
            <w:tcW w:w="1977" w:type="dxa"/>
            <w:shd w:val="clear" w:color="auto" w:fill="auto"/>
          </w:tcPr>
          <w:p w14:paraId="000000CC" w14:textId="77777777" w:rsidR="00AD17D4" w:rsidRPr="0007033F" w:rsidRDefault="00025888" w:rsidP="0007033F">
            <w:pPr>
              <w:pStyle w:val="Normal0"/>
              <w:rPr>
                <w:sz w:val="20"/>
                <w:szCs w:val="20"/>
              </w:rPr>
            </w:pPr>
            <w:r w:rsidRPr="0007033F">
              <w:rPr>
                <w:sz w:val="20"/>
                <w:szCs w:val="20"/>
              </w:rPr>
              <w:t>Razón del Cambio</w:t>
            </w:r>
          </w:p>
        </w:tc>
      </w:tr>
      <w:tr w:rsidR="00AD17D4" w:rsidRPr="0007033F" w14:paraId="5565E3ED" w14:textId="77777777" w:rsidTr="005E505A">
        <w:tc>
          <w:tcPr>
            <w:tcW w:w="1264" w:type="dxa"/>
            <w:shd w:val="clear" w:color="auto" w:fill="auto"/>
          </w:tcPr>
          <w:p w14:paraId="000000CD" w14:textId="149C0741" w:rsidR="00AD17D4" w:rsidRPr="0007033F" w:rsidRDefault="0057321F" w:rsidP="0007033F">
            <w:pPr>
              <w:pStyle w:val="Normal0"/>
              <w:rPr>
                <w:sz w:val="20"/>
                <w:szCs w:val="20"/>
              </w:rPr>
            </w:pPr>
            <w:r w:rsidRPr="0007033F">
              <w:rPr>
                <w:sz w:val="20"/>
                <w:szCs w:val="20"/>
              </w:rPr>
              <w:t>Autor</w:t>
            </w:r>
          </w:p>
        </w:tc>
        <w:tc>
          <w:tcPr>
            <w:tcW w:w="1855" w:type="dxa"/>
            <w:shd w:val="clear" w:color="auto" w:fill="auto"/>
          </w:tcPr>
          <w:p w14:paraId="4E5BB694" w14:textId="77777777" w:rsidR="00AD17D4" w:rsidRPr="0007033F" w:rsidRDefault="00AD17D4" w:rsidP="0007033F">
            <w:pPr>
              <w:pStyle w:val="Normal0"/>
              <w:rPr>
                <w:b w:val="0"/>
                <w:sz w:val="20"/>
                <w:szCs w:val="20"/>
              </w:rPr>
            </w:pPr>
          </w:p>
          <w:p w14:paraId="2E30A987" w14:textId="77777777" w:rsidR="00160781" w:rsidRPr="0007033F" w:rsidRDefault="00160781" w:rsidP="0007033F">
            <w:pPr>
              <w:pStyle w:val="Normal0"/>
              <w:rPr>
                <w:b w:val="0"/>
                <w:sz w:val="20"/>
                <w:szCs w:val="20"/>
              </w:rPr>
            </w:pPr>
          </w:p>
          <w:p w14:paraId="000000CE" w14:textId="412AB2DE" w:rsidR="00160781" w:rsidRPr="0007033F" w:rsidRDefault="00160781" w:rsidP="0007033F">
            <w:pPr>
              <w:pStyle w:val="Normal0"/>
              <w:rPr>
                <w:b w:val="0"/>
                <w:sz w:val="20"/>
                <w:szCs w:val="20"/>
              </w:rPr>
            </w:pPr>
          </w:p>
        </w:tc>
        <w:tc>
          <w:tcPr>
            <w:tcW w:w="1701" w:type="dxa"/>
            <w:shd w:val="clear" w:color="auto" w:fill="auto"/>
          </w:tcPr>
          <w:p w14:paraId="000000CF" w14:textId="287F92AD" w:rsidR="00AD17D4" w:rsidRPr="0007033F" w:rsidRDefault="00AD17D4" w:rsidP="0007033F">
            <w:pPr>
              <w:pStyle w:val="Normal0"/>
              <w:rPr>
                <w:b w:val="0"/>
                <w:sz w:val="20"/>
                <w:szCs w:val="20"/>
              </w:rPr>
            </w:pPr>
          </w:p>
        </w:tc>
        <w:tc>
          <w:tcPr>
            <w:tcW w:w="1843" w:type="dxa"/>
            <w:shd w:val="clear" w:color="auto" w:fill="auto"/>
          </w:tcPr>
          <w:p w14:paraId="000000D0" w14:textId="0C18A506" w:rsidR="00AD17D4" w:rsidRPr="0007033F" w:rsidRDefault="00AD17D4" w:rsidP="0007033F">
            <w:pPr>
              <w:pStyle w:val="Normal0"/>
              <w:rPr>
                <w:b w:val="0"/>
                <w:sz w:val="20"/>
                <w:szCs w:val="20"/>
              </w:rPr>
            </w:pPr>
          </w:p>
        </w:tc>
        <w:tc>
          <w:tcPr>
            <w:tcW w:w="1275" w:type="dxa"/>
            <w:shd w:val="clear" w:color="auto" w:fill="auto"/>
          </w:tcPr>
          <w:p w14:paraId="000000D1" w14:textId="1B3A3DC9" w:rsidR="00AD17D4" w:rsidRPr="0007033F" w:rsidRDefault="00AD17D4" w:rsidP="0007033F">
            <w:pPr>
              <w:pStyle w:val="Normal0"/>
              <w:rPr>
                <w:b w:val="0"/>
                <w:sz w:val="20"/>
                <w:szCs w:val="20"/>
              </w:rPr>
            </w:pPr>
          </w:p>
        </w:tc>
        <w:tc>
          <w:tcPr>
            <w:tcW w:w="1977" w:type="dxa"/>
            <w:shd w:val="clear" w:color="auto" w:fill="auto"/>
          </w:tcPr>
          <w:p w14:paraId="000000D2" w14:textId="1A032C90" w:rsidR="00AD17D4" w:rsidRPr="0007033F" w:rsidRDefault="00AD17D4" w:rsidP="0007033F">
            <w:pPr>
              <w:pStyle w:val="Normal0"/>
              <w:rPr>
                <w:b w:val="0"/>
                <w:sz w:val="20"/>
                <w:szCs w:val="20"/>
              </w:rPr>
            </w:pPr>
          </w:p>
        </w:tc>
      </w:tr>
    </w:tbl>
    <w:p w14:paraId="000000D5" w14:textId="77777777" w:rsidR="00AD17D4" w:rsidRPr="0007033F" w:rsidRDefault="00AD17D4" w:rsidP="0007033F">
      <w:pPr>
        <w:pStyle w:val="Normal0"/>
        <w:rPr>
          <w:sz w:val="20"/>
          <w:szCs w:val="20"/>
        </w:rPr>
      </w:pPr>
    </w:p>
    <w:sectPr w:rsidR="00AD17D4" w:rsidRPr="0007033F">
      <w:headerReference w:type="default" r:id="rId39"/>
      <w:footerReference w:type="default" r:id="rId4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4-25T10:31:00Z" w:initials="GA">
    <w:p w14:paraId="5F8CAE15" w14:textId="77777777" w:rsidR="00CE0B9B" w:rsidRDefault="00CE0B9B" w:rsidP="00CE0B9B">
      <w:pPr>
        <w:pStyle w:val="Textocomentario"/>
      </w:pPr>
      <w:r>
        <w:rPr>
          <w:rStyle w:val="Refdecomentario"/>
        </w:rPr>
        <w:annotationRef/>
      </w:r>
      <w:r>
        <w:t>Recursos DI:</w:t>
      </w:r>
    </w:p>
    <w:p w14:paraId="32FF462E" w14:textId="77777777" w:rsidR="00CE0B9B" w:rsidRDefault="00CE0B9B" w:rsidP="00CE0B9B">
      <w:pPr>
        <w:pStyle w:val="Textocomentario"/>
      </w:pPr>
      <w:r>
        <w:t>Carrusel de tarjetas.</w:t>
      </w:r>
    </w:p>
    <w:p w14:paraId="5D3DD314" w14:textId="624DD8F3" w:rsidR="00CE0B9B" w:rsidRDefault="00CE0B9B" w:rsidP="00CE0B9B">
      <w:pPr>
        <w:pStyle w:val="Textocomentario"/>
      </w:pPr>
      <w:r>
        <w:rPr>
          <w:noProof/>
        </w:rPr>
        <w:drawing>
          <wp:inline distT="0" distB="0" distL="0" distR="0" wp14:anchorId="5F88DD3C" wp14:editId="2D4CD1CF">
            <wp:extent cx="6332220" cy="5755005"/>
            <wp:effectExtent l="0" t="0" r="0" b="0"/>
            <wp:docPr id="1562001563"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01563" name="Imagen 1562001563"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5755005"/>
                    </a:xfrm>
                    <a:prstGeom prst="rect">
                      <a:avLst/>
                    </a:prstGeom>
                  </pic:spPr>
                </pic:pic>
              </a:graphicData>
            </a:graphic>
          </wp:inline>
        </w:drawing>
      </w:r>
    </w:p>
  </w:comment>
  <w:comment w:id="1" w:author="Gloria Alzate" w:date="2026-04-25T10:57:00Z" w:initials="GA">
    <w:p w14:paraId="3B452349" w14:textId="77777777" w:rsidR="002331E1" w:rsidRDefault="002331E1" w:rsidP="002331E1">
      <w:pPr>
        <w:pStyle w:val="Textocomentario"/>
      </w:pPr>
      <w:r>
        <w:rPr>
          <w:rStyle w:val="Refdecomentario"/>
        </w:rPr>
        <w:annotationRef/>
      </w:r>
      <w:r>
        <w:t>Se sugiere diseñar una infografía interactiva que al dar clic en un botón despliegue el texto a presentar. Se deja un enlace de referencia.</w:t>
      </w:r>
    </w:p>
    <w:p w14:paraId="66677957" w14:textId="77777777" w:rsidR="002331E1" w:rsidRDefault="002331E1" w:rsidP="002331E1">
      <w:pPr>
        <w:pStyle w:val="Textocomentario"/>
      </w:pPr>
      <w:r>
        <w:t xml:space="preserve">Enlace: </w:t>
      </w:r>
    </w:p>
    <w:p w14:paraId="2AA6E5EF" w14:textId="77777777" w:rsidR="002331E1" w:rsidRDefault="002331E1" w:rsidP="002331E1">
      <w:pPr>
        <w:pStyle w:val="Textocomentario"/>
      </w:pPr>
      <w:hyperlink r:id="rId2" w:anchor="fromView=search&amp;page=1&amp;position=5&amp;uuid=e16a98b0-d067-4b9d-9c46-e1f67f2962f5&amp;query=infografia+de+5+items+para+desplegar+puntos+calientes" w:history="1">
        <w:r w:rsidRPr="00A358C1">
          <w:rPr>
            <w:rStyle w:val="Hipervnculo"/>
          </w:rPr>
          <w:t>https://www.freepik.es/vector-gratis/plantilla-grafico-proceso-cinco-hexagonos-datos-comerciales_2748290.htm#fromView=search&amp;page=1&amp;position=5&amp;uuid=e16a98b0-d067-4b9d-9c46-e1f67f2962f5&amp;query=infografia+de+5+items+para+desplegar+puntos+calientes</w:t>
        </w:r>
      </w:hyperlink>
    </w:p>
    <w:p w14:paraId="5FCFC7CE" w14:textId="77777777" w:rsidR="002331E1" w:rsidRDefault="002331E1" w:rsidP="002331E1">
      <w:pPr>
        <w:pStyle w:val="Textocomentario"/>
      </w:pPr>
    </w:p>
    <w:p w14:paraId="41311CB4" w14:textId="77777777" w:rsidR="002331E1" w:rsidRDefault="002331E1" w:rsidP="002331E1">
      <w:pPr>
        <w:pStyle w:val="Textocomentario"/>
      </w:pPr>
      <w:r>
        <w:t>Textos:</w:t>
      </w:r>
    </w:p>
    <w:p w14:paraId="1426EA54" w14:textId="77777777" w:rsidR="002331E1" w:rsidRDefault="002331E1" w:rsidP="002331E1">
      <w:pPr>
        <w:pStyle w:val="Textocomentario"/>
      </w:pPr>
    </w:p>
    <w:p w14:paraId="33F85030" w14:textId="77777777" w:rsidR="002331E1" w:rsidRDefault="002331E1" w:rsidP="002331E1">
      <w:pPr>
        <w:pStyle w:val="Textocomentario"/>
      </w:pPr>
      <w:r>
        <w:rPr>
          <w:b/>
          <w:bCs/>
        </w:rPr>
        <w:t>Reconocer al cliente:</w:t>
      </w:r>
      <w:r>
        <w:t xml:space="preserve"> identificar la persona natural o jurídica que establece relación con la organización. </w:t>
      </w:r>
    </w:p>
    <w:p w14:paraId="582919B4" w14:textId="77777777" w:rsidR="002331E1" w:rsidRDefault="002331E1" w:rsidP="002331E1">
      <w:pPr>
        <w:pStyle w:val="Textocomentario"/>
      </w:pPr>
      <w:r>
        <w:rPr>
          <w:b/>
          <w:bCs/>
        </w:rPr>
        <w:t>Caracterizar la relación:</w:t>
      </w:r>
      <w:r>
        <w:t xml:space="preserve"> definir el tipo de vínculo o servicio que se establece. </w:t>
      </w:r>
    </w:p>
    <w:p w14:paraId="3BCBE72E" w14:textId="77777777" w:rsidR="002331E1" w:rsidRDefault="002331E1" w:rsidP="002331E1">
      <w:pPr>
        <w:pStyle w:val="Textocomentario"/>
      </w:pPr>
      <w:r>
        <w:rPr>
          <w:b/>
          <w:bCs/>
        </w:rPr>
        <w:t>Validar la información general:</w:t>
      </w:r>
      <w:r>
        <w:t xml:space="preserve"> confirmar que los datos suministrados sean consistentes de forma preliminar. </w:t>
      </w:r>
    </w:p>
    <w:p w14:paraId="1870B2EB" w14:textId="77777777" w:rsidR="002331E1" w:rsidRDefault="002331E1" w:rsidP="002331E1">
      <w:pPr>
        <w:pStyle w:val="Textocomentario"/>
      </w:pPr>
      <w:r>
        <w:rPr>
          <w:b/>
          <w:bCs/>
        </w:rPr>
        <w:t>Establecer un perfil inicial:</w:t>
      </w:r>
      <w:r>
        <w:t xml:space="preserve"> construir una referencia básica para el conocimiento del cliente. </w:t>
      </w:r>
    </w:p>
    <w:p w14:paraId="50E7C80E" w14:textId="77777777" w:rsidR="002331E1" w:rsidRDefault="002331E1" w:rsidP="002331E1">
      <w:pPr>
        <w:pStyle w:val="Textocomentario"/>
      </w:pPr>
      <w:r>
        <w:rPr>
          <w:b/>
          <w:bCs/>
        </w:rPr>
        <w:t>Registrar la información:</w:t>
      </w:r>
      <w:r>
        <w:t xml:space="preserve"> documentar los datos para su control y seguimiento institucional.</w:t>
      </w:r>
    </w:p>
  </w:comment>
  <w:comment w:id="2" w:author="Gloria Alzate" w:date="2026-04-25T11:10:00Z" w:initials="GA">
    <w:p w14:paraId="62B5B8E6" w14:textId="77777777" w:rsidR="00CE50E9" w:rsidRDefault="007725FB" w:rsidP="00CE50E9">
      <w:pPr>
        <w:pStyle w:val="Textocomentario"/>
      </w:pPr>
      <w:r>
        <w:rPr>
          <w:rStyle w:val="Refdecomentario"/>
        </w:rPr>
        <w:annotationRef/>
      </w:r>
      <w:r w:rsidR="00CE50E9">
        <w:t>Se sugiere rediseñar la figura propuesta con los siguientes textos:</w:t>
      </w:r>
    </w:p>
    <w:p w14:paraId="70834D5B" w14:textId="77777777" w:rsidR="00CE50E9" w:rsidRDefault="00CE50E9" w:rsidP="00CE50E9">
      <w:pPr>
        <w:pStyle w:val="Textocomentario"/>
      </w:pPr>
    </w:p>
    <w:p w14:paraId="783B9B49" w14:textId="77777777" w:rsidR="00CE50E9" w:rsidRDefault="00CE50E9" w:rsidP="00CE50E9">
      <w:pPr>
        <w:pStyle w:val="Textocomentario"/>
      </w:pPr>
      <w:r>
        <w:rPr>
          <w:b/>
          <w:bCs/>
        </w:rPr>
        <w:t>Verificación de documentos.</w:t>
      </w:r>
      <w:r>
        <w:t xml:space="preserve"> </w:t>
      </w:r>
    </w:p>
    <w:p w14:paraId="21C129D8" w14:textId="77777777" w:rsidR="00CE50E9" w:rsidRDefault="00CE50E9" w:rsidP="00CE50E9">
      <w:pPr>
        <w:pStyle w:val="Textocomentario"/>
      </w:pPr>
    </w:p>
    <w:p w14:paraId="0A6F13B8" w14:textId="77777777" w:rsidR="00CE50E9" w:rsidRDefault="00CE50E9" w:rsidP="00CE50E9">
      <w:pPr>
        <w:pStyle w:val="Textocomentario"/>
      </w:pPr>
      <w:r>
        <w:rPr>
          <w:b/>
          <w:bCs/>
        </w:rPr>
        <w:t>Verificación de fuentes.</w:t>
      </w:r>
      <w:r>
        <w:t xml:space="preserve"> </w:t>
      </w:r>
    </w:p>
    <w:p w14:paraId="625441EC" w14:textId="77777777" w:rsidR="00CE50E9" w:rsidRDefault="00CE50E9" w:rsidP="00CE50E9">
      <w:pPr>
        <w:pStyle w:val="Textocomentario"/>
      </w:pPr>
    </w:p>
    <w:p w14:paraId="5571F0E5" w14:textId="77777777" w:rsidR="00CE50E9" w:rsidRDefault="00CE50E9" w:rsidP="00CE50E9">
      <w:pPr>
        <w:pStyle w:val="Textocomentario"/>
      </w:pPr>
      <w:r>
        <w:rPr>
          <w:b/>
          <w:bCs/>
        </w:rPr>
        <w:t>Detección de inconsistencias.</w:t>
      </w:r>
      <w:r>
        <w:t xml:space="preserve"> </w:t>
      </w:r>
    </w:p>
    <w:p w14:paraId="0F336C31" w14:textId="77777777" w:rsidR="00CE50E9" w:rsidRDefault="00CE50E9" w:rsidP="00CE50E9">
      <w:pPr>
        <w:pStyle w:val="Textocomentario"/>
      </w:pPr>
    </w:p>
    <w:p w14:paraId="42CA55F6" w14:textId="77777777" w:rsidR="00CE50E9" w:rsidRDefault="00CE50E9" w:rsidP="00CE50E9">
      <w:pPr>
        <w:pStyle w:val="Textocomentario"/>
      </w:pPr>
      <w:r>
        <w:t>Texto alternativo:</w:t>
      </w:r>
    </w:p>
    <w:p w14:paraId="51D5CB87" w14:textId="77777777" w:rsidR="00CE50E9" w:rsidRDefault="00CE50E9" w:rsidP="00CE50E9">
      <w:pPr>
        <w:pStyle w:val="Textocomentario"/>
      </w:pPr>
      <w:r>
        <w:rPr>
          <w:b/>
          <w:bCs/>
        </w:rPr>
        <w:t>La Figura 1.</w:t>
      </w:r>
      <w:r>
        <w:t xml:space="preserve"> Proceso de verificación de identidad del cliente.</w:t>
      </w:r>
      <w:r>
        <w:rPr>
          <w:color w:val="EE0000"/>
        </w:rPr>
        <w:t xml:space="preserve"> </w:t>
      </w:r>
      <w:r>
        <w:t xml:space="preserve">Muestra el proceso de verificación de identidad del cliente mediante tres etapas: verificación de documentos, verificación de fuentes y detección de inconsistencias, organizadas de forma secuencial para validar la información del cliente. </w:t>
      </w:r>
    </w:p>
  </w:comment>
  <w:comment w:id="3" w:author="Gloria Alzate" w:date="2026-04-25T11:24:00Z" w:initials="GA">
    <w:p w14:paraId="14B08CE7" w14:textId="77777777" w:rsidR="007D472F" w:rsidRDefault="007D472F" w:rsidP="007D472F">
      <w:pPr>
        <w:pStyle w:val="Textocomentario"/>
      </w:pPr>
      <w:r>
        <w:rPr>
          <w:rStyle w:val="Refdecomentario"/>
        </w:rPr>
        <w:annotationRef/>
      </w:r>
      <w:r>
        <w:t>Recursos DI.</w:t>
      </w:r>
    </w:p>
    <w:p w14:paraId="541A3FAD" w14:textId="77777777" w:rsidR="007D472F" w:rsidRDefault="007D472F" w:rsidP="007D472F">
      <w:pPr>
        <w:pStyle w:val="Textocomentario"/>
      </w:pPr>
      <w:r>
        <w:t>Tarjetas con número</w:t>
      </w:r>
    </w:p>
    <w:p w14:paraId="0823D867" w14:textId="7A644730" w:rsidR="007D472F" w:rsidRDefault="007D472F" w:rsidP="007D472F">
      <w:pPr>
        <w:pStyle w:val="Textocomentario"/>
      </w:pPr>
      <w:r>
        <w:rPr>
          <w:noProof/>
        </w:rPr>
        <w:drawing>
          <wp:inline distT="0" distB="0" distL="0" distR="0" wp14:anchorId="740BECAD" wp14:editId="684F6549">
            <wp:extent cx="6332220" cy="2984500"/>
            <wp:effectExtent l="0" t="0" r="0" b="6350"/>
            <wp:docPr id="929303949"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3949" name="Imagen 92930394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984500"/>
                    </a:xfrm>
                    <a:prstGeom prst="rect">
                      <a:avLst/>
                    </a:prstGeom>
                  </pic:spPr>
                </pic:pic>
              </a:graphicData>
            </a:graphic>
          </wp:inline>
        </w:drawing>
      </w:r>
    </w:p>
  </w:comment>
  <w:comment w:id="4" w:author="Gloria Alzate" w:date="2026-04-25T12:21:00Z" w:initials="GA">
    <w:p w14:paraId="0B10DA9F" w14:textId="77777777" w:rsidR="007C2D1B" w:rsidRDefault="007C2D1B" w:rsidP="007C2D1B">
      <w:pPr>
        <w:pStyle w:val="Textocomentario"/>
      </w:pPr>
      <w:r>
        <w:rPr>
          <w:rStyle w:val="Refdecomentario"/>
        </w:rPr>
        <w:annotationRef/>
      </w:r>
      <w:r>
        <w:t>Recursos DI.</w:t>
      </w:r>
    </w:p>
    <w:p w14:paraId="209FABFA" w14:textId="77777777" w:rsidR="007C2D1B" w:rsidRDefault="007C2D1B" w:rsidP="007C2D1B">
      <w:pPr>
        <w:pStyle w:val="Textocomentario"/>
      </w:pPr>
      <w:r>
        <w:t>Sliders navegación simple.</w:t>
      </w:r>
    </w:p>
    <w:p w14:paraId="2099E227" w14:textId="6F2D2C2F" w:rsidR="007C2D1B" w:rsidRDefault="007C2D1B" w:rsidP="007C2D1B">
      <w:pPr>
        <w:pStyle w:val="Textocomentario"/>
      </w:pPr>
      <w:r>
        <w:rPr>
          <w:noProof/>
        </w:rPr>
        <w:drawing>
          <wp:inline distT="0" distB="0" distL="0" distR="0" wp14:anchorId="3304FC0A" wp14:editId="22CAEF85">
            <wp:extent cx="6332220" cy="3347720"/>
            <wp:effectExtent l="0" t="0" r="0" b="5080"/>
            <wp:docPr id="1642096587"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96587" name="Imagen 1642096587"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347720"/>
                    </a:xfrm>
                    <a:prstGeom prst="rect">
                      <a:avLst/>
                    </a:prstGeom>
                  </pic:spPr>
                </pic:pic>
              </a:graphicData>
            </a:graphic>
          </wp:inline>
        </w:drawing>
      </w:r>
    </w:p>
  </w:comment>
  <w:comment w:id="5" w:author="Gloria Alzate" w:date="2026-04-25T16:58:00Z" w:initials="GA">
    <w:p w14:paraId="124614DF" w14:textId="77777777" w:rsidR="00F50237" w:rsidRDefault="00CC1459" w:rsidP="00F50237">
      <w:pPr>
        <w:pStyle w:val="Textocomentario"/>
      </w:pPr>
      <w:r>
        <w:rPr>
          <w:rStyle w:val="Refdecomentario"/>
        </w:rPr>
        <w:annotationRef/>
      </w:r>
      <w:r w:rsidR="00F50237">
        <w:t>Se sugiere implementar una infografía interactiva con 4 puntos calientes que despliega el texto al dar clic.</w:t>
      </w:r>
    </w:p>
    <w:p w14:paraId="259B6736" w14:textId="77777777" w:rsidR="00F50237" w:rsidRDefault="00F50237" w:rsidP="00F50237">
      <w:pPr>
        <w:pStyle w:val="Textocomentario"/>
      </w:pPr>
      <w:r>
        <w:t>Enlace:</w:t>
      </w:r>
    </w:p>
    <w:p w14:paraId="55D33EEF" w14:textId="77777777" w:rsidR="00F50237" w:rsidRDefault="00F50237" w:rsidP="00F50237">
      <w:pPr>
        <w:pStyle w:val="Textocomentario"/>
      </w:pPr>
      <w:hyperlink r:id="rId5" w:anchor="fromView=search&amp;page=1&amp;position=24&amp;uuid=b7bde0ce-e0bc-43fa-8f17-6e5064bbaf1a&amp;query=inofgrafia+de+4+items+estatica" w:history="1">
        <w:r w:rsidRPr="00895478">
          <w:rPr>
            <w:rStyle w:val="Hipervnculo"/>
          </w:rPr>
          <w:t>https://www.freepik.es/vector-gratis/coleccion-pasos-coloridos-infografia-estilo-isometrico_2037251.htm#fromView=search&amp;page=1&amp;position=24&amp;uuid=b7bde0ce-e0bc-43fa-8f17-6e5064bbaf1a&amp;query=inofgrafia+de+4+items+estatica</w:t>
        </w:r>
      </w:hyperlink>
    </w:p>
    <w:p w14:paraId="24223922" w14:textId="77777777" w:rsidR="00F50237" w:rsidRDefault="00F50237" w:rsidP="00F50237">
      <w:pPr>
        <w:pStyle w:val="Textocomentario"/>
      </w:pPr>
    </w:p>
    <w:p w14:paraId="4FF68CD1" w14:textId="77777777" w:rsidR="00F50237" w:rsidRDefault="00F50237" w:rsidP="00F50237">
      <w:pPr>
        <w:pStyle w:val="Textocomentario"/>
      </w:pPr>
      <w:r>
        <w:t>Textos:</w:t>
      </w:r>
    </w:p>
    <w:p w14:paraId="408501FF" w14:textId="77777777" w:rsidR="00F50237" w:rsidRDefault="00F50237" w:rsidP="00F50237">
      <w:pPr>
        <w:pStyle w:val="Textocomentario"/>
      </w:pPr>
      <w:r>
        <w:rPr>
          <w:b/>
          <w:bCs/>
        </w:rPr>
        <w:t xml:space="preserve">Cambios en la actividad económica: </w:t>
      </w:r>
      <w:r>
        <w:t xml:space="preserve">Modificación en la actividad laboral o comercial del cliente que genera variaciones en sus transacciones, sin que ello implique una actividad ilícita. </w:t>
      </w:r>
    </w:p>
    <w:p w14:paraId="49AA65D5" w14:textId="77777777" w:rsidR="00F50237" w:rsidRDefault="00F50237" w:rsidP="00F50237">
      <w:pPr>
        <w:pStyle w:val="Textocomentario"/>
      </w:pPr>
    </w:p>
    <w:p w14:paraId="2911802F" w14:textId="77777777" w:rsidR="00F50237" w:rsidRDefault="00F50237" w:rsidP="00F50237">
      <w:pPr>
        <w:pStyle w:val="Textocomentario"/>
      </w:pPr>
      <w:r>
        <w:rPr>
          <w:b/>
          <w:bCs/>
        </w:rPr>
        <w:t>Operaciones extraordinarias:</w:t>
      </w:r>
    </w:p>
    <w:p w14:paraId="1F6F62D1" w14:textId="77777777" w:rsidR="00F50237" w:rsidRDefault="00F50237" w:rsidP="00F50237">
      <w:pPr>
        <w:pStyle w:val="Textocomentario"/>
      </w:pPr>
      <w:r>
        <w:t>Transacciones de mayor valor o frecuencia que obedecen a eventos puntuales verificables, como la venta de un bien o el cobro de una indemnización.</w:t>
      </w:r>
    </w:p>
    <w:p w14:paraId="0F2EBA4E" w14:textId="77777777" w:rsidR="00F50237" w:rsidRDefault="00F50237" w:rsidP="00F50237">
      <w:pPr>
        <w:pStyle w:val="Textocomentario"/>
      </w:pPr>
    </w:p>
    <w:p w14:paraId="0EADF5AA" w14:textId="77777777" w:rsidR="00F50237" w:rsidRDefault="00F50237" w:rsidP="00F50237">
      <w:pPr>
        <w:pStyle w:val="Textocomentario"/>
      </w:pPr>
      <w:r>
        <w:rPr>
          <w:b/>
          <w:bCs/>
        </w:rPr>
        <w:t>Situaciones específicas justificables:</w:t>
      </w:r>
    </w:p>
    <w:p w14:paraId="42B63E7E" w14:textId="77777777" w:rsidR="00F50237" w:rsidRDefault="00F50237" w:rsidP="00F50237">
      <w:pPr>
        <w:pStyle w:val="Textocomentario"/>
      </w:pPr>
      <w:r>
        <w:t>Operaciones que responden a necesidades particulares del cliente como los gastos médicos o compromisos comerciales, sustentadas mediante documentación de soporte.</w:t>
      </w:r>
    </w:p>
    <w:p w14:paraId="64884967" w14:textId="77777777" w:rsidR="00F50237" w:rsidRDefault="00F50237" w:rsidP="00F50237">
      <w:pPr>
        <w:pStyle w:val="Textocomentario"/>
      </w:pPr>
    </w:p>
    <w:p w14:paraId="5B74E841" w14:textId="77777777" w:rsidR="00F50237" w:rsidRDefault="00F50237" w:rsidP="00F50237">
      <w:pPr>
        <w:pStyle w:val="Textocomentario"/>
      </w:pPr>
      <w:r>
        <w:rPr>
          <w:b/>
          <w:bCs/>
        </w:rPr>
        <w:t>Verificación y análisis</w:t>
      </w:r>
      <w:r>
        <w:t>:</w:t>
      </w:r>
    </w:p>
    <w:p w14:paraId="2EFEFEC6" w14:textId="77777777" w:rsidR="00F50237" w:rsidRDefault="00F50237" w:rsidP="00F50237">
      <w:pPr>
        <w:pStyle w:val="Textocomentario"/>
      </w:pPr>
      <w:r>
        <w:t>Proceso mediante el cual la entidad solicita información adicional al cliente para determinar si la operación tiene justificación legítima o debe ser reportada.</w:t>
      </w:r>
    </w:p>
    <w:p w14:paraId="552B9F6C" w14:textId="77777777" w:rsidR="00F50237" w:rsidRDefault="00F50237" w:rsidP="00F50237">
      <w:pPr>
        <w:pStyle w:val="Textocomentario"/>
      </w:pPr>
    </w:p>
  </w:comment>
  <w:comment w:id="6" w:author="Gloria Alzate" w:date="2026-04-25T17:17:00Z" w:initials="GA">
    <w:p w14:paraId="66216402" w14:textId="77777777" w:rsidR="007924C0" w:rsidRDefault="007924C0" w:rsidP="007924C0">
      <w:pPr>
        <w:pStyle w:val="Textocomentario"/>
      </w:pPr>
      <w:r>
        <w:rPr>
          <w:rStyle w:val="Refdecomentario"/>
        </w:rPr>
        <w:annotationRef/>
      </w:r>
      <w:r>
        <w:t>Recursos DI:</w:t>
      </w:r>
    </w:p>
    <w:p w14:paraId="2A069F48" w14:textId="77777777" w:rsidR="007924C0" w:rsidRDefault="007924C0" w:rsidP="007924C0">
      <w:pPr>
        <w:pStyle w:val="Textocomentario"/>
      </w:pPr>
      <w:r>
        <w:t>Acordeón a la izquierda.</w:t>
      </w:r>
    </w:p>
    <w:p w14:paraId="194BC875" w14:textId="6D6AF108" w:rsidR="007924C0" w:rsidRDefault="007924C0" w:rsidP="007924C0">
      <w:pPr>
        <w:pStyle w:val="Textocomentario"/>
      </w:pPr>
      <w:r>
        <w:rPr>
          <w:noProof/>
        </w:rPr>
        <w:drawing>
          <wp:inline distT="0" distB="0" distL="0" distR="0" wp14:anchorId="3AADB924" wp14:editId="0A8F8D13">
            <wp:extent cx="6332220" cy="3392170"/>
            <wp:effectExtent l="0" t="0" r="0" b="0"/>
            <wp:docPr id="1276078663"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78663" name="Imagen 1276078663"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3392170"/>
                    </a:xfrm>
                    <a:prstGeom prst="rect">
                      <a:avLst/>
                    </a:prstGeom>
                  </pic:spPr>
                </pic:pic>
              </a:graphicData>
            </a:graphic>
          </wp:inline>
        </w:drawing>
      </w:r>
    </w:p>
  </w:comment>
  <w:comment w:id="7" w:author="Gloria Alzate" w:date="2026-04-25T17:32:00Z" w:initials="GA">
    <w:p w14:paraId="07E8AB9E" w14:textId="77777777" w:rsidR="007E5F82" w:rsidRDefault="007E5F82" w:rsidP="007E5F82">
      <w:pPr>
        <w:pStyle w:val="Textocomentario"/>
      </w:pPr>
      <w:r>
        <w:rPr>
          <w:rStyle w:val="Refdecomentario"/>
        </w:rPr>
        <w:annotationRef/>
      </w:r>
      <w:r>
        <w:t xml:space="preserve">Se sugiere diseñar una figura que represente la operación sospechosa y la operación inusual. </w:t>
      </w:r>
    </w:p>
    <w:p w14:paraId="040C8D97" w14:textId="77777777" w:rsidR="007E5F82" w:rsidRDefault="007E5F82" w:rsidP="007E5F82">
      <w:pPr>
        <w:pStyle w:val="Textocomentario"/>
      </w:pPr>
    </w:p>
    <w:p w14:paraId="70A08E61" w14:textId="77777777" w:rsidR="007E5F82" w:rsidRDefault="007E5F82" w:rsidP="007E5F82">
      <w:pPr>
        <w:pStyle w:val="Textocomentario"/>
      </w:pPr>
      <w:r>
        <w:t>Textos:</w:t>
      </w:r>
    </w:p>
    <w:p w14:paraId="5A8305BD" w14:textId="77777777" w:rsidR="007E5F82" w:rsidRDefault="007E5F82" w:rsidP="007E5F82">
      <w:pPr>
        <w:pStyle w:val="Textocomentario"/>
      </w:pPr>
      <w:r>
        <w:rPr>
          <w:b/>
          <w:bCs/>
        </w:rPr>
        <w:t>Operación sospechosa:</w:t>
      </w:r>
      <w:r>
        <w:t xml:space="preserve"> </w:t>
      </w:r>
    </w:p>
    <w:p w14:paraId="6F801014" w14:textId="77777777" w:rsidR="007E5F82" w:rsidRDefault="007E5F82" w:rsidP="007E5F82">
      <w:pPr>
        <w:pStyle w:val="Textocomentario"/>
      </w:pPr>
      <w:r>
        <w:t>No puede ser justificada adecuadamente y puede estar relacionada con actividades ilícitas.</w:t>
      </w:r>
    </w:p>
    <w:p w14:paraId="1EF5C91A" w14:textId="77777777" w:rsidR="007E5F82" w:rsidRDefault="007E5F82" w:rsidP="007E5F82">
      <w:pPr>
        <w:pStyle w:val="Textocomentario"/>
      </w:pPr>
    </w:p>
    <w:p w14:paraId="5630AB68" w14:textId="77777777" w:rsidR="007E5F82" w:rsidRDefault="007E5F82" w:rsidP="007E5F82">
      <w:pPr>
        <w:pStyle w:val="Textocomentario"/>
      </w:pPr>
      <w:r>
        <w:rPr>
          <w:b/>
          <w:bCs/>
        </w:rPr>
        <w:t>Operación inusual:</w:t>
      </w:r>
      <w:r>
        <w:t xml:space="preserve"> </w:t>
      </w:r>
    </w:p>
    <w:p w14:paraId="242CA121" w14:textId="77777777" w:rsidR="007E5F82" w:rsidRDefault="007E5F82" w:rsidP="007E5F82">
      <w:pPr>
        <w:pStyle w:val="Textocomentario"/>
      </w:pPr>
      <w:r>
        <w:t>Se aparta del comportamiento habitual del cliente pero puede ser justificada.</w:t>
      </w:r>
    </w:p>
    <w:p w14:paraId="5F2E3B7D" w14:textId="77777777" w:rsidR="007E5F82" w:rsidRDefault="007E5F82" w:rsidP="007E5F82">
      <w:pPr>
        <w:pStyle w:val="Textocomentario"/>
      </w:pPr>
    </w:p>
    <w:p w14:paraId="0BAD15B6" w14:textId="77777777" w:rsidR="007E5F82" w:rsidRDefault="007E5F82" w:rsidP="007E5F82">
      <w:pPr>
        <w:pStyle w:val="Textocomentario"/>
      </w:pPr>
      <w:r>
        <w:t>Texto alternativo:</w:t>
      </w:r>
    </w:p>
    <w:p w14:paraId="0A269ECB" w14:textId="77777777" w:rsidR="007E5F82" w:rsidRDefault="007E5F82" w:rsidP="007E5F82">
      <w:pPr>
        <w:pStyle w:val="Textocomentario"/>
      </w:pPr>
      <w:r>
        <w:t xml:space="preserve">Figura comparativa titulada  ¿Es la operación sospechosa o inusual?. A la izquierda, una flecha roja identifica la operación sospechosa con la descripción: no puede ser justificada adecuadamente y puede estar relacionada con actividades ilícitas. A la derecha, una flecha azul identifica la operación inusual con la descripción: se aparta del comportamiento habitual del cliente pero puede ser justificada. </w:t>
      </w:r>
    </w:p>
    <w:p w14:paraId="389E3728" w14:textId="77777777" w:rsidR="007E5F82" w:rsidRDefault="007E5F82" w:rsidP="007E5F82">
      <w:pPr>
        <w:pStyle w:val="Textocomentario"/>
      </w:pPr>
    </w:p>
  </w:comment>
  <w:comment w:id="8" w:author="Gloria Alzate" w:date="2026-04-25T17:37:00Z" w:initials="GA">
    <w:p w14:paraId="4100AEB8" w14:textId="77777777" w:rsidR="004A15DA" w:rsidRDefault="004A15DA" w:rsidP="004A15DA">
      <w:pPr>
        <w:pStyle w:val="Textocomentario"/>
      </w:pPr>
      <w:r>
        <w:rPr>
          <w:rStyle w:val="Refdecomentario"/>
        </w:rPr>
        <w:annotationRef/>
      </w:r>
      <w:r>
        <w:t>Recursos DI:</w:t>
      </w:r>
    </w:p>
    <w:p w14:paraId="523BB005" w14:textId="77777777" w:rsidR="004A15DA" w:rsidRDefault="004A15DA" w:rsidP="004A15DA">
      <w:pPr>
        <w:pStyle w:val="Textocomentario"/>
      </w:pPr>
      <w:r>
        <w:t>T Listados.</w:t>
      </w:r>
    </w:p>
    <w:p w14:paraId="080064D8" w14:textId="72AE483F" w:rsidR="004A15DA" w:rsidRDefault="004A15DA" w:rsidP="004A15DA">
      <w:pPr>
        <w:pStyle w:val="Textocomentario"/>
      </w:pPr>
      <w:r>
        <w:rPr>
          <w:noProof/>
        </w:rPr>
        <w:drawing>
          <wp:inline distT="0" distB="0" distL="0" distR="0" wp14:anchorId="23169A5D" wp14:editId="246DD8C0">
            <wp:extent cx="6332220" cy="3938905"/>
            <wp:effectExtent l="0" t="0" r="0" b="4445"/>
            <wp:docPr id="1258059374"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59374" name="Imagen 1258059374"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3938905"/>
                    </a:xfrm>
                    <a:prstGeom prst="rect">
                      <a:avLst/>
                    </a:prstGeom>
                  </pic:spPr>
                </pic:pic>
              </a:graphicData>
            </a:graphic>
          </wp:inline>
        </w:drawing>
      </w:r>
    </w:p>
  </w:comment>
  <w:comment w:id="9" w:author="Gloria Alzate" w:date="2026-04-25T17:55:00Z" w:initials="GA">
    <w:p w14:paraId="41B08D15" w14:textId="77777777" w:rsidR="00BA3526" w:rsidRDefault="00BA3526" w:rsidP="00BA3526">
      <w:pPr>
        <w:pStyle w:val="Textocomentario"/>
      </w:pPr>
      <w:r>
        <w:rPr>
          <w:rStyle w:val="Refdecomentario"/>
        </w:rPr>
        <w:annotationRef/>
      </w:r>
      <w:r>
        <w:t>Recursos DI:</w:t>
      </w:r>
    </w:p>
    <w:p w14:paraId="2D214847" w14:textId="77777777" w:rsidR="00BA3526" w:rsidRDefault="00BA3526" w:rsidP="00BA3526">
      <w:pPr>
        <w:pStyle w:val="Textocomentario"/>
      </w:pPr>
      <w:r>
        <w:rPr>
          <w:b/>
          <w:bCs/>
          <w:color w:val="12263F"/>
          <w:highlight w:val="white"/>
        </w:rPr>
        <w:t>Slide navegación con numerales.</w:t>
      </w:r>
    </w:p>
    <w:p w14:paraId="70DEA9FA" w14:textId="77777777" w:rsidR="00BA3526" w:rsidRDefault="00BA3526" w:rsidP="00BA3526">
      <w:pPr>
        <w:pStyle w:val="Textocomentario"/>
      </w:pPr>
    </w:p>
    <w:p w14:paraId="2733EDCC" w14:textId="106E815C" w:rsidR="00BA3526" w:rsidRDefault="00BA3526" w:rsidP="00BA3526">
      <w:pPr>
        <w:pStyle w:val="Textocomentario"/>
      </w:pPr>
      <w:r>
        <w:rPr>
          <w:noProof/>
        </w:rPr>
        <w:drawing>
          <wp:inline distT="0" distB="0" distL="0" distR="0" wp14:anchorId="7A656C8D" wp14:editId="7E328F73">
            <wp:extent cx="6332220" cy="3582035"/>
            <wp:effectExtent l="0" t="0" r="0" b="0"/>
            <wp:docPr id="158750561"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0561" name="Imagen 158750561"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582035"/>
                    </a:xfrm>
                    <a:prstGeom prst="rect">
                      <a:avLst/>
                    </a:prstGeom>
                  </pic:spPr>
                </pic:pic>
              </a:graphicData>
            </a:graphic>
          </wp:inline>
        </w:drawing>
      </w:r>
    </w:p>
  </w:comment>
  <w:comment w:id="10" w:author="Gloria Alzate" w:date="2026-04-25T18:44:00Z" w:initials="GA">
    <w:p w14:paraId="0581B093" w14:textId="77777777" w:rsidR="004D5402" w:rsidRDefault="004D5402" w:rsidP="004D5402">
      <w:pPr>
        <w:pStyle w:val="Textocomentario"/>
      </w:pPr>
      <w:r>
        <w:rPr>
          <w:rStyle w:val="Refdecomentario"/>
        </w:rPr>
        <w:annotationRef/>
      </w:r>
      <w:r>
        <w:t>Recursos DI:</w:t>
      </w:r>
    </w:p>
    <w:p w14:paraId="5B5FA987" w14:textId="77777777" w:rsidR="004D5402" w:rsidRDefault="004D5402" w:rsidP="004D5402">
      <w:pPr>
        <w:pStyle w:val="Textocomentario"/>
      </w:pPr>
      <w:r>
        <w:t>Pasos verticales.</w:t>
      </w:r>
    </w:p>
    <w:p w14:paraId="136F2278" w14:textId="2483129F" w:rsidR="004D5402" w:rsidRDefault="004D5402" w:rsidP="004D5402">
      <w:pPr>
        <w:pStyle w:val="Textocomentario"/>
      </w:pPr>
      <w:r>
        <w:rPr>
          <w:noProof/>
        </w:rPr>
        <w:drawing>
          <wp:inline distT="0" distB="0" distL="0" distR="0" wp14:anchorId="536E18E1" wp14:editId="2855BC23">
            <wp:extent cx="6332220" cy="2663825"/>
            <wp:effectExtent l="0" t="0" r="0" b="3175"/>
            <wp:docPr id="712885467"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85467" name="Imagen 712885467"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2663825"/>
                    </a:xfrm>
                    <a:prstGeom prst="rect">
                      <a:avLst/>
                    </a:prstGeom>
                  </pic:spPr>
                </pic:pic>
              </a:graphicData>
            </a:graphic>
          </wp:inline>
        </w:drawing>
      </w:r>
    </w:p>
  </w:comment>
  <w:comment w:id="11" w:author="Gloria Alzate" w:date="2026-04-25T18:59:00Z" w:initials="GA">
    <w:p w14:paraId="2ABA3F7D" w14:textId="77777777" w:rsidR="00331765" w:rsidRDefault="00331765" w:rsidP="00331765">
      <w:pPr>
        <w:pStyle w:val="Textocomentario"/>
      </w:pPr>
      <w:r>
        <w:rPr>
          <w:rStyle w:val="Refdecomentario"/>
        </w:rPr>
        <w:annotationRef/>
      </w:r>
      <w:r>
        <w:t>Recursos DI:</w:t>
      </w:r>
    </w:p>
    <w:p w14:paraId="462277A6" w14:textId="77777777" w:rsidR="00331765" w:rsidRDefault="00331765" w:rsidP="00331765">
      <w:pPr>
        <w:pStyle w:val="Textocomentario"/>
      </w:pPr>
      <w:r>
        <w:t>Pestañas verticales.</w:t>
      </w:r>
    </w:p>
    <w:p w14:paraId="36C92353" w14:textId="33D37FFF" w:rsidR="00331765" w:rsidRDefault="00331765" w:rsidP="00331765">
      <w:pPr>
        <w:pStyle w:val="Textocomentario"/>
      </w:pPr>
      <w:r>
        <w:rPr>
          <w:noProof/>
        </w:rPr>
        <w:drawing>
          <wp:inline distT="0" distB="0" distL="0" distR="0" wp14:anchorId="53E23101" wp14:editId="603AA81F">
            <wp:extent cx="6332220" cy="2513330"/>
            <wp:effectExtent l="0" t="0" r="0" b="1270"/>
            <wp:docPr id="10931762"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762" name="Imagen 10931762"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513330"/>
                    </a:xfrm>
                    <a:prstGeom prst="rect">
                      <a:avLst/>
                    </a:prstGeom>
                  </pic:spPr>
                </pic:pic>
              </a:graphicData>
            </a:graphic>
          </wp:inline>
        </w:drawing>
      </w:r>
    </w:p>
  </w:comment>
  <w:comment w:id="12" w:author="Gloria Alzate" w:date="2026-04-25T19:09:00Z" w:initials="GA">
    <w:p w14:paraId="04EDD626" w14:textId="77777777" w:rsidR="00377014" w:rsidRDefault="00E7184A" w:rsidP="00377014">
      <w:pPr>
        <w:pStyle w:val="Textocomentario"/>
      </w:pPr>
      <w:r>
        <w:rPr>
          <w:rStyle w:val="Refdecomentario"/>
        </w:rPr>
        <w:annotationRef/>
      </w:r>
      <w:r w:rsidR="00377014">
        <w:t>Se sugiere diseñar una infografía interactiva que al dar clic despliegue los siguientes textos:</w:t>
      </w:r>
    </w:p>
    <w:p w14:paraId="333D212F" w14:textId="77777777" w:rsidR="00377014" w:rsidRDefault="00377014" w:rsidP="00377014">
      <w:pPr>
        <w:pStyle w:val="Textocomentario"/>
      </w:pPr>
    </w:p>
    <w:p w14:paraId="4B2ED673" w14:textId="77777777" w:rsidR="00377014" w:rsidRDefault="00377014" w:rsidP="00377014">
      <w:pPr>
        <w:pStyle w:val="Textocomentario"/>
      </w:pPr>
      <w:r>
        <w:rPr>
          <w:b/>
          <w:bCs/>
        </w:rPr>
        <w:t>Monto alto de dinero</w:t>
      </w:r>
      <w:r>
        <w:br/>
        <w:t xml:space="preserve">Recursos de valor significativo que requieren control. </w:t>
      </w:r>
    </w:p>
    <w:p w14:paraId="5EE5D377" w14:textId="77777777" w:rsidR="00377014" w:rsidRDefault="00377014" w:rsidP="00377014">
      <w:pPr>
        <w:pStyle w:val="Textocomentario"/>
      </w:pPr>
      <w:r>
        <w:rPr>
          <w:b/>
          <w:bCs/>
        </w:rPr>
        <w:t>División de operaciones</w:t>
      </w:r>
      <w:r>
        <w:br/>
        <w:t xml:space="preserve">Fragmentación del monto en varias transacciones. </w:t>
      </w:r>
    </w:p>
    <w:p w14:paraId="31EE6655" w14:textId="77777777" w:rsidR="00377014" w:rsidRDefault="00377014" w:rsidP="00377014">
      <w:pPr>
        <w:pStyle w:val="Textocomentario"/>
      </w:pPr>
      <w:r>
        <w:rPr>
          <w:b/>
          <w:bCs/>
        </w:rPr>
        <w:t>Transacciones menores</w:t>
      </w:r>
      <w:r>
        <w:br/>
        <w:t xml:space="preserve">Operaciones individuales por debajo de los límites establecidos. </w:t>
      </w:r>
    </w:p>
    <w:p w14:paraId="21D88626" w14:textId="77777777" w:rsidR="00377014" w:rsidRDefault="00377014" w:rsidP="00377014">
      <w:pPr>
        <w:pStyle w:val="Textocomentario"/>
      </w:pPr>
      <w:r>
        <w:rPr>
          <w:b/>
          <w:bCs/>
        </w:rPr>
        <w:t>Evasión de controles</w:t>
      </w:r>
      <w:r>
        <w:br/>
        <w:t xml:space="preserve">Intento de evitar reportes o mecanismos de supervisión. </w:t>
      </w:r>
    </w:p>
    <w:p w14:paraId="0A9F2D49" w14:textId="77777777" w:rsidR="00377014" w:rsidRDefault="00377014" w:rsidP="00377014">
      <w:pPr>
        <w:pStyle w:val="Textocomentario"/>
      </w:pPr>
      <w:r>
        <w:rPr>
          <w:b/>
          <w:bCs/>
        </w:rPr>
        <w:t>Riesgo financiero</w:t>
      </w:r>
      <w:r>
        <w:br/>
        <w:t>Posible ocultamiento del origen de los recursos.</w:t>
      </w:r>
    </w:p>
    <w:p w14:paraId="1798F5F4" w14:textId="77777777" w:rsidR="00377014" w:rsidRDefault="00377014" w:rsidP="00377014">
      <w:pPr>
        <w:pStyle w:val="Textocomentario"/>
      </w:pPr>
    </w:p>
    <w:p w14:paraId="62206077" w14:textId="77777777" w:rsidR="00377014" w:rsidRDefault="00377014" w:rsidP="00377014">
      <w:pPr>
        <w:pStyle w:val="Textocomentario"/>
      </w:pPr>
      <w:r>
        <w:t>Enlace:</w:t>
      </w:r>
    </w:p>
    <w:p w14:paraId="7826A511" w14:textId="77777777" w:rsidR="00377014" w:rsidRDefault="00377014" w:rsidP="00377014">
      <w:pPr>
        <w:pStyle w:val="Textocomentario"/>
      </w:pPr>
      <w:hyperlink r:id="rId11" w:anchor="fromView=search&amp;page=1&amp;position=3&amp;uuid=89e58197-954d-4c6a-9084-62506feb0cb8&amp;query=infografia+de+5+pasos++operaciones+multiples+financiero" w:history="1">
        <w:r w:rsidRPr="008A79A8">
          <w:rPr>
            <w:rStyle w:val="Hipervnculo"/>
          </w:rPr>
          <w:t>https://www.freepik.es/vector-gratis/diagrama-proceso-infografico-dinero-financiero-mano-sosteniendo-ciclo-circular-circulo-extendiendose-fondo-oscuro-estilo-contorno-brillante-4-puntos_423513288.htm#fromView=search&amp;page=1&amp;position=3&amp;uuid=89e58197-954d-4c6a-9084-62506feb0cb8&amp;query=infografia+de+5+pasos++operaciones+multiples+financiero</w:t>
        </w:r>
      </w:hyperlink>
    </w:p>
  </w:comment>
  <w:comment w:id="13" w:author="Gloria Alzate" w:date="2026-04-25T19:18:00Z" w:initials="GA">
    <w:p w14:paraId="18BC92B1" w14:textId="77777777" w:rsidR="00E06BF7" w:rsidRDefault="00E06BF7" w:rsidP="00E06BF7">
      <w:pPr>
        <w:pStyle w:val="Textocomentario"/>
      </w:pPr>
      <w:r>
        <w:rPr>
          <w:rStyle w:val="Refdecomentario"/>
        </w:rPr>
        <w:annotationRef/>
      </w:r>
      <w:r>
        <w:t>Recursos DI:</w:t>
      </w:r>
    </w:p>
    <w:p w14:paraId="15545696" w14:textId="77777777" w:rsidR="00E06BF7" w:rsidRDefault="00E06BF7" w:rsidP="00E06BF7">
      <w:pPr>
        <w:pStyle w:val="Textocomentario"/>
      </w:pPr>
      <w:r>
        <w:t>T Listados.</w:t>
      </w:r>
    </w:p>
    <w:p w14:paraId="41E5EF6E" w14:textId="7577DEC7" w:rsidR="00E06BF7" w:rsidRDefault="00E06BF7" w:rsidP="00E06BF7">
      <w:pPr>
        <w:pStyle w:val="Textocomentario"/>
      </w:pPr>
      <w:r>
        <w:rPr>
          <w:noProof/>
        </w:rPr>
        <w:drawing>
          <wp:inline distT="0" distB="0" distL="0" distR="0" wp14:anchorId="12AA71C2" wp14:editId="3BEE9844">
            <wp:extent cx="6332220" cy="3950970"/>
            <wp:effectExtent l="0" t="0" r="0" b="0"/>
            <wp:docPr id="408405475"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05475" name="Imagen 408405475"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3950970"/>
                    </a:xfrm>
                    <a:prstGeom prst="rect">
                      <a:avLst/>
                    </a:prstGeom>
                  </pic:spPr>
                </pic:pic>
              </a:graphicData>
            </a:graphic>
          </wp:inline>
        </w:drawing>
      </w:r>
    </w:p>
  </w:comment>
  <w:comment w:id="14" w:author="Gloria Alzate" w:date="2026-04-25T19:26:00Z" w:initials="GA">
    <w:p w14:paraId="0E1B28A8" w14:textId="77777777" w:rsidR="000D2C63" w:rsidRDefault="00306B60" w:rsidP="000D2C63">
      <w:pPr>
        <w:pStyle w:val="Textocomentario"/>
      </w:pPr>
      <w:r>
        <w:rPr>
          <w:rStyle w:val="Refdecomentario"/>
        </w:rPr>
        <w:annotationRef/>
      </w:r>
      <w:r w:rsidR="000D2C63">
        <w:t>Recursos DI:</w:t>
      </w:r>
    </w:p>
    <w:p w14:paraId="42F37F06" w14:textId="77777777" w:rsidR="000D2C63" w:rsidRDefault="000D2C63" w:rsidP="000D2C63">
      <w:pPr>
        <w:pStyle w:val="Textocomentario"/>
      </w:pPr>
      <w:r>
        <w:t>Pestañas o tabs con iconos</w:t>
      </w:r>
    </w:p>
    <w:p w14:paraId="125CDE0A" w14:textId="7324E779" w:rsidR="000D2C63" w:rsidRDefault="000D2C63" w:rsidP="000D2C63">
      <w:pPr>
        <w:pStyle w:val="Textocomentario"/>
      </w:pPr>
      <w:r>
        <w:rPr>
          <w:noProof/>
        </w:rPr>
        <w:drawing>
          <wp:inline distT="0" distB="0" distL="0" distR="0" wp14:anchorId="69D0FB66" wp14:editId="4D3C1920">
            <wp:extent cx="6332220" cy="3240405"/>
            <wp:effectExtent l="0" t="0" r="0" b="0"/>
            <wp:docPr id="30418059"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8059" name="Imagen 30418059"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3240405"/>
                    </a:xfrm>
                    <a:prstGeom prst="rect">
                      <a:avLst/>
                    </a:prstGeom>
                  </pic:spPr>
                </pic:pic>
              </a:graphicData>
            </a:graphic>
          </wp:inline>
        </w:drawing>
      </w:r>
    </w:p>
    <w:p w14:paraId="0FBEE121" w14:textId="77777777" w:rsidR="000D2C63" w:rsidRDefault="000D2C63" w:rsidP="000D2C63">
      <w:pPr>
        <w:pStyle w:val="Textocomentario"/>
      </w:pPr>
    </w:p>
    <w:p w14:paraId="28CF6B02" w14:textId="77777777" w:rsidR="000D2C63" w:rsidRDefault="000D2C63" w:rsidP="000D2C63">
      <w:pPr>
        <w:pStyle w:val="Textocomentario"/>
      </w:pPr>
      <w:r>
        <w:t>Nota para el CFA:</w:t>
      </w:r>
    </w:p>
    <w:p w14:paraId="3848F229" w14:textId="77777777" w:rsidR="000D2C63" w:rsidRDefault="000D2C63" w:rsidP="000D2C63">
      <w:pPr>
        <w:pStyle w:val="Textocomentario"/>
      </w:pPr>
      <w:r>
        <w:t xml:space="preserve">Recuerda que en su documento CFA debe incluir los dos puntos seguidos ya que este apartado se propone para que sea vinculado en WEB. Las normas de escritura según la RAE en los documentos deben cumplir los lineamientos descritos. </w:t>
      </w:r>
    </w:p>
    <w:p w14:paraId="617EDED7" w14:textId="77777777" w:rsidR="000D2C63" w:rsidRDefault="000D2C63" w:rsidP="000D2C63">
      <w:pPr>
        <w:pStyle w:val="Textocomentario"/>
      </w:pPr>
      <w:r>
        <w:t>Ejemplo:</w:t>
      </w:r>
    </w:p>
    <w:p w14:paraId="7E63F3E6" w14:textId="77777777" w:rsidR="000D2C63" w:rsidRDefault="000D2C63" w:rsidP="000D2C63">
      <w:pPr>
        <w:pStyle w:val="Textocomentario"/>
      </w:pPr>
      <w:r>
        <w:rPr>
          <w:b/>
          <w:bCs/>
        </w:rPr>
        <w:t xml:space="preserve">Transparencia en la información: </w:t>
      </w:r>
      <w:r>
        <w:t>los sistemas de reporte permiten registrar y comunicar información relevante sobre las operaciones financieras realizadas. Esto facilita el acceso a datos confiables y oportunos por parte de las autoridades. De esta manera, se promueve la claridad en las transacciones y se fortalece la confianza en el sistema financiero.</w:t>
      </w:r>
    </w:p>
  </w:comment>
  <w:comment w:id="15" w:author="Gloria Alzate" w:date="2026-04-26T06:08:00Z" w:initials="GA">
    <w:p w14:paraId="58AEDB63" w14:textId="77777777" w:rsidR="000615E6" w:rsidRDefault="000615E6" w:rsidP="000615E6">
      <w:pPr>
        <w:pStyle w:val="Textocomentario"/>
      </w:pPr>
      <w:r>
        <w:rPr>
          <w:rStyle w:val="Refdecomentario"/>
        </w:rPr>
        <w:annotationRef/>
      </w:r>
      <w:r>
        <w:t>Recursos DI:</w:t>
      </w:r>
    </w:p>
    <w:p w14:paraId="47233DFB" w14:textId="77777777" w:rsidR="000615E6" w:rsidRDefault="000615E6" w:rsidP="000615E6">
      <w:pPr>
        <w:pStyle w:val="Textocomentario"/>
      </w:pPr>
      <w:r>
        <w:t>Carrusel de tarjetas.</w:t>
      </w:r>
    </w:p>
    <w:p w14:paraId="0694CEF5" w14:textId="2A3635D2" w:rsidR="000615E6" w:rsidRDefault="000615E6" w:rsidP="000615E6">
      <w:pPr>
        <w:pStyle w:val="Textocomentario"/>
      </w:pPr>
      <w:r>
        <w:rPr>
          <w:noProof/>
        </w:rPr>
        <w:drawing>
          <wp:inline distT="0" distB="0" distL="0" distR="0" wp14:anchorId="7CBB81BE" wp14:editId="23D8F3F2">
            <wp:extent cx="6332220" cy="3947795"/>
            <wp:effectExtent l="0" t="0" r="0" b="0"/>
            <wp:docPr id="586456300"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6300" name="Imagen 586456300"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947795"/>
                    </a:xfrm>
                    <a:prstGeom prst="rect">
                      <a:avLst/>
                    </a:prstGeom>
                  </pic:spPr>
                </pic:pic>
              </a:graphicData>
            </a:graphic>
          </wp:inline>
        </w:drawing>
      </w:r>
    </w:p>
  </w:comment>
  <w:comment w:id="16" w:author="Gloria Alzate" w:date="2026-04-26T06:30:00Z" w:initials="GA">
    <w:p w14:paraId="3D94719F" w14:textId="77777777" w:rsidR="00D81A06" w:rsidRDefault="00D81A06" w:rsidP="00D81A06">
      <w:pPr>
        <w:pStyle w:val="Textocomentario"/>
      </w:pPr>
      <w:r>
        <w:rPr>
          <w:rStyle w:val="Refdecomentario"/>
        </w:rPr>
        <w:annotationRef/>
      </w:r>
      <w:r>
        <w:t>Recursos DI:</w:t>
      </w:r>
    </w:p>
    <w:p w14:paraId="02D7B8F5" w14:textId="77777777" w:rsidR="00D81A06" w:rsidRDefault="00D81A06" w:rsidP="00D81A06">
      <w:pPr>
        <w:pStyle w:val="Textocomentario"/>
      </w:pPr>
      <w:r>
        <w:t>Pestañas o tabs  con imágenes.</w:t>
      </w:r>
    </w:p>
    <w:p w14:paraId="1924FF62" w14:textId="4067929B" w:rsidR="00D81A06" w:rsidRDefault="00D81A06" w:rsidP="00D81A06">
      <w:pPr>
        <w:pStyle w:val="Textocomentario"/>
      </w:pPr>
      <w:r>
        <w:rPr>
          <w:noProof/>
        </w:rPr>
        <w:drawing>
          <wp:inline distT="0" distB="0" distL="0" distR="0" wp14:anchorId="60700A11" wp14:editId="7D598BFF">
            <wp:extent cx="6332220" cy="2845435"/>
            <wp:effectExtent l="0" t="0" r="0" b="0"/>
            <wp:docPr id="1154708857"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08857" name="Imagen 1154708857"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2845435"/>
                    </a:xfrm>
                    <a:prstGeom prst="rect">
                      <a:avLst/>
                    </a:prstGeom>
                  </pic:spPr>
                </pic:pic>
              </a:graphicData>
            </a:graphic>
          </wp:inline>
        </w:drawing>
      </w:r>
    </w:p>
  </w:comment>
  <w:comment w:id="17" w:author="Gloria Alzate" w:date="2026-04-26T06:46:00Z" w:initials="GA">
    <w:p w14:paraId="037FB184" w14:textId="77777777" w:rsidR="006C5CD3" w:rsidRDefault="006C5CD3" w:rsidP="006C5CD3">
      <w:pPr>
        <w:pStyle w:val="Textocomentario"/>
      </w:pPr>
      <w:r>
        <w:rPr>
          <w:rStyle w:val="Refdecomentario"/>
        </w:rPr>
        <w:annotationRef/>
      </w:r>
      <w:r>
        <w:t>Recursos DI:</w:t>
      </w:r>
    </w:p>
    <w:p w14:paraId="54C9D158" w14:textId="77777777" w:rsidR="006C5CD3" w:rsidRDefault="006C5CD3" w:rsidP="006C5CD3">
      <w:pPr>
        <w:pStyle w:val="Textocomentario"/>
      </w:pPr>
      <w:r>
        <w:t>Pasos- verticales.</w:t>
      </w:r>
    </w:p>
    <w:p w14:paraId="213C49A3" w14:textId="32394F6A" w:rsidR="006C5CD3" w:rsidRDefault="006C5CD3" w:rsidP="006C5CD3">
      <w:pPr>
        <w:pStyle w:val="Textocomentario"/>
      </w:pPr>
      <w:r>
        <w:rPr>
          <w:noProof/>
        </w:rPr>
        <w:drawing>
          <wp:inline distT="0" distB="0" distL="0" distR="0" wp14:anchorId="5BA864B5" wp14:editId="7C0C8EF5">
            <wp:extent cx="6332220" cy="3863340"/>
            <wp:effectExtent l="0" t="0" r="0" b="3810"/>
            <wp:docPr id="1783758160"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8160" name="Imagen 1783758160"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3863340"/>
                    </a:xfrm>
                    <a:prstGeom prst="rect">
                      <a:avLst/>
                    </a:prstGeom>
                  </pic:spPr>
                </pic:pic>
              </a:graphicData>
            </a:graphic>
          </wp:inline>
        </w:drawing>
      </w:r>
    </w:p>
  </w:comment>
  <w:comment w:id="18" w:author="Gloria Alzate" w:date="2026-04-26T06:59:00Z" w:initials="GA">
    <w:p w14:paraId="1D13912F" w14:textId="77777777" w:rsidR="00F530E7" w:rsidRDefault="00F530E7" w:rsidP="00F530E7">
      <w:pPr>
        <w:pStyle w:val="Textocomentario"/>
      </w:pPr>
      <w:r>
        <w:rPr>
          <w:rStyle w:val="Refdecomentario"/>
        </w:rPr>
        <w:annotationRef/>
      </w:r>
      <w:r>
        <w:t>Recursos DI:</w:t>
      </w:r>
    </w:p>
    <w:p w14:paraId="12B581BB" w14:textId="77777777" w:rsidR="00F530E7" w:rsidRDefault="00F530E7" w:rsidP="00F530E7">
      <w:pPr>
        <w:pStyle w:val="Textocomentario"/>
      </w:pPr>
      <w:r>
        <w:t>Tarjetas animadas.</w:t>
      </w:r>
    </w:p>
    <w:p w14:paraId="3988468B" w14:textId="7ECFDD08" w:rsidR="00F530E7" w:rsidRDefault="00F530E7" w:rsidP="00F530E7">
      <w:pPr>
        <w:pStyle w:val="Textocomentario"/>
      </w:pPr>
      <w:r>
        <w:rPr>
          <w:noProof/>
        </w:rPr>
        <w:drawing>
          <wp:inline distT="0" distB="0" distL="0" distR="0" wp14:anchorId="075F6EDA" wp14:editId="3DACC792">
            <wp:extent cx="6332220" cy="2540635"/>
            <wp:effectExtent l="0" t="0" r="0" b="0"/>
            <wp:docPr id="256226894"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26894" name="Imagen 256226894"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540635"/>
                    </a:xfrm>
                    <a:prstGeom prst="rect">
                      <a:avLst/>
                    </a:prstGeom>
                  </pic:spPr>
                </pic:pic>
              </a:graphicData>
            </a:graphic>
          </wp:inline>
        </w:drawing>
      </w:r>
    </w:p>
  </w:comment>
  <w:comment w:id="19" w:author="Gloria Alzate" w:date="2026-04-26T07:15:00Z" w:initials="GA">
    <w:p w14:paraId="543F090D" w14:textId="77777777" w:rsidR="0072625B" w:rsidRDefault="0072625B" w:rsidP="0072625B">
      <w:pPr>
        <w:pStyle w:val="Textocomentario"/>
      </w:pPr>
      <w:r>
        <w:rPr>
          <w:rStyle w:val="Refdecomentario"/>
        </w:rPr>
        <w:annotationRef/>
      </w:r>
      <w:r>
        <w:t>Recursos DI:</w:t>
      </w:r>
    </w:p>
    <w:p w14:paraId="114B0ABF" w14:textId="77777777" w:rsidR="0072625B" w:rsidRDefault="0072625B" w:rsidP="0072625B">
      <w:pPr>
        <w:pStyle w:val="Textocomentario"/>
      </w:pPr>
      <w:r>
        <w:t>Rutas pasos</w:t>
      </w:r>
    </w:p>
    <w:p w14:paraId="45F9D722" w14:textId="118206AF" w:rsidR="0072625B" w:rsidRDefault="0072625B" w:rsidP="0072625B">
      <w:pPr>
        <w:pStyle w:val="Textocomentario"/>
      </w:pPr>
      <w:r>
        <w:rPr>
          <w:noProof/>
        </w:rPr>
        <w:drawing>
          <wp:inline distT="0" distB="0" distL="0" distR="0" wp14:anchorId="44472ED5" wp14:editId="70449898">
            <wp:extent cx="6332220" cy="4837430"/>
            <wp:effectExtent l="0" t="0" r="0" b="1270"/>
            <wp:docPr id="1394449542"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49542" name="Imagen 1394449542"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4837430"/>
                    </a:xfrm>
                    <a:prstGeom prst="rect">
                      <a:avLst/>
                    </a:prstGeom>
                  </pic:spPr>
                </pic:pic>
              </a:graphicData>
            </a:graphic>
          </wp:inline>
        </w:drawing>
      </w:r>
    </w:p>
  </w:comment>
  <w:comment w:id="20" w:author="Gloria Alzate" w:date="2026-04-26T07:18:00Z" w:initials="GA">
    <w:p w14:paraId="365FBD8D" w14:textId="77777777" w:rsidR="00667CA9" w:rsidRDefault="00667CA9" w:rsidP="00667CA9">
      <w:pPr>
        <w:pStyle w:val="Textocomentario"/>
      </w:pPr>
      <w:r>
        <w:rPr>
          <w:rStyle w:val="Refdecomentario"/>
        </w:rPr>
        <w:annotationRef/>
      </w:r>
      <w:r>
        <w:t>Recursos DI:</w:t>
      </w:r>
    </w:p>
    <w:p w14:paraId="11F793BB" w14:textId="77777777" w:rsidR="00667CA9" w:rsidRDefault="00667CA9" w:rsidP="00667CA9">
      <w:pPr>
        <w:pStyle w:val="Textocomentario"/>
      </w:pPr>
      <w:r>
        <w:t>T Listados.</w:t>
      </w:r>
    </w:p>
    <w:p w14:paraId="151ADAA4" w14:textId="538C4952" w:rsidR="00667CA9" w:rsidRDefault="00667CA9" w:rsidP="00667CA9">
      <w:pPr>
        <w:pStyle w:val="Textocomentario"/>
      </w:pPr>
      <w:r>
        <w:rPr>
          <w:noProof/>
        </w:rPr>
        <w:drawing>
          <wp:inline distT="0" distB="0" distL="0" distR="0" wp14:anchorId="47E59E37" wp14:editId="1CF6D0ED">
            <wp:extent cx="6332220" cy="4837430"/>
            <wp:effectExtent l="0" t="0" r="0" b="1270"/>
            <wp:docPr id="2016852891"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2891" name="Imagen 2016852891"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4837430"/>
                    </a:xfrm>
                    <a:prstGeom prst="rect">
                      <a:avLst/>
                    </a:prstGeom>
                  </pic:spPr>
                </pic:pic>
              </a:graphicData>
            </a:graphic>
          </wp:inline>
        </w:drawing>
      </w:r>
    </w:p>
  </w:comment>
  <w:comment w:id="21" w:author="Gloria Alzate" w:date="2026-04-26T07:28:00Z" w:initials="GA">
    <w:p w14:paraId="73DB9A34" w14:textId="77777777" w:rsidR="00063735" w:rsidRDefault="00063735" w:rsidP="00063735">
      <w:pPr>
        <w:pStyle w:val="Textocomentario"/>
      </w:pPr>
      <w:r>
        <w:rPr>
          <w:rStyle w:val="Refdecomentario"/>
        </w:rPr>
        <w:annotationRef/>
      </w:r>
      <w:r>
        <w:t>Recursos DI:</w:t>
      </w:r>
    </w:p>
    <w:p w14:paraId="4AB7ADBB" w14:textId="77777777" w:rsidR="00063735" w:rsidRDefault="00063735" w:rsidP="00063735">
      <w:pPr>
        <w:pStyle w:val="Textocomentario"/>
      </w:pPr>
      <w:r>
        <w:t>Slide de navegación simple.</w:t>
      </w:r>
    </w:p>
    <w:p w14:paraId="7E123824" w14:textId="3436810E" w:rsidR="00063735" w:rsidRDefault="00063735" w:rsidP="00063735">
      <w:pPr>
        <w:pStyle w:val="Textocomentario"/>
      </w:pPr>
      <w:r>
        <w:rPr>
          <w:noProof/>
        </w:rPr>
        <w:drawing>
          <wp:inline distT="0" distB="0" distL="0" distR="0" wp14:anchorId="2A01BF25" wp14:editId="05DAF789">
            <wp:extent cx="6332220" cy="4373880"/>
            <wp:effectExtent l="0" t="0" r="0" b="7620"/>
            <wp:docPr id="1133300433"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0433" name="Imagen 1133300433"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4373880"/>
                    </a:xfrm>
                    <a:prstGeom prst="rect">
                      <a:avLst/>
                    </a:prstGeom>
                  </pic:spPr>
                </pic:pic>
              </a:graphicData>
            </a:graphic>
          </wp:inline>
        </w:drawing>
      </w:r>
    </w:p>
  </w:comment>
  <w:comment w:id="22" w:author="Gloria Alzate" w:date="2026-04-26T07:39:00Z" w:initials="GA">
    <w:p w14:paraId="3159326E" w14:textId="77777777" w:rsidR="001006CB" w:rsidRDefault="001006CB" w:rsidP="001006CB">
      <w:pPr>
        <w:pStyle w:val="Textocomentario"/>
      </w:pPr>
      <w:r>
        <w:rPr>
          <w:rStyle w:val="Refdecomentario"/>
        </w:rPr>
        <w:annotationRef/>
      </w:r>
      <w:r>
        <w:t>Recursos DI:</w:t>
      </w:r>
    </w:p>
    <w:p w14:paraId="45F071CA" w14:textId="77777777" w:rsidR="001006CB" w:rsidRDefault="001006CB" w:rsidP="001006CB">
      <w:pPr>
        <w:pStyle w:val="Textocomentario"/>
      </w:pPr>
      <w:r>
        <w:t>Acordeón con viñeta tipo 2</w:t>
      </w:r>
    </w:p>
    <w:p w14:paraId="5E489671" w14:textId="3DBACE0F" w:rsidR="001006CB" w:rsidRDefault="001006CB" w:rsidP="001006CB">
      <w:pPr>
        <w:pStyle w:val="Textocomentario"/>
      </w:pPr>
      <w:r>
        <w:rPr>
          <w:noProof/>
        </w:rPr>
        <w:drawing>
          <wp:inline distT="0" distB="0" distL="0" distR="0" wp14:anchorId="427FF249" wp14:editId="6B6F16DF">
            <wp:extent cx="6332220" cy="4225925"/>
            <wp:effectExtent l="0" t="0" r="0" b="3175"/>
            <wp:docPr id="372290251"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90251" name="Imagen 372290251"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4225925"/>
                    </a:xfrm>
                    <a:prstGeom prst="rect">
                      <a:avLst/>
                    </a:prstGeom>
                  </pic:spPr>
                </pic:pic>
              </a:graphicData>
            </a:graphic>
          </wp:inline>
        </w:drawing>
      </w:r>
    </w:p>
  </w:comment>
  <w:comment w:id="23" w:author="Gloria Alzate" w:date="2026-04-26T08:31:00Z" w:initials="GA">
    <w:p w14:paraId="6A9C9D7C" w14:textId="77777777" w:rsidR="00852CB1" w:rsidRDefault="00227FA2" w:rsidP="00852CB1">
      <w:pPr>
        <w:pStyle w:val="Textocomentario"/>
      </w:pPr>
      <w:r>
        <w:rPr>
          <w:rStyle w:val="Refdecomentario"/>
        </w:rPr>
        <w:annotationRef/>
      </w:r>
      <w:r w:rsidR="00852CB1">
        <w:t>Se sugiere diseñar una figura como la de referencia que tenga los siguientes textos:</w:t>
      </w:r>
    </w:p>
    <w:p w14:paraId="15528B38" w14:textId="77777777" w:rsidR="00852CB1" w:rsidRDefault="00852CB1" w:rsidP="00852CB1">
      <w:pPr>
        <w:pStyle w:val="Textocomentario"/>
      </w:pPr>
    </w:p>
    <w:p w14:paraId="1AB3AFC6" w14:textId="77777777" w:rsidR="00852CB1" w:rsidRDefault="00852CB1" w:rsidP="00852CB1">
      <w:pPr>
        <w:pStyle w:val="Textocomentario"/>
      </w:pPr>
      <w:r>
        <w:rPr>
          <w:b/>
          <w:bCs/>
        </w:rPr>
        <w:t>Las sanciones financieras impactan la escalabilidad económica</w:t>
      </w:r>
    </w:p>
    <w:p w14:paraId="7A6AFCE4" w14:textId="77777777" w:rsidR="00852CB1" w:rsidRDefault="00852CB1" w:rsidP="00852CB1">
      <w:pPr>
        <w:pStyle w:val="Textocomentario"/>
      </w:pPr>
    </w:p>
    <w:p w14:paraId="7574BF58" w14:textId="77777777" w:rsidR="00852CB1" w:rsidRDefault="00852CB1" w:rsidP="00852CB1">
      <w:pPr>
        <w:pStyle w:val="Textocomentario"/>
      </w:pPr>
      <w:r>
        <w:rPr>
          <w:b/>
          <w:bCs/>
        </w:rPr>
        <w:t>Sanciones financieras</w:t>
      </w:r>
    </w:p>
    <w:p w14:paraId="1ADD9160" w14:textId="77777777" w:rsidR="00852CB1" w:rsidRDefault="00852CB1" w:rsidP="00852CB1">
      <w:pPr>
        <w:pStyle w:val="Textocomentario"/>
      </w:pPr>
      <w:r>
        <w:t>Imposición de multas y sanciones económicas a la organización infractora.</w:t>
      </w:r>
    </w:p>
    <w:p w14:paraId="411ED3D6" w14:textId="77777777" w:rsidR="00852CB1" w:rsidRDefault="00852CB1" w:rsidP="00852CB1">
      <w:pPr>
        <w:pStyle w:val="Textocomentario"/>
      </w:pPr>
    </w:p>
    <w:p w14:paraId="56B188EA" w14:textId="77777777" w:rsidR="00852CB1" w:rsidRDefault="00852CB1" w:rsidP="00852CB1">
      <w:pPr>
        <w:pStyle w:val="Textocomentario"/>
      </w:pPr>
      <w:r>
        <w:rPr>
          <w:b/>
          <w:bCs/>
        </w:rPr>
        <w:t>Pérdidas financieras</w:t>
      </w:r>
    </w:p>
    <w:p w14:paraId="73DE607B" w14:textId="77777777" w:rsidR="00852CB1" w:rsidRDefault="00852CB1" w:rsidP="00852CB1">
      <w:pPr>
        <w:pStyle w:val="Textocomentario"/>
      </w:pPr>
      <w:r>
        <w:t>Generación de pérdidas económicas importantes que afectan la operación de la entidad.</w:t>
      </w:r>
    </w:p>
    <w:p w14:paraId="352848F8" w14:textId="77777777" w:rsidR="00852CB1" w:rsidRDefault="00852CB1" w:rsidP="00852CB1">
      <w:pPr>
        <w:pStyle w:val="Textocomentario"/>
      </w:pPr>
    </w:p>
    <w:p w14:paraId="6584165A" w14:textId="77777777" w:rsidR="00852CB1" w:rsidRDefault="00852CB1" w:rsidP="00852CB1">
      <w:pPr>
        <w:pStyle w:val="Textocomentario"/>
      </w:pPr>
      <w:r>
        <w:rPr>
          <w:b/>
          <w:bCs/>
        </w:rPr>
        <w:t>Daño a la reputación</w:t>
      </w:r>
    </w:p>
    <w:p w14:paraId="175A66BF" w14:textId="77777777" w:rsidR="00852CB1" w:rsidRDefault="00852CB1" w:rsidP="00852CB1">
      <w:pPr>
        <w:pStyle w:val="Textocomentario"/>
      </w:pPr>
      <w:r>
        <w:t>Deterioro de la imagen institucional de la organización ante sus grupos de interés.</w:t>
      </w:r>
    </w:p>
    <w:p w14:paraId="02245E05" w14:textId="77777777" w:rsidR="00852CB1" w:rsidRDefault="00852CB1" w:rsidP="00852CB1">
      <w:pPr>
        <w:pStyle w:val="Textocomentario"/>
      </w:pPr>
    </w:p>
    <w:p w14:paraId="483794DF" w14:textId="77777777" w:rsidR="00852CB1" w:rsidRDefault="00852CB1" w:rsidP="00852CB1">
      <w:pPr>
        <w:pStyle w:val="Textocomentario"/>
      </w:pPr>
      <w:r>
        <w:rPr>
          <w:b/>
          <w:bCs/>
        </w:rPr>
        <w:t>Limitación de actividades</w:t>
      </w:r>
    </w:p>
    <w:p w14:paraId="17570B8E" w14:textId="77777777" w:rsidR="00852CB1" w:rsidRDefault="00852CB1" w:rsidP="00852CB1">
      <w:pPr>
        <w:pStyle w:val="Textocomentario"/>
      </w:pPr>
      <w:r>
        <w:t>Reducción de la capacidad operativa de la entidad para continuar funcionando dentro del sistema financiero o empresarial.</w:t>
      </w:r>
    </w:p>
    <w:p w14:paraId="0162F738" w14:textId="77777777" w:rsidR="00852CB1" w:rsidRDefault="00852CB1" w:rsidP="00852CB1">
      <w:pPr>
        <w:pStyle w:val="Textocomentario"/>
      </w:pPr>
    </w:p>
    <w:p w14:paraId="4CB2CE66" w14:textId="77777777" w:rsidR="00852CB1" w:rsidRDefault="00852CB1" w:rsidP="00852CB1">
      <w:pPr>
        <w:pStyle w:val="Textocomentario"/>
      </w:pPr>
      <w:r>
        <w:t>Texto alternativo:</w:t>
      </w:r>
    </w:p>
    <w:p w14:paraId="02A4FB99" w14:textId="77777777" w:rsidR="00852CB1" w:rsidRDefault="00852CB1" w:rsidP="00852CB1">
      <w:pPr>
        <w:pStyle w:val="Textocomentario"/>
      </w:pPr>
      <w:r>
        <w:rPr>
          <w:b/>
          <w:bCs/>
        </w:rPr>
        <w:t>Figura 3.</w:t>
      </w:r>
      <w:r>
        <w:t xml:space="preserve"> Impacto de las sanciones financieras.</w:t>
      </w:r>
    </w:p>
    <w:p w14:paraId="0E54C1AD" w14:textId="77777777" w:rsidR="00852CB1" w:rsidRDefault="00852CB1" w:rsidP="00852CB1">
      <w:pPr>
        <w:pStyle w:val="Textocomentario"/>
      </w:pPr>
    </w:p>
    <w:p w14:paraId="378B31F7" w14:textId="77777777" w:rsidR="00852CB1" w:rsidRDefault="00852CB1" w:rsidP="00852CB1">
      <w:pPr>
        <w:pStyle w:val="Textocomentario"/>
      </w:pPr>
      <w:r>
        <w:t xml:space="preserve">Figura que representa el impacto en cadena de las sanciones financieras sobre la estabilidad económica de las organizaciones, ilustrado mediante esferas en movimiento secuencial. La imagen muestra cuatro consecuencias progresivas del incumplimiento normativo: imposición de multas económicas, pérdidas financieras importantes, deterioro de la reputación institucional y limitación de la capacidad operativa. </w:t>
      </w:r>
    </w:p>
  </w:comment>
  <w:comment w:id="24" w:author="Gloria Alzate" w:date="2026-04-26T08:23:00Z" w:initials="GA">
    <w:p w14:paraId="26CC4EF5" w14:textId="77777777" w:rsidR="00585948" w:rsidRDefault="00585948" w:rsidP="00585948">
      <w:pPr>
        <w:pStyle w:val="Textocomentario"/>
      </w:pPr>
      <w:r>
        <w:rPr>
          <w:rStyle w:val="Refdecomentario"/>
        </w:rPr>
        <w:annotationRef/>
      </w:r>
      <w:r>
        <w:t>Recursos DI:</w:t>
      </w:r>
    </w:p>
    <w:p w14:paraId="06FDD7C9" w14:textId="77777777" w:rsidR="00585948" w:rsidRDefault="00585948" w:rsidP="00585948">
      <w:pPr>
        <w:pStyle w:val="Textocomentario"/>
      </w:pPr>
      <w:r>
        <w:t>T listados</w:t>
      </w:r>
    </w:p>
    <w:p w14:paraId="09A00921" w14:textId="503593DF" w:rsidR="00585948" w:rsidRDefault="00585948" w:rsidP="00585948">
      <w:pPr>
        <w:pStyle w:val="Textocomentario"/>
      </w:pPr>
      <w:r>
        <w:rPr>
          <w:noProof/>
        </w:rPr>
        <w:drawing>
          <wp:inline distT="0" distB="0" distL="0" distR="0" wp14:anchorId="3276C2C8" wp14:editId="56A6C4E7">
            <wp:extent cx="6332220" cy="4498340"/>
            <wp:effectExtent l="0" t="0" r="0" b="0"/>
            <wp:docPr id="1259190554"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90554" name="Imagen 1259190554"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4498340"/>
                    </a:xfrm>
                    <a:prstGeom prst="rect">
                      <a:avLst/>
                    </a:prstGeom>
                  </pic:spPr>
                </pic:pic>
              </a:graphicData>
            </a:graphic>
          </wp:inline>
        </w:drawing>
      </w:r>
    </w:p>
  </w:comment>
  <w:comment w:id="25" w:author="Gloria Alzate" w:date="2026-04-26T07:47:00Z" w:initials="GA">
    <w:p w14:paraId="17961C5C" w14:textId="77777777" w:rsidR="00931B8D" w:rsidRDefault="00931B8D" w:rsidP="00931B8D">
      <w:pPr>
        <w:pStyle w:val="Textocomentario"/>
      </w:pPr>
      <w:r>
        <w:rPr>
          <w:rStyle w:val="Refdecomentario"/>
        </w:rPr>
        <w:annotationRef/>
      </w:r>
      <w:r>
        <w:t>Recursos DI:</w:t>
      </w:r>
    </w:p>
    <w:p w14:paraId="74CAA73F" w14:textId="77777777" w:rsidR="00931B8D" w:rsidRDefault="00931B8D" w:rsidP="00931B8D">
      <w:pPr>
        <w:pStyle w:val="Textocomentario"/>
      </w:pPr>
      <w:r>
        <w:t>Pestañas verticales.</w:t>
      </w:r>
    </w:p>
    <w:p w14:paraId="5593BAB6" w14:textId="11AA3A5B" w:rsidR="00931B8D" w:rsidRDefault="00931B8D" w:rsidP="00931B8D">
      <w:pPr>
        <w:pStyle w:val="Textocomentario"/>
      </w:pPr>
      <w:r>
        <w:rPr>
          <w:noProof/>
        </w:rPr>
        <w:drawing>
          <wp:inline distT="0" distB="0" distL="0" distR="0" wp14:anchorId="4A8D79FE" wp14:editId="59FB4D85">
            <wp:extent cx="6332220" cy="2445385"/>
            <wp:effectExtent l="0" t="0" r="0" b="0"/>
            <wp:docPr id="1114877799"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77799" name="Imagen 1114877799"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2445385"/>
                    </a:xfrm>
                    <a:prstGeom prst="rect">
                      <a:avLst/>
                    </a:prstGeom>
                  </pic:spPr>
                </pic:pic>
              </a:graphicData>
            </a:graphic>
          </wp:inline>
        </w:drawing>
      </w:r>
    </w:p>
  </w:comment>
  <w:comment w:id="26" w:author="Gloria Alzate" w:date="2026-04-26T07:40:00Z" w:initials="GA">
    <w:p w14:paraId="27065E30" w14:textId="77777777" w:rsidR="00931B8D" w:rsidRDefault="00931B8D" w:rsidP="00931B8D">
      <w:pPr>
        <w:pStyle w:val="Textocomentario"/>
      </w:pPr>
      <w:r>
        <w:rPr>
          <w:rStyle w:val="Refdecomentario"/>
        </w:rPr>
        <w:annotationRef/>
      </w:r>
      <w:r>
        <w:t>Recursos DI:</w:t>
      </w:r>
    </w:p>
    <w:p w14:paraId="3A5821B1" w14:textId="77777777" w:rsidR="00931B8D" w:rsidRDefault="00931B8D" w:rsidP="00931B8D">
      <w:pPr>
        <w:pStyle w:val="Textocomentario"/>
      </w:pPr>
      <w:r>
        <w:t>T Listados</w:t>
      </w:r>
    </w:p>
    <w:p w14:paraId="458FF985" w14:textId="4FD91DE9" w:rsidR="00931B8D" w:rsidRDefault="00931B8D" w:rsidP="00931B8D">
      <w:pPr>
        <w:pStyle w:val="Textocomentario"/>
      </w:pPr>
      <w:r>
        <w:rPr>
          <w:noProof/>
        </w:rPr>
        <w:drawing>
          <wp:inline distT="0" distB="0" distL="0" distR="0" wp14:anchorId="575D5B32" wp14:editId="48276975">
            <wp:extent cx="6332220" cy="4225925"/>
            <wp:effectExtent l="0" t="0" r="0" b="3175"/>
            <wp:docPr id="818208524"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08524" name="Imagen 818208524"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4225925"/>
                    </a:xfrm>
                    <a:prstGeom prst="rect">
                      <a:avLst/>
                    </a:prstGeom>
                  </pic:spPr>
                </pic:pic>
              </a:graphicData>
            </a:graphic>
          </wp:inline>
        </w:drawing>
      </w:r>
    </w:p>
  </w:comment>
  <w:comment w:id="27" w:author="Gloria Alzate" w:date="2026-04-26T08:45:00Z" w:initials="GA">
    <w:p w14:paraId="753CE0AF" w14:textId="77777777" w:rsidR="00953CD9" w:rsidRDefault="00953CD9" w:rsidP="00953CD9">
      <w:pPr>
        <w:pStyle w:val="Textocomentario"/>
      </w:pPr>
      <w:r>
        <w:rPr>
          <w:rStyle w:val="Refdecomentario"/>
        </w:rPr>
        <w:annotationRef/>
      </w:r>
      <w:r>
        <w:t>Recursos DI:</w:t>
      </w:r>
    </w:p>
    <w:p w14:paraId="3B849595" w14:textId="77777777" w:rsidR="00953CD9" w:rsidRDefault="00953CD9" w:rsidP="00953CD9">
      <w:pPr>
        <w:pStyle w:val="Textocomentario"/>
      </w:pPr>
      <w:r>
        <w:t>Pestañas o tabs</w:t>
      </w:r>
    </w:p>
    <w:p w14:paraId="3E30ECD2" w14:textId="65F21EC6" w:rsidR="00953CD9" w:rsidRDefault="00953CD9" w:rsidP="00953CD9">
      <w:pPr>
        <w:pStyle w:val="Textocomentario"/>
      </w:pPr>
      <w:r>
        <w:rPr>
          <w:noProof/>
        </w:rPr>
        <w:drawing>
          <wp:inline distT="0" distB="0" distL="0" distR="0" wp14:anchorId="14938AB8" wp14:editId="4ABCA257">
            <wp:extent cx="6332220" cy="4039235"/>
            <wp:effectExtent l="0" t="0" r="0" b="0"/>
            <wp:docPr id="1405008346"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08346" name="Imagen 1405008346" descr="Image"/>
                    <pic:cNvPicPr/>
                  </pic:nvPicPr>
                  <pic:blipFill>
                    <a:blip r:embed="rId25">
                      <a:extLst>
                        <a:ext uri="{28A0092B-C50C-407E-A947-70E740481C1C}">
                          <a14:useLocalDpi xmlns:a14="http://schemas.microsoft.com/office/drawing/2010/main" val="0"/>
                        </a:ext>
                      </a:extLst>
                    </a:blip>
                    <a:stretch>
                      <a:fillRect/>
                    </a:stretch>
                  </pic:blipFill>
                  <pic:spPr>
                    <a:xfrm>
                      <a:off x="0" y="0"/>
                      <a:ext cx="6332220" cy="4039235"/>
                    </a:xfrm>
                    <a:prstGeom prst="rect">
                      <a:avLst/>
                    </a:prstGeom>
                  </pic:spPr>
                </pic:pic>
              </a:graphicData>
            </a:graphic>
          </wp:inline>
        </w:drawing>
      </w:r>
    </w:p>
  </w:comment>
  <w:comment w:id="28" w:author="Gloria Alzate" w:date="2026-04-26T08:50:00Z" w:initials="GA">
    <w:p w14:paraId="4EF96EC6" w14:textId="77777777" w:rsidR="00E374D2" w:rsidRDefault="00E374D2" w:rsidP="00E374D2">
      <w:pPr>
        <w:pStyle w:val="Textocomentario"/>
      </w:pPr>
      <w:r>
        <w:rPr>
          <w:rStyle w:val="Refdecomentario"/>
        </w:rPr>
        <w:annotationRef/>
      </w:r>
      <w:r>
        <w:t>Recursos DI:</w:t>
      </w:r>
    </w:p>
    <w:p w14:paraId="521B800A" w14:textId="77777777" w:rsidR="00E374D2" w:rsidRDefault="00E374D2" w:rsidP="00E374D2">
      <w:pPr>
        <w:pStyle w:val="Textocomentario"/>
      </w:pPr>
      <w:r>
        <w:t>Tarjetas con número.</w:t>
      </w:r>
    </w:p>
    <w:p w14:paraId="485840E1" w14:textId="04809191" w:rsidR="00E374D2" w:rsidRDefault="00E374D2" w:rsidP="00E374D2">
      <w:pPr>
        <w:pStyle w:val="Textocomentario"/>
      </w:pPr>
      <w:r>
        <w:rPr>
          <w:noProof/>
        </w:rPr>
        <w:drawing>
          <wp:inline distT="0" distB="0" distL="0" distR="0" wp14:anchorId="535D1C0D" wp14:editId="10EDFDCC">
            <wp:extent cx="6332220" cy="2593340"/>
            <wp:effectExtent l="0" t="0" r="0" b="0"/>
            <wp:docPr id="35292242"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242" name="Imagen 35292242"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2593340"/>
                    </a:xfrm>
                    <a:prstGeom prst="rect">
                      <a:avLst/>
                    </a:prstGeom>
                  </pic:spPr>
                </pic:pic>
              </a:graphicData>
            </a:graphic>
          </wp:inline>
        </w:drawing>
      </w:r>
    </w:p>
  </w:comment>
  <w:comment w:id="29" w:author="Gloria Alzate" w:date="2026-04-26T09:05:00Z" w:initials="GA">
    <w:p w14:paraId="4012F5DE" w14:textId="77777777" w:rsidR="0004388F" w:rsidRDefault="0004388F" w:rsidP="0004388F">
      <w:pPr>
        <w:pStyle w:val="Textocomentario"/>
      </w:pPr>
      <w:r>
        <w:rPr>
          <w:rStyle w:val="Refdecomentario"/>
        </w:rPr>
        <w:annotationRef/>
      </w:r>
      <w:r>
        <w:t>Recursos DI:</w:t>
      </w:r>
    </w:p>
    <w:p w14:paraId="326F093C" w14:textId="77777777" w:rsidR="0004388F" w:rsidRDefault="0004388F" w:rsidP="0004388F">
      <w:pPr>
        <w:pStyle w:val="Textocomentario"/>
      </w:pPr>
      <w:r>
        <w:t>Acordeón con viñeta a la izquierda tipo 1</w:t>
      </w:r>
    </w:p>
    <w:p w14:paraId="00D816CF" w14:textId="383E723C" w:rsidR="0004388F" w:rsidRDefault="0004388F" w:rsidP="0004388F">
      <w:pPr>
        <w:pStyle w:val="Textocomentario"/>
      </w:pPr>
      <w:r>
        <w:rPr>
          <w:noProof/>
        </w:rPr>
        <w:drawing>
          <wp:inline distT="0" distB="0" distL="0" distR="0" wp14:anchorId="4EB12862" wp14:editId="40CE4774">
            <wp:extent cx="6332220" cy="3380105"/>
            <wp:effectExtent l="0" t="0" r="0" b="0"/>
            <wp:docPr id="1151429917"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29917" name="Imagen 1151429917"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380105"/>
                    </a:xfrm>
                    <a:prstGeom prst="rect">
                      <a:avLst/>
                    </a:prstGeom>
                  </pic:spPr>
                </pic:pic>
              </a:graphicData>
            </a:graphic>
          </wp:inline>
        </w:drawing>
      </w:r>
    </w:p>
  </w:comment>
  <w:comment w:id="30" w:author="Gloria Alzate" w:date="2026-04-26T08:54:00Z" w:initials="GA">
    <w:p w14:paraId="30458B37" w14:textId="77777777" w:rsidR="0011542F" w:rsidRDefault="0011542F" w:rsidP="0011542F">
      <w:pPr>
        <w:pStyle w:val="Textocomentario"/>
      </w:pPr>
      <w:r>
        <w:rPr>
          <w:rStyle w:val="Refdecomentario"/>
        </w:rPr>
        <w:annotationRef/>
      </w:r>
      <w:r>
        <w:t>Recursos DI:</w:t>
      </w:r>
    </w:p>
    <w:p w14:paraId="76FA92EC" w14:textId="77777777" w:rsidR="0011542F" w:rsidRDefault="0011542F" w:rsidP="0011542F">
      <w:pPr>
        <w:pStyle w:val="Textocomentario"/>
      </w:pPr>
      <w:r>
        <w:t>T- Listados.</w:t>
      </w:r>
    </w:p>
    <w:p w14:paraId="52DC26AF" w14:textId="0CB902E4" w:rsidR="0011542F" w:rsidRDefault="0011542F" w:rsidP="0011542F">
      <w:pPr>
        <w:pStyle w:val="Textocomentario"/>
      </w:pPr>
      <w:r>
        <w:rPr>
          <w:noProof/>
        </w:rPr>
        <w:drawing>
          <wp:inline distT="0" distB="0" distL="0" distR="0" wp14:anchorId="30B0966F" wp14:editId="1E73500F">
            <wp:extent cx="6332220" cy="4175760"/>
            <wp:effectExtent l="0" t="0" r="0" b="0"/>
            <wp:docPr id="949843829"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43829" name="Imagen 949843829" descr="Image"/>
                    <pic:cNvPicPr/>
                  </pic:nvPicPr>
                  <pic:blipFill>
                    <a:blip r:embed="rId28">
                      <a:extLst>
                        <a:ext uri="{28A0092B-C50C-407E-A947-70E740481C1C}">
                          <a14:useLocalDpi xmlns:a14="http://schemas.microsoft.com/office/drawing/2010/main" val="0"/>
                        </a:ext>
                      </a:extLst>
                    </a:blip>
                    <a:stretch>
                      <a:fillRect/>
                    </a:stretch>
                  </pic:blipFill>
                  <pic:spPr>
                    <a:xfrm>
                      <a:off x="0" y="0"/>
                      <a:ext cx="6332220" cy="4175760"/>
                    </a:xfrm>
                    <a:prstGeom prst="rect">
                      <a:avLst/>
                    </a:prstGeom>
                  </pic:spPr>
                </pic:pic>
              </a:graphicData>
            </a:graphic>
          </wp:inline>
        </w:drawing>
      </w:r>
    </w:p>
  </w:comment>
  <w:comment w:id="31" w:author="Gloria Alzate" w:date="2026-04-25T07:55:00Z" w:initials="GA">
    <w:p w14:paraId="316D00FC" w14:textId="77777777" w:rsidR="00F534B3" w:rsidRDefault="00F534B3" w:rsidP="00F534B3">
      <w:pPr>
        <w:pStyle w:val="Textocomentario"/>
      </w:pPr>
      <w:r>
        <w:rPr>
          <w:rStyle w:val="Refdecomentario"/>
        </w:rPr>
        <w:annotationRef/>
      </w:r>
      <w:r>
        <w:rPr>
          <w:b/>
          <w:bCs/>
        </w:rPr>
        <w:t>Texto alternativo:</w:t>
      </w:r>
    </w:p>
    <w:p w14:paraId="19A13D20" w14:textId="77777777" w:rsidR="00F534B3" w:rsidRDefault="00F534B3" w:rsidP="00F534B3">
      <w:pPr>
        <w:pStyle w:val="Textocomentario"/>
      </w:pPr>
      <w:r>
        <w:rPr>
          <w:color w:val="141413"/>
        </w:rPr>
        <w:t>El mapa conceptual titulado “Aplicación del sistema SARLAFT “organiza el tema central en cuatro ejes: el conocimiento del cliente (KYC), que comprende la identificación, verificación de datos y la definición del perfil financiero; los sistemas de reporte, que incluyen el ROS, el reporte de transacciones en efectivo y el reporte de operaciones múltiples; los órganos de control en Colombia, integrado por la Superintendencia Financiera, la Fiscalía General de la Nación y la UIAF; y la conservación de información, que abarca la gestión documental y la protección de datos del cliente.</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3DD314" w15:done="0"/>
  <w15:commentEx w15:paraId="50E7C80E" w15:done="0"/>
  <w15:commentEx w15:paraId="51D5CB87" w15:done="0"/>
  <w15:commentEx w15:paraId="0823D867" w15:done="0"/>
  <w15:commentEx w15:paraId="2099E227" w15:done="0"/>
  <w15:commentEx w15:paraId="552B9F6C" w15:done="0"/>
  <w15:commentEx w15:paraId="194BC875" w15:done="0"/>
  <w15:commentEx w15:paraId="389E3728" w15:done="0"/>
  <w15:commentEx w15:paraId="080064D8" w15:done="0"/>
  <w15:commentEx w15:paraId="2733EDCC" w15:done="0"/>
  <w15:commentEx w15:paraId="136F2278" w15:done="0"/>
  <w15:commentEx w15:paraId="36C92353" w15:done="0"/>
  <w15:commentEx w15:paraId="7826A511" w15:done="0"/>
  <w15:commentEx w15:paraId="41E5EF6E" w15:done="0"/>
  <w15:commentEx w15:paraId="7E63F3E6" w15:done="0"/>
  <w15:commentEx w15:paraId="0694CEF5" w15:done="0"/>
  <w15:commentEx w15:paraId="1924FF62" w15:done="0"/>
  <w15:commentEx w15:paraId="213C49A3" w15:done="0"/>
  <w15:commentEx w15:paraId="3988468B" w15:done="0"/>
  <w15:commentEx w15:paraId="45F9D722" w15:done="0"/>
  <w15:commentEx w15:paraId="151ADAA4" w15:done="0"/>
  <w15:commentEx w15:paraId="7E123824" w15:done="0"/>
  <w15:commentEx w15:paraId="5E489671" w15:done="0"/>
  <w15:commentEx w15:paraId="378B31F7" w15:done="0"/>
  <w15:commentEx w15:paraId="09A00921" w15:done="0"/>
  <w15:commentEx w15:paraId="5593BAB6" w15:done="0"/>
  <w15:commentEx w15:paraId="458FF985" w15:done="0"/>
  <w15:commentEx w15:paraId="3E30ECD2" w15:done="0"/>
  <w15:commentEx w15:paraId="485840E1" w15:done="0"/>
  <w15:commentEx w15:paraId="00D816CF" w15:done="0"/>
  <w15:commentEx w15:paraId="52DC26AF" w15:done="0"/>
  <w15:commentEx w15:paraId="19A13D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28E1CC" w16cex:dateUtc="2026-04-25T15:31:00Z"/>
  <w16cex:commentExtensible w16cex:durableId="212EB263" w16cex:dateUtc="2026-04-25T15:57:00Z"/>
  <w16cex:commentExtensible w16cex:durableId="63B91FB6" w16cex:dateUtc="2026-04-25T16:10:00Z"/>
  <w16cex:commentExtensible w16cex:durableId="4CE00060" w16cex:dateUtc="2026-04-25T16:24:00Z"/>
  <w16cex:commentExtensible w16cex:durableId="5A2A2449" w16cex:dateUtc="2026-04-25T17:21:00Z"/>
  <w16cex:commentExtensible w16cex:durableId="66DC7940" w16cex:dateUtc="2026-04-25T21:58:00Z"/>
  <w16cex:commentExtensible w16cex:durableId="63B090D3" w16cex:dateUtc="2026-04-25T22:17:00Z"/>
  <w16cex:commentExtensible w16cex:durableId="7F9B6730" w16cex:dateUtc="2026-04-25T22:32:00Z"/>
  <w16cex:commentExtensible w16cex:durableId="3FE7DB06" w16cex:dateUtc="2026-04-25T22:37:00Z"/>
  <w16cex:commentExtensible w16cex:durableId="139AC00C" w16cex:dateUtc="2026-04-25T22:55:00Z"/>
  <w16cex:commentExtensible w16cex:durableId="51825057" w16cex:dateUtc="2026-04-25T23:44:00Z"/>
  <w16cex:commentExtensible w16cex:durableId="2B32BEF4" w16cex:dateUtc="2026-04-25T23:59:00Z"/>
  <w16cex:commentExtensible w16cex:durableId="457B5803" w16cex:dateUtc="2026-04-26T00:09:00Z"/>
  <w16cex:commentExtensible w16cex:durableId="0AFF634C" w16cex:dateUtc="2026-04-26T00:18:00Z"/>
  <w16cex:commentExtensible w16cex:durableId="5BA67993" w16cex:dateUtc="2026-04-26T00:26:00Z"/>
  <w16cex:commentExtensible w16cex:durableId="323AD303" w16cex:dateUtc="2026-04-26T11:08:00Z"/>
  <w16cex:commentExtensible w16cex:durableId="5B596BAC" w16cex:dateUtc="2026-04-26T11:30:00Z"/>
  <w16cex:commentExtensible w16cex:durableId="50F944D1" w16cex:dateUtc="2026-04-26T11:46:00Z"/>
  <w16cex:commentExtensible w16cex:durableId="28B0BAD8" w16cex:dateUtc="2026-04-26T11:59:00Z"/>
  <w16cex:commentExtensible w16cex:durableId="4AA75EC2" w16cex:dateUtc="2026-04-26T12:15:00Z"/>
  <w16cex:commentExtensible w16cex:durableId="32217AA3" w16cex:dateUtc="2026-04-26T12:18:00Z"/>
  <w16cex:commentExtensible w16cex:durableId="7CA60B5F" w16cex:dateUtc="2026-04-26T12:28:00Z"/>
  <w16cex:commentExtensible w16cex:durableId="51E35AA5" w16cex:dateUtc="2026-04-26T12:39:00Z"/>
  <w16cex:commentExtensible w16cex:durableId="5FDEBBC1" w16cex:dateUtc="2026-04-26T13:31:00Z"/>
  <w16cex:commentExtensible w16cex:durableId="13ECDB68" w16cex:dateUtc="2026-04-26T13:23:00Z"/>
  <w16cex:commentExtensible w16cex:durableId="17F25FD3" w16cex:dateUtc="2026-04-26T12:47:00Z"/>
  <w16cex:commentExtensible w16cex:durableId="562AFA8A" w16cex:dateUtc="2026-04-26T12:40:00Z"/>
  <w16cex:commentExtensible w16cex:durableId="6FC5B438" w16cex:dateUtc="2026-04-26T13:45:00Z"/>
  <w16cex:commentExtensible w16cex:durableId="2ED169AD" w16cex:dateUtc="2026-04-26T13:50:00Z"/>
  <w16cex:commentExtensible w16cex:durableId="5D9B9C27" w16cex:dateUtc="2026-04-26T14:05:00Z"/>
  <w16cex:commentExtensible w16cex:durableId="1772C08F" w16cex:dateUtc="2026-04-26T13:54:00Z"/>
  <w16cex:commentExtensible w16cex:durableId="71A1BD26" w16cex:dateUtc="2026-04-25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3DD314" w16cid:durableId="3628E1CC"/>
  <w16cid:commentId w16cid:paraId="50E7C80E" w16cid:durableId="212EB263"/>
  <w16cid:commentId w16cid:paraId="51D5CB87" w16cid:durableId="63B91FB6"/>
  <w16cid:commentId w16cid:paraId="0823D867" w16cid:durableId="4CE00060"/>
  <w16cid:commentId w16cid:paraId="2099E227" w16cid:durableId="5A2A2449"/>
  <w16cid:commentId w16cid:paraId="552B9F6C" w16cid:durableId="66DC7940"/>
  <w16cid:commentId w16cid:paraId="194BC875" w16cid:durableId="63B090D3"/>
  <w16cid:commentId w16cid:paraId="389E3728" w16cid:durableId="7F9B6730"/>
  <w16cid:commentId w16cid:paraId="080064D8" w16cid:durableId="3FE7DB06"/>
  <w16cid:commentId w16cid:paraId="2733EDCC" w16cid:durableId="139AC00C"/>
  <w16cid:commentId w16cid:paraId="136F2278" w16cid:durableId="51825057"/>
  <w16cid:commentId w16cid:paraId="36C92353" w16cid:durableId="2B32BEF4"/>
  <w16cid:commentId w16cid:paraId="7826A511" w16cid:durableId="457B5803"/>
  <w16cid:commentId w16cid:paraId="41E5EF6E" w16cid:durableId="0AFF634C"/>
  <w16cid:commentId w16cid:paraId="7E63F3E6" w16cid:durableId="5BA67993"/>
  <w16cid:commentId w16cid:paraId="0694CEF5" w16cid:durableId="323AD303"/>
  <w16cid:commentId w16cid:paraId="1924FF62" w16cid:durableId="5B596BAC"/>
  <w16cid:commentId w16cid:paraId="213C49A3" w16cid:durableId="50F944D1"/>
  <w16cid:commentId w16cid:paraId="3988468B" w16cid:durableId="28B0BAD8"/>
  <w16cid:commentId w16cid:paraId="45F9D722" w16cid:durableId="4AA75EC2"/>
  <w16cid:commentId w16cid:paraId="151ADAA4" w16cid:durableId="32217AA3"/>
  <w16cid:commentId w16cid:paraId="7E123824" w16cid:durableId="7CA60B5F"/>
  <w16cid:commentId w16cid:paraId="5E489671" w16cid:durableId="51E35AA5"/>
  <w16cid:commentId w16cid:paraId="378B31F7" w16cid:durableId="5FDEBBC1"/>
  <w16cid:commentId w16cid:paraId="09A00921" w16cid:durableId="13ECDB68"/>
  <w16cid:commentId w16cid:paraId="5593BAB6" w16cid:durableId="17F25FD3"/>
  <w16cid:commentId w16cid:paraId="458FF985" w16cid:durableId="562AFA8A"/>
  <w16cid:commentId w16cid:paraId="3E30ECD2" w16cid:durableId="6FC5B438"/>
  <w16cid:commentId w16cid:paraId="485840E1" w16cid:durableId="2ED169AD"/>
  <w16cid:commentId w16cid:paraId="00D816CF" w16cid:durableId="5D9B9C27"/>
  <w16cid:commentId w16cid:paraId="52DC26AF" w16cid:durableId="1772C08F"/>
  <w16cid:commentId w16cid:paraId="19A13D20" w16cid:durableId="71A1BD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CADD1" w14:textId="77777777" w:rsidR="002F3508" w:rsidRDefault="002F3508">
      <w:pPr>
        <w:spacing w:line="240" w:lineRule="auto"/>
      </w:pPr>
      <w:r>
        <w:separator/>
      </w:r>
    </w:p>
  </w:endnote>
  <w:endnote w:type="continuationSeparator" w:id="0">
    <w:p w14:paraId="0C7EFBD8" w14:textId="77777777" w:rsidR="002F3508" w:rsidRDefault="002F35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B90167" w:rsidRDefault="00B90167">
    <w:pPr>
      <w:pStyle w:val="Normal0"/>
      <w:tabs>
        <w:tab w:val="center" w:pos="4419"/>
        <w:tab w:val="right" w:pos="8838"/>
        <w:tab w:val="left" w:pos="10255"/>
      </w:tabs>
      <w:spacing w:line="240" w:lineRule="auto"/>
      <w:jc w:val="right"/>
      <w:rPr>
        <w:i/>
        <w:color w:val="000000"/>
        <w:sz w:val="20"/>
        <w:szCs w:val="20"/>
      </w:rPr>
    </w:pPr>
  </w:p>
  <w:p w14:paraId="000000DB" w14:textId="77777777" w:rsidR="00B90167" w:rsidRDefault="00B90167">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90167" w:rsidRDefault="00B90167">
    <w:pPr>
      <w:pStyle w:val="Normal0"/>
      <w:spacing w:line="240" w:lineRule="auto"/>
      <w:rPr>
        <w:rFonts w:ascii="Times New Roman" w:eastAsia="Times New Roman" w:hAnsi="Times New Roman" w:cs="Times New Roman"/>
        <w:sz w:val="24"/>
        <w:szCs w:val="24"/>
      </w:rPr>
    </w:pPr>
  </w:p>
  <w:p w14:paraId="000000DD" w14:textId="77777777" w:rsidR="00B90167" w:rsidRDefault="00B90167">
    <w:pPr>
      <w:pStyle w:val="Normal0"/>
      <w:tabs>
        <w:tab w:val="center" w:pos="4419"/>
        <w:tab w:val="right" w:pos="8838"/>
        <w:tab w:val="left" w:pos="10255"/>
      </w:tabs>
      <w:spacing w:line="240" w:lineRule="auto"/>
      <w:jc w:val="right"/>
      <w:rPr>
        <w:i/>
        <w:color w:val="000000"/>
        <w:sz w:val="16"/>
        <w:szCs w:val="16"/>
      </w:rPr>
    </w:pPr>
  </w:p>
  <w:p w14:paraId="000000DE" w14:textId="77777777" w:rsidR="00B90167" w:rsidRDefault="00B9016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324AF" w14:textId="77777777" w:rsidR="002F3508" w:rsidRDefault="002F3508">
      <w:r>
        <w:separator/>
      </w:r>
    </w:p>
  </w:footnote>
  <w:footnote w:type="continuationSeparator" w:id="0">
    <w:p w14:paraId="39608B35" w14:textId="77777777" w:rsidR="002F3508" w:rsidRDefault="002F3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6CD15F02" w:rsidR="00B90167" w:rsidRDefault="00B9016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B90167" w:rsidRDefault="00B9016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CCD"/>
    <w:multiLevelType w:val="multilevel"/>
    <w:tmpl w:val="5C44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857"/>
    <w:multiLevelType w:val="hybridMultilevel"/>
    <w:tmpl w:val="67940AA2"/>
    <w:lvl w:ilvl="0" w:tplc="2B42CA18">
      <w:start w:val="1"/>
      <w:numFmt w:val="decimal"/>
      <w:lvlText w:val="%1."/>
      <w:lvlJc w:val="left"/>
      <w:pPr>
        <w:ind w:left="720" w:hanging="360"/>
      </w:pPr>
    </w:lvl>
    <w:lvl w:ilvl="1" w:tplc="89FE4F94">
      <w:start w:val="1"/>
      <w:numFmt w:val="decimal"/>
      <w:lvlText w:val="%2."/>
      <w:lvlJc w:val="left"/>
      <w:pPr>
        <w:ind w:left="720" w:hanging="360"/>
      </w:pPr>
    </w:lvl>
    <w:lvl w:ilvl="2" w:tplc="4C083CD6">
      <w:start w:val="1"/>
      <w:numFmt w:val="decimal"/>
      <w:lvlText w:val="%3."/>
      <w:lvlJc w:val="left"/>
      <w:pPr>
        <w:ind w:left="720" w:hanging="360"/>
      </w:pPr>
    </w:lvl>
    <w:lvl w:ilvl="3" w:tplc="53CE98DE">
      <w:start w:val="1"/>
      <w:numFmt w:val="decimal"/>
      <w:lvlText w:val="%4."/>
      <w:lvlJc w:val="left"/>
      <w:pPr>
        <w:ind w:left="720" w:hanging="360"/>
      </w:pPr>
    </w:lvl>
    <w:lvl w:ilvl="4" w:tplc="1FF8B1E4">
      <w:start w:val="1"/>
      <w:numFmt w:val="decimal"/>
      <w:lvlText w:val="%5."/>
      <w:lvlJc w:val="left"/>
      <w:pPr>
        <w:ind w:left="720" w:hanging="360"/>
      </w:pPr>
    </w:lvl>
    <w:lvl w:ilvl="5" w:tplc="0D443C44">
      <w:start w:val="1"/>
      <w:numFmt w:val="decimal"/>
      <w:lvlText w:val="%6."/>
      <w:lvlJc w:val="left"/>
      <w:pPr>
        <w:ind w:left="720" w:hanging="360"/>
      </w:pPr>
    </w:lvl>
    <w:lvl w:ilvl="6" w:tplc="6E645FC6">
      <w:start w:val="1"/>
      <w:numFmt w:val="decimal"/>
      <w:lvlText w:val="%7."/>
      <w:lvlJc w:val="left"/>
      <w:pPr>
        <w:ind w:left="720" w:hanging="360"/>
      </w:pPr>
    </w:lvl>
    <w:lvl w:ilvl="7" w:tplc="B79E9C30">
      <w:start w:val="1"/>
      <w:numFmt w:val="decimal"/>
      <w:lvlText w:val="%8."/>
      <w:lvlJc w:val="left"/>
      <w:pPr>
        <w:ind w:left="720" w:hanging="360"/>
      </w:pPr>
    </w:lvl>
    <w:lvl w:ilvl="8" w:tplc="7B62C042">
      <w:start w:val="1"/>
      <w:numFmt w:val="decimal"/>
      <w:lvlText w:val="%9."/>
      <w:lvlJc w:val="left"/>
      <w:pPr>
        <w:ind w:left="720" w:hanging="360"/>
      </w:pPr>
    </w:lvl>
  </w:abstractNum>
  <w:abstractNum w:abstractNumId="2" w15:restartNumberingAfterBreak="0">
    <w:nsid w:val="059027BC"/>
    <w:multiLevelType w:val="multilevel"/>
    <w:tmpl w:val="3018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B51D9"/>
    <w:multiLevelType w:val="multilevel"/>
    <w:tmpl w:val="8872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C189E"/>
    <w:multiLevelType w:val="hybridMultilevel"/>
    <w:tmpl w:val="3DA66E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423364"/>
    <w:multiLevelType w:val="multilevel"/>
    <w:tmpl w:val="5C6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814F9"/>
    <w:multiLevelType w:val="multilevel"/>
    <w:tmpl w:val="9146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E479A"/>
    <w:multiLevelType w:val="hybridMultilevel"/>
    <w:tmpl w:val="33000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50433E"/>
    <w:multiLevelType w:val="hybridMultilevel"/>
    <w:tmpl w:val="D12621CE"/>
    <w:lvl w:ilvl="0" w:tplc="26C839E6">
      <w:start w:val="1"/>
      <w:numFmt w:val="decimal"/>
      <w:lvlText w:val="%1."/>
      <w:lvlJc w:val="left"/>
      <w:pPr>
        <w:ind w:left="720" w:hanging="360"/>
      </w:pPr>
    </w:lvl>
    <w:lvl w:ilvl="1" w:tplc="B1D026F0">
      <w:start w:val="1"/>
      <w:numFmt w:val="decimal"/>
      <w:lvlText w:val="%2."/>
      <w:lvlJc w:val="left"/>
      <w:pPr>
        <w:ind w:left="720" w:hanging="360"/>
      </w:pPr>
    </w:lvl>
    <w:lvl w:ilvl="2" w:tplc="2B0E3840">
      <w:start w:val="1"/>
      <w:numFmt w:val="decimal"/>
      <w:lvlText w:val="%3."/>
      <w:lvlJc w:val="left"/>
      <w:pPr>
        <w:ind w:left="720" w:hanging="360"/>
      </w:pPr>
    </w:lvl>
    <w:lvl w:ilvl="3" w:tplc="48BE377C">
      <w:start w:val="1"/>
      <w:numFmt w:val="decimal"/>
      <w:lvlText w:val="%4."/>
      <w:lvlJc w:val="left"/>
      <w:pPr>
        <w:ind w:left="720" w:hanging="360"/>
      </w:pPr>
    </w:lvl>
    <w:lvl w:ilvl="4" w:tplc="FACC170A">
      <w:start w:val="1"/>
      <w:numFmt w:val="decimal"/>
      <w:lvlText w:val="%5."/>
      <w:lvlJc w:val="left"/>
      <w:pPr>
        <w:ind w:left="720" w:hanging="360"/>
      </w:pPr>
    </w:lvl>
    <w:lvl w:ilvl="5" w:tplc="62FE3B38">
      <w:start w:val="1"/>
      <w:numFmt w:val="decimal"/>
      <w:lvlText w:val="%6."/>
      <w:lvlJc w:val="left"/>
      <w:pPr>
        <w:ind w:left="720" w:hanging="360"/>
      </w:pPr>
    </w:lvl>
    <w:lvl w:ilvl="6" w:tplc="5B1CC612">
      <w:start w:val="1"/>
      <w:numFmt w:val="decimal"/>
      <w:lvlText w:val="%7."/>
      <w:lvlJc w:val="left"/>
      <w:pPr>
        <w:ind w:left="720" w:hanging="360"/>
      </w:pPr>
    </w:lvl>
    <w:lvl w:ilvl="7" w:tplc="37647434">
      <w:start w:val="1"/>
      <w:numFmt w:val="decimal"/>
      <w:lvlText w:val="%8."/>
      <w:lvlJc w:val="left"/>
      <w:pPr>
        <w:ind w:left="720" w:hanging="360"/>
      </w:pPr>
    </w:lvl>
    <w:lvl w:ilvl="8" w:tplc="8850F822">
      <w:start w:val="1"/>
      <w:numFmt w:val="decimal"/>
      <w:lvlText w:val="%9."/>
      <w:lvlJc w:val="left"/>
      <w:pPr>
        <w:ind w:left="720" w:hanging="360"/>
      </w:pPr>
    </w:lvl>
  </w:abstractNum>
  <w:abstractNum w:abstractNumId="9" w15:restartNumberingAfterBreak="0">
    <w:nsid w:val="17A26736"/>
    <w:multiLevelType w:val="hybridMultilevel"/>
    <w:tmpl w:val="B27E08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8663C66"/>
    <w:multiLevelType w:val="hybridMultilevel"/>
    <w:tmpl w:val="C6BA8A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DD1989"/>
    <w:multiLevelType w:val="hybridMultilevel"/>
    <w:tmpl w:val="C46044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D027248"/>
    <w:multiLevelType w:val="hybridMultilevel"/>
    <w:tmpl w:val="FABA63E8"/>
    <w:lvl w:ilvl="0" w:tplc="24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D747D2E"/>
    <w:multiLevelType w:val="hybridMultilevel"/>
    <w:tmpl w:val="8CFE7C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9FE0DE3"/>
    <w:multiLevelType w:val="multilevel"/>
    <w:tmpl w:val="F18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A62EE"/>
    <w:multiLevelType w:val="hybridMultilevel"/>
    <w:tmpl w:val="FB581A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5B44FED"/>
    <w:multiLevelType w:val="hybridMultilevel"/>
    <w:tmpl w:val="FE42AF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6294582"/>
    <w:multiLevelType w:val="hybridMultilevel"/>
    <w:tmpl w:val="848460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66F4AA8"/>
    <w:multiLevelType w:val="multilevel"/>
    <w:tmpl w:val="827C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D364D"/>
    <w:multiLevelType w:val="multilevel"/>
    <w:tmpl w:val="EEBA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D5508"/>
    <w:multiLevelType w:val="hybridMultilevel"/>
    <w:tmpl w:val="AF001F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E8D375B"/>
    <w:multiLevelType w:val="multilevel"/>
    <w:tmpl w:val="BA38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34D55"/>
    <w:multiLevelType w:val="multilevel"/>
    <w:tmpl w:val="F980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C2095"/>
    <w:multiLevelType w:val="hybridMultilevel"/>
    <w:tmpl w:val="7ADCAE9A"/>
    <w:lvl w:ilvl="0" w:tplc="E246254C">
      <w:start w:val="1"/>
      <w:numFmt w:val="decimal"/>
      <w:lvlText w:val="%1."/>
      <w:lvlJc w:val="left"/>
      <w:pPr>
        <w:ind w:left="1020" w:hanging="360"/>
      </w:pPr>
    </w:lvl>
    <w:lvl w:ilvl="1" w:tplc="538A5956">
      <w:start w:val="1"/>
      <w:numFmt w:val="decimal"/>
      <w:lvlText w:val="%2."/>
      <w:lvlJc w:val="left"/>
      <w:pPr>
        <w:ind w:left="1020" w:hanging="360"/>
      </w:pPr>
    </w:lvl>
    <w:lvl w:ilvl="2" w:tplc="C4D6F036">
      <w:start w:val="1"/>
      <w:numFmt w:val="decimal"/>
      <w:lvlText w:val="%3."/>
      <w:lvlJc w:val="left"/>
      <w:pPr>
        <w:ind w:left="1020" w:hanging="360"/>
      </w:pPr>
    </w:lvl>
    <w:lvl w:ilvl="3" w:tplc="DDAEE8E8">
      <w:start w:val="1"/>
      <w:numFmt w:val="decimal"/>
      <w:lvlText w:val="%4."/>
      <w:lvlJc w:val="left"/>
      <w:pPr>
        <w:ind w:left="1020" w:hanging="360"/>
      </w:pPr>
    </w:lvl>
    <w:lvl w:ilvl="4" w:tplc="C9C07E58">
      <w:start w:val="1"/>
      <w:numFmt w:val="decimal"/>
      <w:lvlText w:val="%5."/>
      <w:lvlJc w:val="left"/>
      <w:pPr>
        <w:ind w:left="1020" w:hanging="360"/>
      </w:pPr>
    </w:lvl>
    <w:lvl w:ilvl="5" w:tplc="766CA556">
      <w:start w:val="1"/>
      <w:numFmt w:val="decimal"/>
      <w:lvlText w:val="%6."/>
      <w:lvlJc w:val="left"/>
      <w:pPr>
        <w:ind w:left="1020" w:hanging="360"/>
      </w:pPr>
    </w:lvl>
    <w:lvl w:ilvl="6" w:tplc="42CAD222">
      <w:start w:val="1"/>
      <w:numFmt w:val="decimal"/>
      <w:lvlText w:val="%7."/>
      <w:lvlJc w:val="left"/>
      <w:pPr>
        <w:ind w:left="1020" w:hanging="360"/>
      </w:pPr>
    </w:lvl>
    <w:lvl w:ilvl="7" w:tplc="123CFADE">
      <w:start w:val="1"/>
      <w:numFmt w:val="decimal"/>
      <w:lvlText w:val="%8."/>
      <w:lvlJc w:val="left"/>
      <w:pPr>
        <w:ind w:left="1020" w:hanging="360"/>
      </w:pPr>
    </w:lvl>
    <w:lvl w:ilvl="8" w:tplc="C3C04756">
      <w:start w:val="1"/>
      <w:numFmt w:val="decimal"/>
      <w:lvlText w:val="%9."/>
      <w:lvlJc w:val="left"/>
      <w:pPr>
        <w:ind w:left="1020" w:hanging="360"/>
      </w:pPr>
    </w:lvl>
  </w:abstractNum>
  <w:abstractNum w:abstractNumId="24" w15:restartNumberingAfterBreak="0">
    <w:nsid w:val="54A16B19"/>
    <w:multiLevelType w:val="hybridMultilevel"/>
    <w:tmpl w:val="BF328E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5E926A8"/>
    <w:multiLevelType w:val="hybridMultilevel"/>
    <w:tmpl w:val="5B94A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8E34EE0"/>
    <w:multiLevelType w:val="multilevel"/>
    <w:tmpl w:val="700C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5107F"/>
    <w:multiLevelType w:val="hybridMultilevel"/>
    <w:tmpl w:val="0FCC4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BA762FD"/>
    <w:multiLevelType w:val="multilevel"/>
    <w:tmpl w:val="8D28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030C4"/>
    <w:multiLevelType w:val="multilevel"/>
    <w:tmpl w:val="18DE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1B51E16"/>
    <w:multiLevelType w:val="hybridMultilevel"/>
    <w:tmpl w:val="B13CE7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BE62EE3"/>
    <w:multiLevelType w:val="hybridMultilevel"/>
    <w:tmpl w:val="098A2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D0809B6"/>
    <w:multiLevelType w:val="hybridMultilevel"/>
    <w:tmpl w:val="6F2663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D1A5C77"/>
    <w:multiLevelType w:val="multilevel"/>
    <w:tmpl w:val="1DB0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F3E51"/>
    <w:multiLevelType w:val="hybridMultilevel"/>
    <w:tmpl w:val="B0AA0F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EB736A8"/>
    <w:multiLevelType w:val="hybridMultilevel"/>
    <w:tmpl w:val="FA2C09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F560843"/>
    <w:multiLevelType w:val="hybridMultilevel"/>
    <w:tmpl w:val="437A3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FE13F4"/>
    <w:multiLevelType w:val="hybridMultilevel"/>
    <w:tmpl w:val="44F602D8"/>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29929F7"/>
    <w:multiLevelType w:val="multilevel"/>
    <w:tmpl w:val="2794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3C245B"/>
    <w:multiLevelType w:val="hybridMultilevel"/>
    <w:tmpl w:val="FCEEBA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45142E"/>
    <w:multiLevelType w:val="multilevel"/>
    <w:tmpl w:val="CCC6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56258">
    <w:abstractNumId w:val="30"/>
  </w:num>
  <w:num w:numId="2" w16cid:durableId="1013798738">
    <w:abstractNumId w:val="39"/>
  </w:num>
  <w:num w:numId="3" w16cid:durableId="1348946338">
    <w:abstractNumId w:val="0"/>
  </w:num>
  <w:num w:numId="4" w16cid:durableId="1020668180">
    <w:abstractNumId w:val="21"/>
  </w:num>
  <w:num w:numId="5" w16cid:durableId="258023202">
    <w:abstractNumId w:val="5"/>
  </w:num>
  <w:num w:numId="6" w16cid:durableId="1626034583">
    <w:abstractNumId w:val="2"/>
  </w:num>
  <w:num w:numId="7" w16cid:durableId="501969365">
    <w:abstractNumId w:val="26"/>
  </w:num>
  <w:num w:numId="8" w16cid:durableId="627273808">
    <w:abstractNumId w:val="29"/>
  </w:num>
  <w:num w:numId="9" w16cid:durableId="56053261">
    <w:abstractNumId w:val="34"/>
  </w:num>
  <w:num w:numId="10" w16cid:durableId="1790977637">
    <w:abstractNumId w:val="18"/>
  </w:num>
  <w:num w:numId="11" w16cid:durableId="1860384725">
    <w:abstractNumId w:val="19"/>
  </w:num>
  <w:num w:numId="12" w16cid:durableId="105581658">
    <w:abstractNumId w:val="22"/>
  </w:num>
  <w:num w:numId="13" w16cid:durableId="1083070799">
    <w:abstractNumId w:val="6"/>
  </w:num>
  <w:num w:numId="14" w16cid:durableId="132186807">
    <w:abstractNumId w:val="41"/>
  </w:num>
  <w:num w:numId="15" w16cid:durableId="275984189">
    <w:abstractNumId w:val="28"/>
  </w:num>
  <w:num w:numId="16" w16cid:durableId="842357000">
    <w:abstractNumId w:val="3"/>
  </w:num>
  <w:num w:numId="17" w16cid:durableId="827749035">
    <w:abstractNumId w:val="14"/>
  </w:num>
  <w:num w:numId="18" w16cid:durableId="619604676">
    <w:abstractNumId w:val="11"/>
  </w:num>
  <w:num w:numId="19" w16cid:durableId="344405305">
    <w:abstractNumId w:val="10"/>
  </w:num>
  <w:num w:numId="20" w16cid:durableId="1749573100">
    <w:abstractNumId w:val="38"/>
  </w:num>
  <w:num w:numId="21" w16cid:durableId="1313876779">
    <w:abstractNumId w:val="17"/>
  </w:num>
  <w:num w:numId="22" w16cid:durableId="109975989">
    <w:abstractNumId w:val="37"/>
  </w:num>
  <w:num w:numId="23" w16cid:durableId="94206146">
    <w:abstractNumId w:val="23"/>
  </w:num>
  <w:num w:numId="24" w16cid:durableId="1948853760">
    <w:abstractNumId w:val="8"/>
  </w:num>
  <w:num w:numId="25" w16cid:durableId="375783903">
    <w:abstractNumId w:val="1"/>
  </w:num>
  <w:num w:numId="26" w16cid:durableId="941298654">
    <w:abstractNumId w:val="27"/>
  </w:num>
  <w:num w:numId="27" w16cid:durableId="1713726815">
    <w:abstractNumId w:val="16"/>
  </w:num>
  <w:num w:numId="28" w16cid:durableId="114176082">
    <w:abstractNumId w:val="40"/>
  </w:num>
  <w:num w:numId="29" w16cid:durableId="199436088">
    <w:abstractNumId w:val="20"/>
  </w:num>
  <w:num w:numId="30" w16cid:durableId="2068912827">
    <w:abstractNumId w:val="13"/>
  </w:num>
  <w:num w:numId="31" w16cid:durableId="997462611">
    <w:abstractNumId w:val="15"/>
  </w:num>
  <w:num w:numId="32" w16cid:durableId="723674404">
    <w:abstractNumId w:val="35"/>
  </w:num>
  <w:num w:numId="33" w16cid:durableId="585844058">
    <w:abstractNumId w:val="31"/>
  </w:num>
  <w:num w:numId="34" w16cid:durableId="1799641717">
    <w:abstractNumId w:val="7"/>
  </w:num>
  <w:num w:numId="35" w16cid:durableId="185943214">
    <w:abstractNumId w:val="12"/>
  </w:num>
  <w:num w:numId="36" w16cid:durableId="1639991012">
    <w:abstractNumId w:val="32"/>
  </w:num>
  <w:num w:numId="37" w16cid:durableId="1872494873">
    <w:abstractNumId w:val="25"/>
  </w:num>
  <w:num w:numId="38" w16cid:durableId="230189922">
    <w:abstractNumId w:val="24"/>
  </w:num>
  <w:num w:numId="39" w16cid:durableId="209147739">
    <w:abstractNumId w:val="9"/>
  </w:num>
  <w:num w:numId="40" w16cid:durableId="1386761243">
    <w:abstractNumId w:val="33"/>
  </w:num>
  <w:num w:numId="41" w16cid:durableId="1030178500">
    <w:abstractNumId w:val="4"/>
  </w:num>
  <w:num w:numId="42" w16cid:durableId="599606168">
    <w:abstractNumId w:val="36"/>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FBE"/>
    <w:rsid w:val="00001B87"/>
    <w:rsid w:val="0000291B"/>
    <w:rsid w:val="00004E20"/>
    <w:rsid w:val="00011043"/>
    <w:rsid w:val="00011F29"/>
    <w:rsid w:val="000216E8"/>
    <w:rsid w:val="00022BB3"/>
    <w:rsid w:val="00023D65"/>
    <w:rsid w:val="00023F78"/>
    <w:rsid w:val="000240B7"/>
    <w:rsid w:val="000247D5"/>
    <w:rsid w:val="000252C8"/>
    <w:rsid w:val="00025888"/>
    <w:rsid w:val="0002611D"/>
    <w:rsid w:val="000275C2"/>
    <w:rsid w:val="00032CDE"/>
    <w:rsid w:val="00032EE2"/>
    <w:rsid w:val="00033308"/>
    <w:rsid w:val="00037C98"/>
    <w:rsid w:val="0004388F"/>
    <w:rsid w:val="000443BD"/>
    <w:rsid w:val="00046AE9"/>
    <w:rsid w:val="00052F14"/>
    <w:rsid w:val="00054B9F"/>
    <w:rsid w:val="000601BB"/>
    <w:rsid w:val="000615E6"/>
    <w:rsid w:val="00061FA9"/>
    <w:rsid w:val="0006211A"/>
    <w:rsid w:val="00063735"/>
    <w:rsid w:val="00063DDA"/>
    <w:rsid w:val="00064130"/>
    <w:rsid w:val="0006568A"/>
    <w:rsid w:val="0007033F"/>
    <w:rsid w:val="00071AC4"/>
    <w:rsid w:val="00074358"/>
    <w:rsid w:val="00075210"/>
    <w:rsid w:val="000773BA"/>
    <w:rsid w:val="00077A47"/>
    <w:rsid w:val="00082302"/>
    <w:rsid w:val="00082476"/>
    <w:rsid w:val="00083600"/>
    <w:rsid w:val="00085C08"/>
    <w:rsid w:val="000866F0"/>
    <w:rsid w:val="00087665"/>
    <w:rsid w:val="000915CE"/>
    <w:rsid w:val="0009311D"/>
    <w:rsid w:val="00095155"/>
    <w:rsid w:val="00096D31"/>
    <w:rsid w:val="00096FA2"/>
    <w:rsid w:val="0009742C"/>
    <w:rsid w:val="00097B40"/>
    <w:rsid w:val="000A4AB4"/>
    <w:rsid w:val="000A5318"/>
    <w:rsid w:val="000A64F3"/>
    <w:rsid w:val="000B0D00"/>
    <w:rsid w:val="000B2CAD"/>
    <w:rsid w:val="000C02DD"/>
    <w:rsid w:val="000D0AC3"/>
    <w:rsid w:val="000D246E"/>
    <w:rsid w:val="000D2C63"/>
    <w:rsid w:val="000E0FC9"/>
    <w:rsid w:val="000E18B4"/>
    <w:rsid w:val="000E31FA"/>
    <w:rsid w:val="000E5030"/>
    <w:rsid w:val="000E7312"/>
    <w:rsid w:val="000E761A"/>
    <w:rsid w:val="000F189D"/>
    <w:rsid w:val="000F235A"/>
    <w:rsid w:val="000F3F23"/>
    <w:rsid w:val="000F5813"/>
    <w:rsid w:val="001006CB"/>
    <w:rsid w:val="00101AE1"/>
    <w:rsid w:val="00103A0C"/>
    <w:rsid w:val="00104EAC"/>
    <w:rsid w:val="001059EA"/>
    <w:rsid w:val="0010612D"/>
    <w:rsid w:val="0010728C"/>
    <w:rsid w:val="001078E3"/>
    <w:rsid w:val="00111202"/>
    <w:rsid w:val="00111E1D"/>
    <w:rsid w:val="0011312D"/>
    <w:rsid w:val="0011542F"/>
    <w:rsid w:val="00115793"/>
    <w:rsid w:val="0011620A"/>
    <w:rsid w:val="00121227"/>
    <w:rsid w:val="00121B38"/>
    <w:rsid w:val="00122047"/>
    <w:rsid w:val="00124E10"/>
    <w:rsid w:val="00126258"/>
    <w:rsid w:val="00126F3A"/>
    <w:rsid w:val="0013207D"/>
    <w:rsid w:val="001322FB"/>
    <w:rsid w:val="00132578"/>
    <w:rsid w:val="0013625A"/>
    <w:rsid w:val="0014488D"/>
    <w:rsid w:val="00145C84"/>
    <w:rsid w:val="00147EBF"/>
    <w:rsid w:val="001502B2"/>
    <w:rsid w:val="001541A9"/>
    <w:rsid w:val="001543DC"/>
    <w:rsid w:val="001554DC"/>
    <w:rsid w:val="00160781"/>
    <w:rsid w:val="00160AF5"/>
    <w:rsid w:val="001640A5"/>
    <w:rsid w:val="001725F9"/>
    <w:rsid w:val="00172A27"/>
    <w:rsid w:val="00173F7A"/>
    <w:rsid w:val="001740AD"/>
    <w:rsid w:val="00174370"/>
    <w:rsid w:val="00174F4D"/>
    <w:rsid w:val="00176A99"/>
    <w:rsid w:val="00177B62"/>
    <w:rsid w:val="001802EB"/>
    <w:rsid w:val="00183649"/>
    <w:rsid w:val="00185044"/>
    <w:rsid w:val="001850DB"/>
    <w:rsid w:val="001908E6"/>
    <w:rsid w:val="0019651E"/>
    <w:rsid w:val="001A210B"/>
    <w:rsid w:val="001A4B49"/>
    <w:rsid w:val="001A5689"/>
    <w:rsid w:val="001A5EED"/>
    <w:rsid w:val="001A7C1D"/>
    <w:rsid w:val="001A7C5B"/>
    <w:rsid w:val="001A7F6B"/>
    <w:rsid w:val="001B238C"/>
    <w:rsid w:val="001B3CB7"/>
    <w:rsid w:val="001B43B7"/>
    <w:rsid w:val="001B569F"/>
    <w:rsid w:val="001B63BE"/>
    <w:rsid w:val="001B6AD5"/>
    <w:rsid w:val="001B7E7E"/>
    <w:rsid w:val="001C00EF"/>
    <w:rsid w:val="001C1C17"/>
    <w:rsid w:val="001C464C"/>
    <w:rsid w:val="001C7D39"/>
    <w:rsid w:val="001D18BE"/>
    <w:rsid w:val="001D33D7"/>
    <w:rsid w:val="001D5C9A"/>
    <w:rsid w:val="001D685E"/>
    <w:rsid w:val="001D787E"/>
    <w:rsid w:val="001E5AFF"/>
    <w:rsid w:val="001E63C1"/>
    <w:rsid w:val="001E7AE5"/>
    <w:rsid w:val="001F1A3A"/>
    <w:rsid w:val="001F3B67"/>
    <w:rsid w:val="00201685"/>
    <w:rsid w:val="00202660"/>
    <w:rsid w:val="00204DCD"/>
    <w:rsid w:val="002056C5"/>
    <w:rsid w:val="002104BD"/>
    <w:rsid w:val="00211029"/>
    <w:rsid w:val="002139E4"/>
    <w:rsid w:val="00216C7B"/>
    <w:rsid w:val="0021702D"/>
    <w:rsid w:val="0022061F"/>
    <w:rsid w:val="002211E2"/>
    <w:rsid w:val="00225065"/>
    <w:rsid w:val="00227FA2"/>
    <w:rsid w:val="002318F4"/>
    <w:rsid w:val="002331E1"/>
    <w:rsid w:val="0023332F"/>
    <w:rsid w:val="00233461"/>
    <w:rsid w:val="00233692"/>
    <w:rsid w:val="00241FF5"/>
    <w:rsid w:val="002429D4"/>
    <w:rsid w:val="002471FB"/>
    <w:rsid w:val="00253FF0"/>
    <w:rsid w:val="00254C60"/>
    <w:rsid w:val="0026059A"/>
    <w:rsid w:val="00267798"/>
    <w:rsid w:val="00270929"/>
    <w:rsid w:val="00272FD2"/>
    <w:rsid w:val="00275915"/>
    <w:rsid w:val="00275BED"/>
    <w:rsid w:val="00276DEE"/>
    <w:rsid w:val="00276F24"/>
    <w:rsid w:val="00277CFB"/>
    <w:rsid w:val="00280E9B"/>
    <w:rsid w:val="0028298B"/>
    <w:rsid w:val="00290B5D"/>
    <w:rsid w:val="00291DB0"/>
    <w:rsid w:val="00291F16"/>
    <w:rsid w:val="002926F8"/>
    <w:rsid w:val="002948BE"/>
    <w:rsid w:val="00294B86"/>
    <w:rsid w:val="002A209A"/>
    <w:rsid w:val="002A2CCB"/>
    <w:rsid w:val="002A2D62"/>
    <w:rsid w:val="002A3649"/>
    <w:rsid w:val="002A39C7"/>
    <w:rsid w:val="002A5E47"/>
    <w:rsid w:val="002A71D5"/>
    <w:rsid w:val="002A77B8"/>
    <w:rsid w:val="002B0065"/>
    <w:rsid w:val="002B07F2"/>
    <w:rsid w:val="002B1115"/>
    <w:rsid w:val="002B1CE1"/>
    <w:rsid w:val="002B2FA3"/>
    <w:rsid w:val="002B2FEE"/>
    <w:rsid w:val="002B4C89"/>
    <w:rsid w:val="002B6218"/>
    <w:rsid w:val="002B787A"/>
    <w:rsid w:val="002C09CE"/>
    <w:rsid w:val="002C14A7"/>
    <w:rsid w:val="002C1F7A"/>
    <w:rsid w:val="002C2450"/>
    <w:rsid w:val="002C2E3D"/>
    <w:rsid w:val="002C3B96"/>
    <w:rsid w:val="002C3F6A"/>
    <w:rsid w:val="002C5B9A"/>
    <w:rsid w:val="002D29BC"/>
    <w:rsid w:val="002D641F"/>
    <w:rsid w:val="002D70A5"/>
    <w:rsid w:val="002E0614"/>
    <w:rsid w:val="002E2479"/>
    <w:rsid w:val="002E30E8"/>
    <w:rsid w:val="002E4074"/>
    <w:rsid w:val="002E6930"/>
    <w:rsid w:val="002F3508"/>
    <w:rsid w:val="002F559A"/>
    <w:rsid w:val="002F73A9"/>
    <w:rsid w:val="002F7C08"/>
    <w:rsid w:val="00300E76"/>
    <w:rsid w:val="00300EA1"/>
    <w:rsid w:val="00301834"/>
    <w:rsid w:val="00303B68"/>
    <w:rsid w:val="00306B60"/>
    <w:rsid w:val="00312345"/>
    <w:rsid w:val="003136D1"/>
    <w:rsid w:val="00314A53"/>
    <w:rsid w:val="00314C04"/>
    <w:rsid w:val="003155F4"/>
    <w:rsid w:val="00315D68"/>
    <w:rsid w:val="0031623E"/>
    <w:rsid w:val="0031697E"/>
    <w:rsid w:val="0032057F"/>
    <w:rsid w:val="00320FCA"/>
    <w:rsid w:val="00323B68"/>
    <w:rsid w:val="00325A56"/>
    <w:rsid w:val="00330021"/>
    <w:rsid w:val="00330A93"/>
    <w:rsid w:val="003310C6"/>
    <w:rsid w:val="00331340"/>
    <w:rsid w:val="00331765"/>
    <w:rsid w:val="00331ED3"/>
    <w:rsid w:val="00334145"/>
    <w:rsid w:val="00336201"/>
    <w:rsid w:val="00336E0B"/>
    <w:rsid w:val="0034469F"/>
    <w:rsid w:val="00345B63"/>
    <w:rsid w:val="00347570"/>
    <w:rsid w:val="003501F7"/>
    <w:rsid w:val="00351A8C"/>
    <w:rsid w:val="00352878"/>
    <w:rsid w:val="00352F0C"/>
    <w:rsid w:val="00353A37"/>
    <w:rsid w:val="00354713"/>
    <w:rsid w:val="003550D2"/>
    <w:rsid w:val="003559FB"/>
    <w:rsid w:val="00361349"/>
    <w:rsid w:val="00366B94"/>
    <w:rsid w:val="00366E22"/>
    <w:rsid w:val="00367E43"/>
    <w:rsid w:val="00367E58"/>
    <w:rsid w:val="003726BD"/>
    <w:rsid w:val="00377014"/>
    <w:rsid w:val="00381988"/>
    <w:rsid w:val="003829EE"/>
    <w:rsid w:val="00382E37"/>
    <w:rsid w:val="00382FCC"/>
    <w:rsid w:val="00383A55"/>
    <w:rsid w:val="0038555A"/>
    <w:rsid w:val="00386AEA"/>
    <w:rsid w:val="003933E9"/>
    <w:rsid w:val="0039774E"/>
    <w:rsid w:val="003A2761"/>
    <w:rsid w:val="003A2F47"/>
    <w:rsid w:val="003A357A"/>
    <w:rsid w:val="003A5691"/>
    <w:rsid w:val="003A7689"/>
    <w:rsid w:val="003B0C27"/>
    <w:rsid w:val="003B1659"/>
    <w:rsid w:val="003B3060"/>
    <w:rsid w:val="003B3970"/>
    <w:rsid w:val="003B3E35"/>
    <w:rsid w:val="003B3FC7"/>
    <w:rsid w:val="003C46A7"/>
    <w:rsid w:val="003C5283"/>
    <w:rsid w:val="003C59B1"/>
    <w:rsid w:val="003C5F66"/>
    <w:rsid w:val="003C72D8"/>
    <w:rsid w:val="003D0525"/>
    <w:rsid w:val="003D472E"/>
    <w:rsid w:val="003D6A89"/>
    <w:rsid w:val="003D72D5"/>
    <w:rsid w:val="003E0884"/>
    <w:rsid w:val="003E107F"/>
    <w:rsid w:val="003E322C"/>
    <w:rsid w:val="003E4F0C"/>
    <w:rsid w:val="003F0755"/>
    <w:rsid w:val="003F13A0"/>
    <w:rsid w:val="003F5FC9"/>
    <w:rsid w:val="003F6EB6"/>
    <w:rsid w:val="004000B5"/>
    <w:rsid w:val="0040144D"/>
    <w:rsid w:val="00404532"/>
    <w:rsid w:val="004047F3"/>
    <w:rsid w:val="00405879"/>
    <w:rsid w:val="004077BB"/>
    <w:rsid w:val="004111CD"/>
    <w:rsid w:val="00414859"/>
    <w:rsid w:val="004155E7"/>
    <w:rsid w:val="00415FB2"/>
    <w:rsid w:val="0041757E"/>
    <w:rsid w:val="0042192C"/>
    <w:rsid w:val="00425F50"/>
    <w:rsid w:val="004270A1"/>
    <w:rsid w:val="004330B1"/>
    <w:rsid w:val="00433AAD"/>
    <w:rsid w:val="00437C33"/>
    <w:rsid w:val="00441C00"/>
    <w:rsid w:val="00445F80"/>
    <w:rsid w:val="0044691E"/>
    <w:rsid w:val="0045064F"/>
    <w:rsid w:val="00454411"/>
    <w:rsid w:val="00454819"/>
    <w:rsid w:val="00456EC1"/>
    <w:rsid w:val="00465F51"/>
    <w:rsid w:val="00472C8F"/>
    <w:rsid w:val="00473C52"/>
    <w:rsid w:val="0047618F"/>
    <w:rsid w:val="00477FF2"/>
    <w:rsid w:val="00481FFE"/>
    <w:rsid w:val="00483B22"/>
    <w:rsid w:val="004859CD"/>
    <w:rsid w:val="00487DEB"/>
    <w:rsid w:val="00487F96"/>
    <w:rsid w:val="0049086B"/>
    <w:rsid w:val="00490DFD"/>
    <w:rsid w:val="00492B94"/>
    <w:rsid w:val="00494A50"/>
    <w:rsid w:val="004A04DE"/>
    <w:rsid w:val="004A0B32"/>
    <w:rsid w:val="004A15DA"/>
    <w:rsid w:val="004A1B4D"/>
    <w:rsid w:val="004A1FE9"/>
    <w:rsid w:val="004A500A"/>
    <w:rsid w:val="004A6104"/>
    <w:rsid w:val="004B46AF"/>
    <w:rsid w:val="004B73A7"/>
    <w:rsid w:val="004C1EBF"/>
    <w:rsid w:val="004C4233"/>
    <w:rsid w:val="004C4B91"/>
    <w:rsid w:val="004C77FC"/>
    <w:rsid w:val="004D1EBF"/>
    <w:rsid w:val="004D2B5B"/>
    <w:rsid w:val="004D376C"/>
    <w:rsid w:val="004D3F1F"/>
    <w:rsid w:val="004D4605"/>
    <w:rsid w:val="004D4EDC"/>
    <w:rsid w:val="004D5402"/>
    <w:rsid w:val="004D6742"/>
    <w:rsid w:val="004D712C"/>
    <w:rsid w:val="004E33FC"/>
    <w:rsid w:val="004E43F2"/>
    <w:rsid w:val="004E5C76"/>
    <w:rsid w:val="004F4330"/>
    <w:rsid w:val="004F455F"/>
    <w:rsid w:val="004F507B"/>
    <w:rsid w:val="004F5838"/>
    <w:rsid w:val="004F67F1"/>
    <w:rsid w:val="00500DC4"/>
    <w:rsid w:val="005018C0"/>
    <w:rsid w:val="00503366"/>
    <w:rsid w:val="00503497"/>
    <w:rsid w:val="0050379E"/>
    <w:rsid w:val="00503977"/>
    <w:rsid w:val="0050514F"/>
    <w:rsid w:val="00507479"/>
    <w:rsid w:val="00512D26"/>
    <w:rsid w:val="00513576"/>
    <w:rsid w:val="00513D6A"/>
    <w:rsid w:val="00515DAE"/>
    <w:rsid w:val="0051701B"/>
    <w:rsid w:val="005170ED"/>
    <w:rsid w:val="00517F1B"/>
    <w:rsid w:val="00521F07"/>
    <w:rsid w:val="00522D0A"/>
    <w:rsid w:val="00522E91"/>
    <w:rsid w:val="00523AEA"/>
    <w:rsid w:val="00523D3A"/>
    <w:rsid w:val="00524C75"/>
    <w:rsid w:val="00524EC6"/>
    <w:rsid w:val="00527D29"/>
    <w:rsid w:val="00531963"/>
    <w:rsid w:val="00531FF5"/>
    <w:rsid w:val="00532F0B"/>
    <w:rsid w:val="00537425"/>
    <w:rsid w:val="00537970"/>
    <w:rsid w:val="00540B2E"/>
    <w:rsid w:val="00541F34"/>
    <w:rsid w:val="00543FD2"/>
    <w:rsid w:val="00545874"/>
    <w:rsid w:val="00545ED0"/>
    <w:rsid w:val="005509CE"/>
    <w:rsid w:val="005564B9"/>
    <w:rsid w:val="005579F6"/>
    <w:rsid w:val="00561673"/>
    <w:rsid w:val="00562285"/>
    <w:rsid w:val="0056442B"/>
    <w:rsid w:val="00565109"/>
    <w:rsid w:val="005665EE"/>
    <w:rsid w:val="005666B6"/>
    <w:rsid w:val="0057321F"/>
    <w:rsid w:val="00573E71"/>
    <w:rsid w:val="0057407C"/>
    <w:rsid w:val="00576014"/>
    <w:rsid w:val="00582B4C"/>
    <w:rsid w:val="00584210"/>
    <w:rsid w:val="00585948"/>
    <w:rsid w:val="00586FB7"/>
    <w:rsid w:val="00587C1C"/>
    <w:rsid w:val="0059578B"/>
    <w:rsid w:val="00596A75"/>
    <w:rsid w:val="0059774F"/>
    <w:rsid w:val="005A004D"/>
    <w:rsid w:val="005A011E"/>
    <w:rsid w:val="005A1745"/>
    <w:rsid w:val="005A2275"/>
    <w:rsid w:val="005A2990"/>
    <w:rsid w:val="005A2B5D"/>
    <w:rsid w:val="005A5F3A"/>
    <w:rsid w:val="005B0597"/>
    <w:rsid w:val="005B48FF"/>
    <w:rsid w:val="005B5B68"/>
    <w:rsid w:val="005C0763"/>
    <w:rsid w:val="005C1EA7"/>
    <w:rsid w:val="005C27BB"/>
    <w:rsid w:val="005C3141"/>
    <w:rsid w:val="005C3C93"/>
    <w:rsid w:val="005C527E"/>
    <w:rsid w:val="005C7AE5"/>
    <w:rsid w:val="005D0582"/>
    <w:rsid w:val="005D1DA5"/>
    <w:rsid w:val="005D1E9B"/>
    <w:rsid w:val="005D6C49"/>
    <w:rsid w:val="005D6DF1"/>
    <w:rsid w:val="005D7956"/>
    <w:rsid w:val="005D7C84"/>
    <w:rsid w:val="005D7DCE"/>
    <w:rsid w:val="005E505A"/>
    <w:rsid w:val="005E7065"/>
    <w:rsid w:val="005E7AC0"/>
    <w:rsid w:val="005F07D5"/>
    <w:rsid w:val="005F51D1"/>
    <w:rsid w:val="00600402"/>
    <w:rsid w:val="0060513F"/>
    <w:rsid w:val="00605836"/>
    <w:rsid w:val="006067DA"/>
    <w:rsid w:val="006069DD"/>
    <w:rsid w:val="00613480"/>
    <w:rsid w:val="0061714D"/>
    <w:rsid w:val="00620AFF"/>
    <w:rsid w:val="00621940"/>
    <w:rsid w:val="00621D58"/>
    <w:rsid w:val="00625CB3"/>
    <w:rsid w:val="00625D4C"/>
    <w:rsid w:val="00626093"/>
    <w:rsid w:val="00632A85"/>
    <w:rsid w:val="00633B16"/>
    <w:rsid w:val="00640CBF"/>
    <w:rsid w:val="00643D8F"/>
    <w:rsid w:val="006463AE"/>
    <w:rsid w:val="006467B1"/>
    <w:rsid w:val="006478B1"/>
    <w:rsid w:val="00651FEC"/>
    <w:rsid w:val="00652034"/>
    <w:rsid w:val="0065371F"/>
    <w:rsid w:val="00654907"/>
    <w:rsid w:val="006574BE"/>
    <w:rsid w:val="00657A8E"/>
    <w:rsid w:val="00667CA9"/>
    <w:rsid w:val="0067262D"/>
    <w:rsid w:val="00674372"/>
    <w:rsid w:val="00674B13"/>
    <w:rsid w:val="00680BF0"/>
    <w:rsid w:val="00680F91"/>
    <w:rsid w:val="006823CB"/>
    <w:rsid w:val="006825DB"/>
    <w:rsid w:val="00683F15"/>
    <w:rsid w:val="00684E0C"/>
    <w:rsid w:val="00685C2C"/>
    <w:rsid w:val="00686A7B"/>
    <w:rsid w:val="0069261F"/>
    <w:rsid w:val="0069622F"/>
    <w:rsid w:val="006A7B8D"/>
    <w:rsid w:val="006B2F0D"/>
    <w:rsid w:val="006B489A"/>
    <w:rsid w:val="006B4AAC"/>
    <w:rsid w:val="006B5187"/>
    <w:rsid w:val="006B67EC"/>
    <w:rsid w:val="006B796E"/>
    <w:rsid w:val="006B7F6E"/>
    <w:rsid w:val="006C14C7"/>
    <w:rsid w:val="006C1FED"/>
    <w:rsid w:val="006C23B9"/>
    <w:rsid w:val="006C4B13"/>
    <w:rsid w:val="006C5CD3"/>
    <w:rsid w:val="006D3274"/>
    <w:rsid w:val="006D3B0E"/>
    <w:rsid w:val="006D57BE"/>
    <w:rsid w:val="006D5B63"/>
    <w:rsid w:val="006D5DB1"/>
    <w:rsid w:val="006D65C2"/>
    <w:rsid w:val="006D6C92"/>
    <w:rsid w:val="006E7EAB"/>
    <w:rsid w:val="006F0A3D"/>
    <w:rsid w:val="006F6991"/>
    <w:rsid w:val="00705B01"/>
    <w:rsid w:val="007065E2"/>
    <w:rsid w:val="00710C77"/>
    <w:rsid w:val="00710EB5"/>
    <w:rsid w:val="0071129D"/>
    <w:rsid w:val="0071697E"/>
    <w:rsid w:val="00722C6C"/>
    <w:rsid w:val="0072401A"/>
    <w:rsid w:val="00725854"/>
    <w:rsid w:val="0072587C"/>
    <w:rsid w:val="00725CD8"/>
    <w:rsid w:val="0072625B"/>
    <w:rsid w:val="007313F6"/>
    <w:rsid w:val="007314B8"/>
    <w:rsid w:val="007317C6"/>
    <w:rsid w:val="00732515"/>
    <w:rsid w:val="00736580"/>
    <w:rsid w:val="007371FC"/>
    <w:rsid w:val="0073729C"/>
    <w:rsid w:val="00737BE4"/>
    <w:rsid w:val="00742120"/>
    <w:rsid w:val="007426C0"/>
    <w:rsid w:val="00743066"/>
    <w:rsid w:val="007437D2"/>
    <w:rsid w:val="0074656C"/>
    <w:rsid w:val="00760B43"/>
    <w:rsid w:val="007611BD"/>
    <w:rsid w:val="00761D0D"/>
    <w:rsid w:val="00766FC9"/>
    <w:rsid w:val="00767123"/>
    <w:rsid w:val="007678B2"/>
    <w:rsid w:val="00767A36"/>
    <w:rsid w:val="00770417"/>
    <w:rsid w:val="007712DD"/>
    <w:rsid w:val="007725FB"/>
    <w:rsid w:val="00772ECB"/>
    <w:rsid w:val="007739EB"/>
    <w:rsid w:val="007743B3"/>
    <w:rsid w:val="007765BB"/>
    <w:rsid w:val="007806C3"/>
    <w:rsid w:val="007818E8"/>
    <w:rsid w:val="007851E0"/>
    <w:rsid w:val="00785A6D"/>
    <w:rsid w:val="0078726E"/>
    <w:rsid w:val="00791543"/>
    <w:rsid w:val="00791A48"/>
    <w:rsid w:val="007924C0"/>
    <w:rsid w:val="00796FEE"/>
    <w:rsid w:val="007A1DEA"/>
    <w:rsid w:val="007A5C2D"/>
    <w:rsid w:val="007A709A"/>
    <w:rsid w:val="007A7CDB"/>
    <w:rsid w:val="007B0B1B"/>
    <w:rsid w:val="007B1AD3"/>
    <w:rsid w:val="007B3914"/>
    <w:rsid w:val="007B3F8F"/>
    <w:rsid w:val="007B687C"/>
    <w:rsid w:val="007B745E"/>
    <w:rsid w:val="007C00F1"/>
    <w:rsid w:val="007C0121"/>
    <w:rsid w:val="007C2D1B"/>
    <w:rsid w:val="007C2D8A"/>
    <w:rsid w:val="007C3F46"/>
    <w:rsid w:val="007C5F3E"/>
    <w:rsid w:val="007C64A5"/>
    <w:rsid w:val="007C6EAD"/>
    <w:rsid w:val="007D249E"/>
    <w:rsid w:val="007D472F"/>
    <w:rsid w:val="007D4DC6"/>
    <w:rsid w:val="007D727F"/>
    <w:rsid w:val="007E0C31"/>
    <w:rsid w:val="007E39F4"/>
    <w:rsid w:val="007E53C4"/>
    <w:rsid w:val="007E54CF"/>
    <w:rsid w:val="007E5F82"/>
    <w:rsid w:val="007E73EF"/>
    <w:rsid w:val="007E7D19"/>
    <w:rsid w:val="007F0496"/>
    <w:rsid w:val="007F28EB"/>
    <w:rsid w:val="007F5633"/>
    <w:rsid w:val="007F697A"/>
    <w:rsid w:val="007F7E5F"/>
    <w:rsid w:val="008005C6"/>
    <w:rsid w:val="00801C5D"/>
    <w:rsid w:val="008025AD"/>
    <w:rsid w:val="008027A7"/>
    <w:rsid w:val="00802951"/>
    <w:rsid w:val="00807D31"/>
    <w:rsid w:val="00810689"/>
    <w:rsid w:val="008138DD"/>
    <w:rsid w:val="00813ACF"/>
    <w:rsid w:val="00814C0B"/>
    <w:rsid w:val="008159E2"/>
    <w:rsid w:val="00824F82"/>
    <w:rsid w:val="00825570"/>
    <w:rsid w:val="00827095"/>
    <w:rsid w:val="008312E9"/>
    <w:rsid w:val="00837B11"/>
    <w:rsid w:val="00840B80"/>
    <w:rsid w:val="0084192A"/>
    <w:rsid w:val="00842A51"/>
    <w:rsid w:val="00843497"/>
    <w:rsid w:val="008437D3"/>
    <w:rsid w:val="00844FEA"/>
    <w:rsid w:val="00846BBF"/>
    <w:rsid w:val="00847E82"/>
    <w:rsid w:val="00851F25"/>
    <w:rsid w:val="008522D2"/>
    <w:rsid w:val="00852CB1"/>
    <w:rsid w:val="00854BFC"/>
    <w:rsid w:val="00854D2C"/>
    <w:rsid w:val="00856182"/>
    <w:rsid w:val="00860401"/>
    <w:rsid w:val="00860BE4"/>
    <w:rsid w:val="00863D5C"/>
    <w:rsid w:val="00865963"/>
    <w:rsid w:val="0086737C"/>
    <w:rsid w:val="008721D9"/>
    <w:rsid w:val="00873831"/>
    <w:rsid w:val="00873FB9"/>
    <w:rsid w:val="008742EB"/>
    <w:rsid w:val="00874B83"/>
    <w:rsid w:val="00877034"/>
    <w:rsid w:val="00883C23"/>
    <w:rsid w:val="00883C80"/>
    <w:rsid w:val="008840E1"/>
    <w:rsid w:val="00885649"/>
    <w:rsid w:val="0089159A"/>
    <w:rsid w:val="00893271"/>
    <w:rsid w:val="00893448"/>
    <w:rsid w:val="008960CE"/>
    <w:rsid w:val="008961F1"/>
    <w:rsid w:val="008965AB"/>
    <w:rsid w:val="00897AE2"/>
    <w:rsid w:val="008A18B1"/>
    <w:rsid w:val="008A1DC2"/>
    <w:rsid w:val="008A1F25"/>
    <w:rsid w:val="008A2DF0"/>
    <w:rsid w:val="008A4C4C"/>
    <w:rsid w:val="008A581C"/>
    <w:rsid w:val="008A6A3F"/>
    <w:rsid w:val="008A6C7A"/>
    <w:rsid w:val="008A75BE"/>
    <w:rsid w:val="008A7DE2"/>
    <w:rsid w:val="008B2BF8"/>
    <w:rsid w:val="008B378C"/>
    <w:rsid w:val="008B7AA6"/>
    <w:rsid w:val="008C01C8"/>
    <w:rsid w:val="008C24D3"/>
    <w:rsid w:val="008C6402"/>
    <w:rsid w:val="008C7D94"/>
    <w:rsid w:val="008D038B"/>
    <w:rsid w:val="008D1F14"/>
    <w:rsid w:val="008D20F9"/>
    <w:rsid w:val="008D4A7D"/>
    <w:rsid w:val="008D526B"/>
    <w:rsid w:val="008D568B"/>
    <w:rsid w:val="008D5B02"/>
    <w:rsid w:val="008D5C08"/>
    <w:rsid w:val="008E1842"/>
    <w:rsid w:val="008E268E"/>
    <w:rsid w:val="008E3604"/>
    <w:rsid w:val="008E4401"/>
    <w:rsid w:val="008E687D"/>
    <w:rsid w:val="008F60FC"/>
    <w:rsid w:val="00902DB1"/>
    <w:rsid w:val="00903E14"/>
    <w:rsid w:val="00906E0F"/>
    <w:rsid w:val="00912631"/>
    <w:rsid w:val="00913B22"/>
    <w:rsid w:val="00914F09"/>
    <w:rsid w:val="009155C9"/>
    <w:rsid w:val="009161D1"/>
    <w:rsid w:val="00916412"/>
    <w:rsid w:val="00922D73"/>
    <w:rsid w:val="00923E9F"/>
    <w:rsid w:val="00924FDB"/>
    <w:rsid w:val="00925DFA"/>
    <w:rsid w:val="00926147"/>
    <w:rsid w:val="00927773"/>
    <w:rsid w:val="00927FD4"/>
    <w:rsid w:val="00931B58"/>
    <w:rsid w:val="00931B8D"/>
    <w:rsid w:val="0093618C"/>
    <w:rsid w:val="00943A82"/>
    <w:rsid w:val="00946E12"/>
    <w:rsid w:val="00946F08"/>
    <w:rsid w:val="00946F39"/>
    <w:rsid w:val="00947D9E"/>
    <w:rsid w:val="00953CD9"/>
    <w:rsid w:val="00956C7A"/>
    <w:rsid w:val="009642D4"/>
    <w:rsid w:val="00965ED8"/>
    <w:rsid w:val="0096751C"/>
    <w:rsid w:val="00970D52"/>
    <w:rsid w:val="00971753"/>
    <w:rsid w:val="009719E0"/>
    <w:rsid w:val="0097386B"/>
    <w:rsid w:val="00975048"/>
    <w:rsid w:val="00977D72"/>
    <w:rsid w:val="0098383B"/>
    <w:rsid w:val="0099146E"/>
    <w:rsid w:val="00992B6B"/>
    <w:rsid w:val="00994439"/>
    <w:rsid w:val="00994757"/>
    <w:rsid w:val="009A00F1"/>
    <w:rsid w:val="009A30EE"/>
    <w:rsid w:val="009A6FF4"/>
    <w:rsid w:val="009B1481"/>
    <w:rsid w:val="009B303F"/>
    <w:rsid w:val="009B49E3"/>
    <w:rsid w:val="009C1359"/>
    <w:rsid w:val="009C2414"/>
    <w:rsid w:val="009C4414"/>
    <w:rsid w:val="009C5BD3"/>
    <w:rsid w:val="009C65CF"/>
    <w:rsid w:val="009C67EE"/>
    <w:rsid w:val="009C7B60"/>
    <w:rsid w:val="009D0968"/>
    <w:rsid w:val="009D1417"/>
    <w:rsid w:val="009D3509"/>
    <w:rsid w:val="009D4EC2"/>
    <w:rsid w:val="009D6854"/>
    <w:rsid w:val="009E0B3C"/>
    <w:rsid w:val="009E4771"/>
    <w:rsid w:val="009F1F68"/>
    <w:rsid w:val="009F57AA"/>
    <w:rsid w:val="00A02176"/>
    <w:rsid w:val="00A03DC6"/>
    <w:rsid w:val="00A048F1"/>
    <w:rsid w:val="00A05295"/>
    <w:rsid w:val="00A05B00"/>
    <w:rsid w:val="00A079A4"/>
    <w:rsid w:val="00A12113"/>
    <w:rsid w:val="00A13EB6"/>
    <w:rsid w:val="00A13F1C"/>
    <w:rsid w:val="00A216D4"/>
    <w:rsid w:val="00A216DD"/>
    <w:rsid w:val="00A246A1"/>
    <w:rsid w:val="00A26033"/>
    <w:rsid w:val="00A26D8B"/>
    <w:rsid w:val="00A306DC"/>
    <w:rsid w:val="00A333BD"/>
    <w:rsid w:val="00A3381A"/>
    <w:rsid w:val="00A33BD4"/>
    <w:rsid w:val="00A35B79"/>
    <w:rsid w:val="00A36A6C"/>
    <w:rsid w:val="00A36E63"/>
    <w:rsid w:val="00A379AC"/>
    <w:rsid w:val="00A4007A"/>
    <w:rsid w:val="00A415DC"/>
    <w:rsid w:val="00A41F97"/>
    <w:rsid w:val="00A423DB"/>
    <w:rsid w:val="00A4352F"/>
    <w:rsid w:val="00A44708"/>
    <w:rsid w:val="00A45469"/>
    <w:rsid w:val="00A456D6"/>
    <w:rsid w:val="00A51020"/>
    <w:rsid w:val="00A52B5A"/>
    <w:rsid w:val="00A5377D"/>
    <w:rsid w:val="00A56171"/>
    <w:rsid w:val="00A56F0C"/>
    <w:rsid w:val="00A61679"/>
    <w:rsid w:val="00A70C02"/>
    <w:rsid w:val="00A72B54"/>
    <w:rsid w:val="00A75E1C"/>
    <w:rsid w:val="00A82570"/>
    <w:rsid w:val="00A8714E"/>
    <w:rsid w:val="00A9211E"/>
    <w:rsid w:val="00A9240A"/>
    <w:rsid w:val="00A95489"/>
    <w:rsid w:val="00A96E45"/>
    <w:rsid w:val="00AA0F8F"/>
    <w:rsid w:val="00AA1C46"/>
    <w:rsid w:val="00AA2511"/>
    <w:rsid w:val="00AA2DB7"/>
    <w:rsid w:val="00AA36A3"/>
    <w:rsid w:val="00AA3743"/>
    <w:rsid w:val="00AA45A3"/>
    <w:rsid w:val="00AB2621"/>
    <w:rsid w:val="00AB28F4"/>
    <w:rsid w:val="00AB38CA"/>
    <w:rsid w:val="00AB3F8B"/>
    <w:rsid w:val="00AC0132"/>
    <w:rsid w:val="00AC2D59"/>
    <w:rsid w:val="00AC4257"/>
    <w:rsid w:val="00AC4A8E"/>
    <w:rsid w:val="00AC4E80"/>
    <w:rsid w:val="00AC5EF5"/>
    <w:rsid w:val="00AD17D4"/>
    <w:rsid w:val="00AD54FD"/>
    <w:rsid w:val="00AD7770"/>
    <w:rsid w:val="00AE00C0"/>
    <w:rsid w:val="00AE0862"/>
    <w:rsid w:val="00AE1E45"/>
    <w:rsid w:val="00AE77F7"/>
    <w:rsid w:val="00AE7F45"/>
    <w:rsid w:val="00AF012C"/>
    <w:rsid w:val="00AF1A01"/>
    <w:rsid w:val="00AF207D"/>
    <w:rsid w:val="00AF2B21"/>
    <w:rsid w:val="00AF2D8F"/>
    <w:rsid w:val="00AF5AB5"/>
    <w:rsid w:val="00AF6416"/>
    <w:rsid w:val="00AF7072"/>
    <w:rsid w:val="00AF70A8"/>
    <w:rsid w:val="00B000E4"/>
    <w:rsid w:val="00B02BFA"/>
    <w:rsid w:val="00B03AFE"/>
    <w:rsid w:val="00B04CA4"/>
    <w:rsid w:val="00B05998"/>
    <w:rsid w:val="00B05A25"/>
    <w:rsid w:val="00B06CCD"/>
    <w:rsid w:val="00B073B3"/>
    <w:rsid w:val="00B11466"/>
    <w:rsid w:val="00B13E64"/>
    <w:rsid w:val="00B2014E"/>
    <w:rsid w:val="00B21B93"/>
    <w:rsid w:val="00B2213D"/>
    <w:rsid w:val="00B22A34"/>
    <w:rsid w:val="00B3122A"/>
    <w:rsid w:val="00B31A3B"/>
    <w:rsid w:val="00B32096"/>
    <w:rsid w:val="00B36A3D"/>
    <w:rsid w:val="00B373E7"/>
    <w:rsid w:val="00B409AF"/>
    <w:rsid w:val="00B40E33"/>
    <w:rsid w:val="00B422F3"/>
    <w:rsid w:val="00B45DD1"/>
    <w:rsid w:val="00B47F1F"/>
    <w:rsid w:val="00B501B6"/>
    <w:rsid w:val="00B53BC7"/>
    <w:rsid w:val="00B54952"/>
    <w:rsid w:val="00B55EC5"/>
    <w:rsid w:val="00B56BB1"/>
    <w:rsid w:val="00B6092E"/>
    <w:rsid w:val="00B631A2"/>
    <w:rsid w:val="00B6385D"/>
    <w:rsid w:val="00B64AAF"/>
    <w:rsid w:val="00B66A04"/>
    <w:rsid w:val="00B67F32"/>
    <w:rsid w:val="00B72025"/>
    <w:rsid w:val="00B758D0"/>
    <w:rsid w:val="00B76082"/>
    <w:rsid w:val="00B76912"/>
    <w:rsid w:val="00B81129"/>
    <w:rsid w:val="00B838DD"/>
    <w:rsid w:val="00B8494C"/>
    <w:rsid w:val="00B8733B"/>
    <w:rsid w:val="00B90167"/>
    <w:rsid w:val="00B90583"/>
    <w:rsid w:val="00B91F18"/>
    <w:rsid w:val="00B91FBD"/>
    <w:rsid w:val="00B9246B"/>
    <w:rsid w:val="00B935D2"/>
    <w:rsid w:val="00B9579A"/>
    <w:rsid w:val="00B95E01"/>
    <w:rsid w:val="00B97526"/>
    <w:rsid w:val="00BA3526"/>
    <w:rsid w:val="00BA3849"/>
    <w:rsid w:val="00BB0BC7"/>
    <w:rsid w:val="00BB0F1E"/>
    <w:rsid w:val="00BB1997"/>
    <w:rsid w:val="00BB2652"/>
    <w:rsid w:val="00BB2FB2"/>
    <w:rsid w:val="00BB30A8"/>
    <w:rsid w:val="00BB492C"/>
    <w:rsid w:val="00BC1D73"/>
    <w:rsid w:val="00BC2651"/>
    <w:rsid w:val="00BC3553"/>
    <w:rsid w:val="00BC4B2C"/>
    <w:rsid w:val="00BC508B"/>
    <w:rsid w:val="00BC5DE8"/>
    <w:rsid w:val="00BD0557"/>
    <w:rsid w:val="00BD0C5D"/>
    <w:rsid w:val="00BD1F95"/>
    <w:rsid w:val="00BD2BDD"/>
    <w:rsid w:val="00BD5CE4"/>
    <w:rsid w:val="00BE0018"/>
    <w:rsid w:val="00BE4FCF"/>
    <w:rsid w:val="00BE75C1"/>
    <w:rsid w:val="00BF02DA"/>
    <w:rsid w:val="00BF1E30"/>
    <w:rsid w:val="00BF32D5"/>
    <w:rsid w:val="00BF393E"/>
    <w:rsid w:val="00BF40D5"/>
    <w:rsid w:val="00BF4968"/>
    <w:rsid w:val="00BF5987"/>
    <w:rsid w:val="00BF5FBF"/>
    <w:rsid w:val="00BF7E33"/>
    <w:rsid w:val="00C04F8C"/>
    <w:rsid w:val="00C11330"/>
    <w:rsid w:val="00C13C88"/>
    <w:rsid w:val="00C142EA"/>
    <w:rsid w:val="00C14539"/>
    <w:rsid w:val="00C3044E"/>
    <w:rsid w:val="00C32ACD"/>
    <w:rsid w:val="00C32EBF"/>
    <w:rsid w:val="00C348DE"/>
    <w:rsid w:val="00C34A32"/>
    <w:rsid w:val="00C36543"/>
    <w:rsid w:val="00C40B7B"/>
    <w:rsid w:val="00C42D8E"/>
    <w:rsid w:val="00C45016"/>
    <w:rsid w:val="00C45A3B"/>
    <w:rsid w:val="00C4600C"/>
    <w:rsid w:val="00C46704"/>
    <w:rsid w:val="00C55557"/>
    <w:rsid w:val="00C570DD"/>
    <w:rsid w:val="00C661E1"/>
    <w:rsid w:val="00C700A6"/>
    <w:rsid w:val="00C71DDA"/>
    <w:rsid w:val="00C77BB3"/>
    <w:rsid w:val="00C77C18"/>
    <w:rsid w:val="00C81748"/>
    <w:rsid w:val="00C84D17"/>
    <w:rsid w:val="00C8580B"/>
    <w:rsid w:val="00C86686"/>
    <w:rsid w:val="00C92B17"/>
    <w:rsid w:val="00C931F3"/>
    <w:rsid w:val="00C9332B"/>
    <w:rsid w:val="00C964F1"/>
    <w:rsid w:val="00C96637"/>
    <w:rsid w:val="00C97430"/>
    <w:rsid w:val="00CA0DAF"/>
    <w:rsid w:val="00CA2BD8"/>
    <w:rsid w:val="00CA39E2"/>
    <w:rsid w:val="00CA3A94"/>
    <w:rsid w:val="00CA3C31"/>
    <w:rsid w:val="00CA41AD"/>
    <w:rsid w:val="00CA6D41"/>
    <w:rsid w:val="00CA7AD2"/>
    <w:rsid w:val="00CB3DB6"/>
    <w:rsid w:val="00CB4AD0"/>
    <w:rsid w:val="00CB513F"/>
    <w:rsid w:val="00CC027E"/>
    <w:rsid w:val="00CC1459"/>
    <w:rsid w:val="00CC16DB"/>
    <w:rsid w:val="00CC31A2"/>
    <w:rsid w:val="00CC4A68"/>
    <w:rsid w:val="00CD014B"/>
    <w:rsid w:val="00CD144A"/>
    <w:rsid w:val="00CD2423"/>
    <w:rsid w:val="00CD4AB0"/>
    <w:rsid w:val="00CD5B23"/>
    <w:rsid w:val="00CD690B"/>
    <w:rsid w:val="00CE0B9B"/>
    <w:rsid w:val="00CE3DFE"/>
    <w:rsid w:val="00CE4FF3"/>
    <w:rsid w:val="00CE50E9"/>
    <w:rsid w:val="00CF59A1"/>
    <w:rsid w:val="00D04451"/>
    <w:rsid w:val="00D057E5"/>
    <w:rsid w:val="00D072A1"/>
    <w:rsid w:val="00D07940"/>
    <w:rsid w:val="00D1097A"/>
    <w:rsid w:val="00D11FBA"/>
    <w:rsid w:val="00D14784"/>
    <w:rsid w:val="00D15F0C"/>
    <w:rsid w:val="00D17C1F"/>
    <w:rsid w:val="00D17EDE"/>
    <w:rsid w:val="00D2238B"/>
    <w:rsid w:val="00D23772"/>
    <w:rsid w:val="00D26F7F"/>
    <w:rsid w:val="00D31D83"/>
    <w:rsid w:val="00D3229D"/>
    <w:rsid w:val="00D34485"/>
    <w:rsid w:val="00D37532"/>
    <w:rsid w:val="00D376E1"/>
    <w:rsid w:val="00D403AB"/>
    <w:rsid w:val="00D41572"/>
    <w:rsid w:val="00D43F42"/>
    <w:rsid w:val="00D53549"/>
    <w:rsid w:val="00D56832"/>
    <w:rsid w:val="00D56921"/>
    <w:rsid w:val="00D56950"/>
    <w:rsid w:val="00D60361"/>
    <w:rsid w:val="00D603D4"/>
    <w:rsid w:val="00D61AFC"/>
    <w:rsid w:val="00D61DE1"/>
    <w:rsid w:val="00D62AE9"/>
    <w:rsid w:val="00D64283"/>
    <w:rsid w:val="00D66188"/>
    <w:rsid w:val="00D66240"/>
    <w:rsid w:val="00D66ED4"/>
    <w:rsid w:val="00D67CD7"/>
    <w:rsid w:val="00D70200"/>
    <w:rsid w:val="00D720C1"/>
    <w:rsid w:val="00D729AC"/>
    <w:rsid w:val="00D72F07"/>
    <w:rsid w:val="00D7715F"/>
    <w:rsid w:val="00D81250"/>
    <w:rsid w:val="00D814B0"/>
    <w:rsid w:val="00D816E0"/>
    <w:rsid w:val="00D81A06"/>
    <w:rsid w:val="00D862A7"/>
    <w:rsid w:val="00D86E44"/>
    <w:rsid w:val="00D871ED"/>
    <w:rsid w:val="00D8745B"/>
    <w:rsid w:val="00D87526"/>
    <w:rsid w:val="00D90012"/>
    <w:rsid w:val="00D90275"/>
    <w:rsid w:val="00D94497"/>
    <w:rsid w:val="00D97491"/>
    <w:rsid w:val="00D9751D"/>
    <w:rsid w:val="00DA5959"/>
    <w:rsid w:val="00DA62D4"/>
    <w:rsid w:val="00DA6E2C"/>
    <w:rsid w:val="00DA72FB"/>
    <w:rsid w:val="00DA7DA0"/>
    <w:rsid w:val="00DB3A14"/>
    <w:rsid w:val="00DB6B55"/>
    <w:rsid w:val="00DC041E"/>
    <w:rsid w:val="00DC127F"/>
    <w:rsid w:val="00DC497E"/>
    <w:rsid w:val="00DD0925"/>
    <w:rsid w:val="00DD4ADF"/>
    <w:rsid w:val="00DD5EF7"/>
    <w:rsid w:val="00DD78D6"/>
    <w:rsid w:val="00DE22CC"/>
    <w:rsid w:val="00DE29A0"/>
    <w:rsid w:val="00DE2D8C"/>
    <w:rsid w:val="00DE4A57"/>
    <w:rsid w:val="00DE4F08"/>
    <w:rsid w:val="00DF3073"/>
    <w:rsid w:val="00DF5A82"/>
    <w:rsid w:val="00DF613E"/>
    <w:rsid w:val="00DF69E7"/>
    <w:rsid w:val="00E002F9"/>
    <w:rsid w:val="00E025D0"/>
    <w:rsid w:val="00E04AD0"/>
    <w:rsid w:val="00E05722"/>
    <w:rsid w:val="00E06A0D"/>
    <w:rsid w:val="00E06BF7"/>
    <w:rsid w:val="00E11A96"/>
    <w:rsid w:val="00E13225"/>
    <w:rsid w:val="00E21E51"/>
    <w:rsid w:val="00E24CC1"/>
    <w:rsid w:val="00E24D90"/>
    <w:rsid w:val="00E26554"/>
    <w:rsid w:val="00E30DFC"/>
    <w:rsid w:val="00E347E5"/>
    <w:rsid w:val="00E34853"/>
    <w:rsid w:val="00E374D2"/>
    <w:rsid w:val="00E37FCC"/>
    <w:rsid w:val="00E43230"/>
    <w:rsid w:val="00E43F8D"/>
    <w:rsid w:val="00E44D36"/>
    <w:rsid w:val="00E46A2B"/>
    <w:rsid w:val="00E517D6"/>
    <w:rsid w:val="00E52213"/>
    <w:rsid w:val="00E54181"/>
    <w:rsid w:val="00E5433D"/>
    <w:rsid w:val="00E5557B"/>
    <w:rsid w:val="00E559BD"/>
    <w:rsid w:val="00E5740C"/>
    <w:rsid w:val="00E62B07"/>
    <w:rsid w:val="00E710D8"/>
    <w:rsid w:val="00E714F8"/>
    <w:rsid w:val="00E7184A"/>
    <w:rsid w:val="00E75795"/>
    <w:rsid w:val="00E75D50"/>
    <w:rsid w:val="00E76A91"/>
    <w:rsid w:val="00E77944"/>
    <w:rsid w:val="00E77B65"/>
    <w:rsid w:val="00E8034C"/>
    <w:rsid w:val="00E806BB"/>
    <w:rsid w:val="00E809D6"/>
    <w:rsid w:val="00E812C0"/>
    <w:rsid w:val="00E84F9C"/>
    <w:rsid w:val="00E859CE"/>
    <w:rsid w:val="00E86E25"/>
    <w:rsid w:val="00E87BDC"/>
    <w:rsid w:val="00E9018B"/>
    <w:rsid w:val="00E9122D"/>
    <w:rsid w:val="00E938E2"/>
    <w:rsid w:val="00E9494F"/>
    <w:rsid w:val="00EA06A0"/>
    <w:rsid w:val="00EA3023"/>
    <w:rsid w:val="00EA3F10"/>
    <w:rsid w:val="00EA4754"/>
    <w:rsid w:val="00EA53EB"/>
    <w:rsid w:val="00EA7B33"/>
    <w:rsid w:val="00EB0597"/>
    <w:rsid w:val="00EB2078"/>
    <w:rsid w:val="00EB218C"/>
    <w:rsid w:val="00EB634B"/>
    <w:rsid w:val="00EB67E9"/>
    <w:rsid w:val="00EB7A51"/>
    <w:rsid w:val="00EC1D0E"/>
    <w:rsid w:val="00EC1E9D"/>
    <w:rsid w:val="00EC4E97"/>
    <w:rsid w:val="00EC5CD6"/>
    <w:rsid w:val="00ED03A7"/>
    <w:rsid w:val="00ED06EC"/>
    <w:rsid w:val="00ED24CE"/>
    <w:rsid w:val="00ED3A06"/>
    <w:rsid w:val="00ED4C73"/>
    <w:rsid w:val="00ED6CCE"/>
    <w:rsid w:val="00ED7283"/>
    <w:rsid w:val="00ED7962"/>
    <w:rsid w:val="00EE2497"/>
    <w:rsid w:val="00EE3E5D"/>
    <w:rsid w:val="00EE6356"/>
    <w:rsid w:val="00EE6D57"/>
    <w:rsid w:val="00EE6F26"/>
    <w:rsid w:val="00EE7B63"/>
    <w:rsid w:val="00EF0751"/>
    <w:rsid w:val="00EF2353"/>
    <w:rsid w:val="00EF3853"/>
    <w:rsid w:val="00EF391B"/>
    <w:rsid w:val="00EF46F0"/>
    <w:rsid w:val="00EF5C41"/>
    <w:rsid w:val="00EF61E5"/>
    <w:rsid w:val="00EF69A0"/>
    <w:rsid w:val="00F002D1"/>
    <w:rsid w:val="00F014EF"/>
    <w:rsid w:val="00F023F6"/>
    <w:rsid w:val="00F03602"/>
    <w:rsid w:val="00F0751B"/>
    <w:rsid w:val="00F10591"/>
    <w:rsid w:val="00F1171B"/>
    <w:rsid w:val="00F12296"/>
    <w:rsid w:val="00F12592"/>
    <w:rsid w:val="00F14DEB"/>
    <w:rsid w:val="00F242F6"/>
    <w:rsid w:val="00F24D8F"/>
    <w:rsid w:val="00F24EED"/>
    <w:rsid w:val="00F30551"/>
    <w:rsid w:val="00F30B58"/>
    <w:rsid w:val="00F34517"/>
    <w:rsid w:val="00F40520"/>
    <w:rsid w:val="00F4441B"/>
    <w:rsid w:val="00F44C96"/>
    <w:rsid w:val="00F50237"/>
    <w:rsid w:val="00F51312"/>
    <w:rsid w:val="00F530E7"/>
    <w:rsid w:val="00F534B3"/>
    <w:rsid w:val="00F54E3C"/>
    <w:rsid w:val="00F56D89"/>
    <w:rsid w:val="00F57344"/>
    <w:rsid w:val="00F576FE"/>
    <w:rsid w:val="00F6452D"/>
    <w:rsid w:val="00F713B4"/>
    <w:rsid w:val="00F71B20"/>
    <w:rsid w:val="00F76450"/>
    <w:rsid w:val="00F76688"/>
    <w:rsid w:val="00F802FC"/>
    <w:rsid w:val="00F814CC"/>
    <w:rsid w:val="00F82A6C"/>
    <w:rsid w:val="00F85244"/>
    <w:rsid w:val="00F855FD"/>
    <w:rsid w:val="00F85E79"/>
    <w:rsid w:val="00F91114"/>
    <w:rsid w:val="00F91B66"/>
    <w:rsid w:val="00F937A3"/>
    <w:rsid w:val="00F95D99"/>
    <w:rsid w:val="00FA04EB"/>
    <w:rsid w:val="00FA1F11"/>
    <w:rsid w:val="00FA69EE"/>
    <w:rsid w:val="00FA6CA1"/>
    <w:rsid w:val="00FA736F"/>
    <w:rsid w:val="00FA7584"/>
    <w:rsid w:val="00FB418F"/>
    <w:rsid w:val="00FB47AD"/>
    <w:rsid w:val="00FB5554"/>
    <w:rsid w:val="00FB5B11"/>
    <w:rsid w:val="00FC1C5D"/>
    <w:rsid w:val="00FC1E7F"/>
    <w:rsid w:val="00FC550D"/>
    <w:rsid w:val="00FC674A"/>
    <w:rsid w:val="00FC7530"/>
    <w:rsid w:val="00FD14AF"/>
    <w:rsid w:val="00FD1AB2"/>
    <w:rsid w:val="00FD6BD7"/>
    <w:rsid w:val="00FD7E7E"/>
    <w:rsid w:val="00FE54DC"/>
    <w:rsid w:val="00FE5973"/>
    <w:rsid w:val="00FF258C"/>
    <w:rsid w:val="00FF27A9"/>
    <w:rsid w:val="00FF2DE9"/>
    <w:rsid w:val="00FF3D71"/>
    <w:rsid w:val="00FF483A"/>
    <w:rsid w:val="00FF619A"/>
    <w:rsid w:val="00FF658C"/>
    <w:rsid w:val="00FF6614"/>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1E1"/>
    <w:pPr>
      <w:spacing w:line="276" w:lineRule="auto"/>
    </w:pPr>
    <w:rPr>
      <w:sz w:val="22"/>
      <w:szCs w:val="22"/>
      <w:lang w:val="es-CO" w:eastAsia="ja-JP"/>
    </w:rPr>
  </w:style>
  <w:style w:type="paragraph" w:styleId="Ttulo1">
    <w:name w:val="heading 1"/>
    <w:basedOn w:val="Normal"/>
    <w:next w:val="Normal"/>
    <w:uiPriority w:val="9"/>
    <w:qFormat/>
    <w:rsid w:val="006D5B63"/>
    <w:pPr>
      <w:keepNext/>
      <w:keepLines/>
      <w:spacing w:before="400" w:after="120"/>
      <w:outlineLvl w:val="0"/>
    </w:pPr>
    <w:rPr>
      <w:b/>
      <w:sz w:val="20"/>
      <w:szCs w:val="40"/>
    </w:rPr>
  </w:style>
  <w:style w:type="paragraph" w:styleId="Ttulo2">
    <w:name w:val="heading 2"/>
    <w:basedOn w:val="Normal"/>
    <w:next w:val="Normal"/>
    <w:uiPriority w:val="9"/>
    <w:unhideWhenUsed/>
    <w:qFormat/>
    <w:rsid w:val="006D5B63"/>
    <w:pPr>
      <w:keepNext/>
      <w:keepLines/>
      <w:spacing w:before="360" w:after="120"/>
      <w:outlineLvl w:val="1"/>
    </w:pPr>
    <w:rPr>
      <w:sz w:val="20"/>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katex-mathml">
    <w:name w:val="katex-mathml"/>
    <w:basedOn w:val="Fuentedeprrafopredeter"/>
    <w:rsid w:val="0078726E"/>
  </w:style>
  <w:style w:type="character" w:customStyle="1" w:styleId="mord">
    <w:name w:val="mord"/>
    <w:basedOn w:val="Fuentedeprrafopredeter"/>
    <w:rsid w:val="0078726E"/>
  </w:style>
  <w:style w:type="character" w:customStyle="1" w:styleId="mspace">
    <w:name w:val="mspace"/>
    <w:basedOn w:val="Fuentedeprrafopredeter"/>
    <w:rsid w:val="0078726E"/>
  </w:style>
  <w:style w:type="character" w:customStyle="1" w:styleId="mrel">
    <w:name w:val="mrel"/>
    <w:basedOn w:val="Fuentedeprrafopredeter"/>
    <w:rsid w:val="0078726E"/>
  </w:style>
  <w:style w:type="character" w:customStyle="1" w:styleId="mbin">
    <w:name w:val="mbin"/>
    <w:basedOn w:val="Fuentedeprrafopredeter"/>
    <w:rsid w:val="0078726E"/>
  </w:style>
  <w:style w:type="character" w:customStyle="1" w:styleId="vlist-s">
    <w:name w:val="vlist-s"/>
    <w:basedOn w:val="Fuentedeprrafopredeter"/>
    <w:rsid w:val="0078726E"/>
  </w:style>
  <w:style w:type="character" w:customStyle="1" w:styleId="mpunct">
    <w:name w:val="mpunct"/>
    <w:basedOn w:val="Fuentedeprrafopredeter"/>
    <w:rsid w:val="0078726E"/>
  </w:style>
  <w:style w:type="character" w:styleId="CdigoHTML">
    <w:name w:val="HTML Code"/>
    <w:basedOn w:val="Fuentedeprrafopredeter"/>
    <w:uiPriority w:val="99"/>
    <w:semiHidden/>
    <w:unhideWhenUsed/>
    <w:rsid w:val="0011620A"/>
    <w:rPr>
      <w:rFonts w:ascii="Courier New" w:eastAsia="Times New Roman" w:hAnsi="Courier New" w:cs="Courier New"/>
      <w:sz w:val="20"/>
      <w:szCs w:val="20"/>
    </w:rPr>
  </w:style>
  <w:style w:type="paragraph" w:styleId="z-Principiodelformulario">
    <w:name w:val="HTML Top of Form"/>
    <w:basedOn w:val="Normal"/>
    <w:next w:val="Normal"/>
    <w:link w:val="z-PrincipiodelformularioCar"/>
    <w:hidden/>
    <w:uiPriority w:val="99"/>
    <w:semiHidden/>
    <w:unhideWhenUsed/>
    <w:rsid w:val="00AC2D59"/>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AC2D59"/>
    <w:rPr>
      <w:rFonts w:eastAsia="Times New Roman"/>
      <w:vanish/>
      <w:sz w:val="16"/>
      <w:szCs w:val="16"/>
      <w:lang w:val="es-CO" w:eastAsia="es-CO"/>
    </w:rPr>
  </w:style>
  <w:style w:type="paragraph" w:styleId="z-Finaldelformulario">
    <w:name w:val="HTML Bottom of Form"/>
    <w:basedOn w:val="Normal"/>
    <w:next w:val="Normal"/>
    <w:link w:val="z-FinaldelformularioCar"/>
    <w:hidden/>
    <w:uiPriority w:val="99"/>
    <w:semiHidden/>
    <w:unhideWhenUsed/>
    <w:rsid w:val="00AC2D59"/>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AC2D59"/>
    <w:rPr>
      <w:rFonts w:eastAsia="Times New Roman"/>
      <w:vanish/>
      <w:sz w:val="16"/>
      <w:szCs w:val="16"/>
      <w:lang w:val="es-CO" w:eastAsia="es-CO"/>
    </w:rPr>
  </w:style>
  <w:style w:type="character" w:customStyle="1" w:styleId="relative">
    <w:name w:val="relative"/>
    <w:basedOn w:val="Fuentedeprrafopredeter"/>
    <w:rsid w:val="004C77FC"/>
  </w:style>
  <w:style w:type="paragraph" w:customStyle="1" w:styleId="not-prose">
    <w:name w:val="not-prose"/>
    <w:basedOn w:val="Normal"/>
    <w:rsid w:val="004C77F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laceholder">
    <w:name w:val="placeholder"/>
    <w:basedOn w:val="Normal"/>
    <w:rsid w:val="00E52213"/>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decuadrcula4">
    <w:name w:val="Grid Table 4"/>
    <w:basedOn w:val="Tablanormal"/>
    <w:uiPriority w:val="49"/>
    <w:rsid w:val="002E69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174370"/>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5oscura">
    <w:name w:val="Grid Table 5 Dark"/>
    <w:basedOn w:val="Tablanormal"/>
    <w:uiPriority w:val="50"/>
    <w:rsid w:val="0097175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Mencinsinresolver">
    <w:name w:val="Unresolved Mention"/>
    <w:basedOn w:val="Fuentedeprrafopredeter"/>
    <w:uiPriority w:val="99"/>
    <w:semiHidden/>
    <w:unhideWhenUsed/>
    <w:rsid w:val="00233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738">
      <w:bodyDiv w:val="1"/>
      <w:marLeft w:val="0"/>
      <w:marRight w:val="0"/>
      <w:marTop w:val="0"/>
      <w:marBottom w:val="0"/>
      <w:divBdr>
        <w:top w:val="none" w:sz="0" w:space="0" w:color="auto"/>
        <w:left w:val="none" w:sz="0" w:space="0" w:color="auto"/>
        <w:bottom w:val="none" w:sz="0" w:space="0" w:color="auto"/>
        <w:right w:val="none" w:sz="0" w:space="0" w:color="auto"/>
      </w:divBdr>
    </w:div>
    <w:div w:id="22901375">
      <w:bodyDiv w:val="1"/>
      <w:marLeft w:val="0"/>
      <w:marRight w:val="0"/>
      <w:marTop w:val="0"/>
      <w:marBottom w:val="0"/>
      <w:divBdr>
        <w:top w:val="none" w:sz="0" w:space="0" w:color="auto"/>
        <w:left w:val="none" w:sz="0" w:space="0" w:color="auto"/>
        <w:bottom w:val="none" w:sz="0" w:space="0" w:color="auto"/>
        <w:right w:val="none" w:sz="0" w:space="0" w:color="auto"/>
      </w:divBdr>
    </w:div>
    <w:div w:id="29381213">
      <w:bodyDiv w:val="1"/>
      <w:marLeft w:val="0"/>
      <w:marRight w:val="0"/>
      <w:marTop w:val="0"/>
      <w:marBottom w:val="0"/>
      <w:divBdr>
        <w:top w:val="none" w:sz="0" w:space="0" w:color="auto"/>
        <w:left w:val="none" w:sz="0" w:space="0" w:color="auto"/>
        <w:bottom w:val="none" w:sz="0" w:space="0" w:color="auto"/>
        <w:right w:val="none" w:sz="0" w:space="0" w:color="auto"/>
      </w:divBdr>
    </w:div>
    <w:div w:id="33384440">
      <w:bodyDiv w:val="1"/>
      <w:marLeft w:val="0"/>
      <w:marRight w:val="0"/>
      <w:marTop w:val="0"/>
      <w:marBottom w:val="0"/>
      <w:divBdr>
        <w:top w:val="none" w:sz="0" w:space="0" w:color="auto"/>
        <w:left w:val="none" w:sz="0" w:space="0" w:color="auto"/>
        <w:bottom w:val="none" w:sz="0" w:space="0" w:color="auto"/>
        <w:right w:val="none" w:sz="0" w:space="0" w:color="auto"/>
      </w:divBdr>
    </w:div>
    <w:div w:id="42483318">
      <w:bodyDiv w:val="1"/>
      <w:marLeft w:val="0"/>
      <w:marRight w:val="0"/>
      <w:marTop w:val="0"/>
      <w:marBottom w:val="0"/>
      <w:divBdr>
        <w:top w:val="none" w:sz="0" w:space="0" w:color="auto"/>
        <w:left w:val="none" w:sz="0" w:space="0" w:color="auto"/>
        <w:bottom w:val="none" w:sz="0" w:space="0" w:color="auto"/>
        <w:right w:val="none" w:sz="0" w:space="0" w:color="auto"/>
      </w:divBdr>
    </w:div>
    <w:div w:id="53772192">
      <w:bodyDiv w:val="1"/>
      <w:marLeft w:val="0"/>
      <w:marRight w:val="0"/>
      <w:marTop w:val="0"/>
      <w:marBottom w:val="0"/>
      <w:divBdr>
        <w:top w:val="none" w:sz="0" w:space="0" w:color="auto"/>
        <w:left w:val="none" w:sz="0" w:space="0" w:color="auto"/>
        <w:bottom w:val="none" w:sz="0" w:space="0" w:color="auto"/>
        <w:right w:val="none" w:sz="0" w:space="0" w:color="auto"/>
      </w:divBdr>
    </w:div>
    <w:div w:id="83503208">
      <w:bodyDiv w:val="1"/>
      <w:marLeft w:val="0"/>
      <w:marRight w:val="0"/>
      <w:marTop w:val="0"/>
      <w:marBottom w:val="0"/>
      <w:divBdr>
        <w:top w:val="none" w:sz="0" w:space="0" w:color="auto"/>
        <w:left w:val="none" w:sz="0" w:space="0" w:color="auto"/>
        <w:bottom w:val="none" w:sz="0" w:space="0" w:color="auto"/>
        <w:right w:val="none" w:sz="0" w:space="0" w:color="auto"/>
      </w:divBdr>
    </w:div>
    <w:div w:id="90709683">
      <w:bodyDiv w:val="1"/>
      <w:marLeft w:val="0"/>
      <w:marRight w:val="0"/>
      <w:marTop w:val="0"/>
      <w:marBottom w:val="0"/>
      <w:divBdr>
        <w:top w:val="none" w:sz="0" w:space="0" w:color="auto"/>
        <w:left w:val="none" w:sz="0" w:space="0" w:color="auto"/>
        <w:bottom w:val="none" w:sz="0" w:space="0" w:color="auto"/>
        <w:right w:val="none" w:sz="0" w:space="0" w:color="auto"/>
      </w:divBdr>
    </w:div>
    <w:div w:id="102236847">
      <w:bodyDiv w:val="1"/>
      <w:marLeft w:val="0"/>
      <w:marRight w:val="0"/>
      <w:marTop w:val="0"/>
      <w:marBottom w:val="0"/>
      <w:divBdr>
        <w:top w:val="none" w:sz="0" w:space="0" w:color="auto"/>
        <w:left w:val="none" w:sz="0" w:space="0" w:color="auto"/>
        <w:bottom w:val="none" w:sz="0" w:space="0" w:color="auto"/>
        <w:right w:val="none" w:sz="0" w:space="0" w:color="auto"/>
      </w:divBdr>
    </w:div>
    <w:div w:id="107626813">
      <w:bodyDiv w:val="1"/>
      <w:marLeft w:val="0"/>
      <w:marRight w:val="0"/>
      <w:marTop w:val="0"/>
      <w:marBottom w:val="0"/>
      <w:divBdr>
        <w:top w:val="none" w:sz="0" w:space="0" w:color="auto"/>
        <w:left w:val="none" w:sz="0" w:space="0" w:color="auto"/>
        <w:bottom w:val="none" w:sz="0" w:space="0" w:color="auto"/>
        <w:right w:val="none" w:sz="0" w:space="0" w:color="auto"/>
      </w:divBdr>
    </w:div>
    <w:div w:id="121002119">
      <w:bodyDiv w:val="1"/>
      <w:marLeft w:val="0"/>
      <w:marRight w:val="0"/>
      <w:marTop w:val="0"/>
      <w:marBottom w:val="0"/>
      <w:divBdr>
        <w:top w:val="none" w:sz="0" w:space="0" w:color="auto"/>
        <w:left w:val="none" w:sz="0" w:space="0" w:color="auto"/>
        <w:bottom w:val="none" w:sz="0" w:space="0" w:color="auto"/>
        <w:right w:val="none" w:sz="0" w:space="0" w:color="auto"/>
      </w:divBdr>
    </w:div>
    <w:div w:id="133640448">
      <w:bodyDiv w:val="1"/>
      <w:marLeft w:val="0"/>
      <w:marRight w:val="0"/>
      <w:marTop w:val="0"/>
      <w:marBottom w:val="0"/>
      <w:divBdr>
        <w:top w:val="none" w:sz="0" w:space="0" w:color="auto"/>
        <w:left w:val="none" w:sz="0" w:space="0" w:color="auto"/>
        <w:bottom w:val="none" w:sz="0" w:space="0" w:color="auto"/>
        <w:right w:val="none" w:sz="0" w:space="0" w:color="auto"/>
      </w:divBdr>
    </w:div>
    <w:div w:id="153499547">
      <w:bodyDiv w:val="1"/>
      <w:marLeft w:val="0"/>
      <w:marRight w:val="0"/>
      <w:marTop w:val="0"/>
      <w:marBottom w:val="0"/>
      <w:divBdr>
        <w:top w:val="none" w:sz="0" w:space="0" w:color="auto"/>
        <w:left w:val="none" w:sz="0" w:space="0" w:color="auto"/>
        <w:bottom w:val="none" w:sz="0" w:space="0" w:color="auto"/>
        <w:right w:val="none" w:sz="0" w:space="0" w:color="auto"/>
      </w:divBdr>
    </w:div>
    <w:div w:id="156266769">
      <w:bodyDiv w:val="1"/>
      <w:marLeft w:val="0"/>
      <w:marRight w:val="0"/>
      <w:marTop w:val="0"/>
      <w:marBottom w:val="0"/>
      <w:divBdr>
        <w:top w:val="none" w:sz="0" w:space="0" w:color="auto"/>
        <w:left w:val="none" w:sz="0" w:space="0" w:color="auto"/>
        <w:bottom w:val="none" w:sz="0" w:space="0" w:color="auto"/>
        <w:right w:val="none" w:sz="0" w:space="0" w:color="auto"/>
      </w:divBdr>
    </w:div>
    <w:div w:id="165438083">
      <w:bodyDiv w:val="1"/>
      <w:marLeft w:val="0"/>
      <w:marRight w:val="0"/>
      <w:marTop w:val="0"/>
      <w:marBottom w:val="0"/>
      <w:divBdr>
        <w:top w:val="none" w:sz="0" w:space="0" w:color="auto"/>
        <w:left w:val="none" w:sz="0" w:space="0" w:color="auto"/>
        <w:bottom w:val="none" w:sz="0" w:space="0" w:color="auto"/>
        <w:right w:val="none" w:sz="0" w:space="0" w:color="auto"/>
      </w:divBdr>
    </w:div>
    <w:div w:id="212621943">
      <w:bodyDiv w:val="1"/>
      <w:marLeft w:val="0"/>
      <w:marRight w:val="0"/>
      <w:marTop w:val="0"/>
      <w:marBottom w:val="0"/>
      <w:divBdr>
        <w:top w:val="none" w:sz="0" w:space="0" w:color="auto"/>
        <w:left w:val="none" w:sz="0" w:space="0" w:color="auto"/>
        <w:bottom w:val="none" w:sz="0" w:space="0" w:color="auto"/>
        <w:right w:val="none" w:sz="0" w:space="0" w:color="auto"/>
      </w:divBdr>
    </w:div>
    <w:div w:id="222524452">
      <w:bodyDiv w:val="1"/>
      <w:marLeft w:val="0"/>
      <w:marRight w:val="0"/>
      <w:marTop w:val="0"/>
      <w:marBottom w:val="0"/>
      <w:divBdr>
        <w:top w:val="none" w:sz="0" w:space="0" w:color="auto"/>
        <w:left w:val="none" w:sz="0" w:space="0" w:color="auto"/>
        <w:bottom w:val="none" w:sz="0" w:space="0" w:color="auto"/>
        <w:right w:val="none" w:sz="0" w:space="0" w:color="auto"/>
      </w:divBdr>
    </w:div>
    <w:div w:id="234361941">
      <w:bodyDiv w:val="1"/>
      <w:marLeft w:val="0"/>
      <w:marRight w:val="0"/>
      <w:marTop w:val="0"/>
      <w:marBottom w:val="0"/>
      <w:divBdr>
        <w:top w:val="none" w:sz="0" w:space="0" w:color="auto"/>
        <w:left w:val="none" w:sz="0" w:space="0" w:color="auto"/>
        <w:bottom w:val="none" w:sz="0" w:space="0" w:color="auto"/>
        <w:right w:val="none" w:sz="0" w:space="0" w:color="auto"/>
      </w:divBdr>
    </w:div>
    <w:div w:id="239487803">
      <w:bodyDiv w:val="1"/>
      <w:marLeft w:val="0"/>
      <w:marRight w:val="0"/>
      <w:marTop w:val="0"/>
      <w:marBottom w:val="0"/>
      <w:divBdr>
        <w:top w:val="none" w:sz="0" w:space="0" w:color="auto"/>
        <w:left w:val="none" w:sz="0" w:space="0" w:color="auto"/>
        <w:bottom w:val="none" w:sz="0" w:space="0" w:color="auto"/>
        <w:right w:val="none" w:sz="0" w:space="0" w:color="auto"/>
      </w:divBdr>
    </w:div>
    <w:div w:id="275336350">
      <w:bodyDiv w:val="1"/>
      <w:marLeft w:val="0"/>
      <w:marRight w:val="0"/>
      <w:marTop w:val="0"/>
      <w:marBottom w:val="0"/>
      <w:divBdr>
        <w:top w:val="none" w:sz="0" w:space="0" w:color="auto"/>
        <w:left w:val="none" w:sz="0" w:space="0" w:color="auto"/>
        <w:bottom w:val="none" w:sz="0" w:space="0" w:color="auto"/>
        <w:right w:val="none" w:sz="0" w:space="0" w:color="auto"/>
      </w:divBdr>
    </w:div>
    <w:div w:id="285702428">
      <w:bodyDiv w:val="1"/>
      <w:marLeft w:val="0"/>
      <w:marRight w:val="0"/>
      <w:marTop w:val="0"/>
      <w:marBottom w:val="0"/>
      <w:divBdr>
        <w:top w:val="none" w:sz="0" w:space="0" w:color="auto"/>
        <w:left w:val="none" w:sz="0" w:space="0" w:color="auto"/>
        <w:bottom w:val="none" w:sz="0" w:space="0" w:color="auto"/>
        <w:right w:val="none" w:sz="0" w:space="0" w:color="auto"/>
      </w:divBdr>
    </w:div>
    <w:div w:id="299069749">
      <w:bodyDiv w:val="1"/>
      <w:marLeft w:val="0"/>
      <w:marRight w:val="0"/>
      <w:marTop w:val="0"/>
      <w:marBottom w:val="0"/>
      <w:divBdr>
        <w:top w:val="none" w:sz="0" w:space="0" w:color="auto"/>
        <w:left w:val="none" w:sz="0" w:space="0" w:color="auto"/>
        <w:bottom w:val="none" w:sz="0" w:space="0" w:color="auto"/>
        <w:right w:val="none" w:sz="0" w:space="0" w:color="auto"/>
      </w:divBdr>
    </w:div>
    <w:div w:id="307982668">
      <w:bodyDiv w:val="1"/>
      <w:marLeft w:val="0"/>
      <w:marRight w:val="0"/>
      <w:marTop w:val="0"/>
      <w:marBottom w:val="0"/>
      <w:divBdr>
        <w:top w:val="none" w:sz="0" w:space="0" w:color="auto"/>
        <w:left w:val="none" w:sz="0" w:space="0" w:color="auto"/>
        <w:bottom w:val="none" w:sz="0" w:space="0" w:color="auto"/>
        <w:right w:val="none" w:sz="0" w:space="0" w:color="auto"/>
      </w:divBdr>
    </w:div>
    <w:div w:id="326249843">
      <w:bodyDiv w:val="1"/>
      <w:marLeft w:val="0"/>
      <w:marRight w:val="0"/>
      <w:marTop w:val="0"/>
      <w:marBottom w:val="0"/>
      <w:divBdr>
        <w:top w:val="none" w:sz="0" w:space="0" w:color="auto"/>
        <w:left w:val="none" w:sz="0" w:space="0" w:color="auto"/>
        <w:bottom w:val="none" w:sz="0" w:space="0" w:color="auto"/>
        <w:right w:val="none" w:sz="0" w:space="0" w:color="auto"/>
      </w:divBdr>
    </w:div>
    <w:div w:id="328214207">
      <w:bodyDiv w:val="1"/>
      <w:marLeft w:val="0"/>
      <w:marRight w:val="0"/>
      <w:marTop w:val="0"/>
      <w:marBottom w:val="0"/>
      <w:divBdr>
        <w:top w:val="none" w:sz="0" w:space="0" w:color="auto"/>
        <w:left w:val="none" w:sz="0" w:space="0" w:color="auto"/>
        <w:bottom w:val="none" w:sz="0" w:space="0" w:color="auto"/>
        <w:right w:val="none" w:sz="0" w:space="0" w:color="auto"/>
      </w:divBdr>
    </w:div>
    <w:div w:id="343941147">
      <w:bodyDiv w:val="1"/>
      <w:marLeft w:val="0"/>
      <w:marRight w:val="0"/>
      <w:marTop w:val="0"/>
      <w:marBottom w:val="0"/>
      <w:divBdr>
        <w:top w:val="none" w:sz="0" w:space="0" w:color="auto"/>
        <w:left w:val="none" w:sz="0" w:space="0" w:color="auto"/>
        <w:bottom w:val="none" w:sz="0" w:space="0" w:color="auto"/>
        <w:right w:val="none" w:sz="0" w:space="0" w:color="auto"/>
      </w:divBdr>
    </w:div>
    <w:div w:id="358775238">
      <w:bodyDiv w:val="1"/>
      <w:marLeft w:val="0"/>
      <w:marRight w:val="0"/>
      <w:marTop w:val="0"/>
      <w:marBottom w:val="0"/>
      <w:divBdr>
        <w:top w:val="none" w:sz="0" w:space="0" w:color="auto"/>
        <w:left w:val="none" w:sz="0" w:space="0" w:color="auto"/>
        <w:bottom w:val="none" w:sz="0" w:space="0" w:color="auto"/>
        <w:right w:val="none" w:sz="0" w:space="0" w:color="auto"/>
      </w:divBdr>
    </w:div>
    <w:div w:id="394163344">
      <w:bodyDiv w:val="1"/>
      <w:marLeft w:val="0"/>
      <w:marRight w:val="0"/>
      <w:marTop w:val="0"/>
      <w:marBottom w:val="0"/>
      <w:divBdr>
        <w:top w:val="none" w:sz="0" w:space="0" w:color="auto"/>
        <w:left w:val="none" w:sz="0" w:space="0" w:color="auto"/>
        <w:bottom w:val="none" w:sz="0" w:space="0" w:color="auto"/>
        <w:right w:val="none" w:sz="0" w:space="0" w:color="auto"/>
      </w:divBdr>
    </w:div>
    <w:div w:id="396516628">
      <w:bodyDiv w:val="1"/>
      <w:marLeft w:val="0"/>
      <w:marRight w:val="0"/>
      <w:marTop w:val="0"/>
      <w:marBottom w:val="0"/>
      <w:divBdr>
        <w:top w:val="none" w:sz="0" w:space="0" w:color="auto"/>
        <w:left w:val="none" w:sz="0" w:space="0" w:color="auto"/>
        <w:bottom w:val="none" w:sz="0" w:space="0" w:color="auto"/>
        <w:right w:val="none" w:sz="0" w:space="0" w:color="auto"/>
      </w:divBdr>
    </w:div>
    <w:div w:id="403994751">
      <w:bodyDiv w:val="1"/>
      <w:marLeft w:val="0"/>
      <w:marRight w:val="0"/>
      <w:marTop w:val="0"/>
      <w:marBottom w:val="0"/>
      <w:divBdr>
        <w:top w:val="none" w:sz="0" w:space="0" w:color="auto"/>
        <w:left w:val="none" w:sz="0" w:space="0" w:color="auto"/>
        <w:bottom w:val="none" w:sz="0" w:space="0" w:color="auto"/>
        <w:right w:val="none" w:sz="0" w:space="0" w:color="auto"/>
      </w:divBdr>
    </w:div>
    <w:div w:id="419103653">
      <w:bodyDiv w:val="1"/>
      <w:marLeft w:val="0"/>
      <w:marRight w:val="0"/>
      <w:marTop w:val="0"/>
      <w:marBottom w:val="0"/>
      <w:divBdr>
        <w:top w:val="none" w:sz="0" w:space="0" w:color="auto"/>
        <w:left w:val="none" w:sz="0" w:space="0" w:color="auto"/>
        <w:bottom w:val="none" w:sz="0" w:space="0" w:color="auto"/>
        <w:right w:val="none" w:sz="0" w:space="0" w:color="auto"/>
      </w:divBdr>
    </w:div>
    <w:div w:id="423958232">
      <w:bodyDiv w:val="1"/>
      <w:marLeft w:val="0"/>
      <w:marRight w:val="0"/>
      <w:marTop w:val="0"/>
      <w:marBottom w:val="0"/>
      <w:divBdr>
        <w:top w:val="none" w:sz="0" w:space="0" w:color="auto"/>
        <w:left w:val="none" w:sz="0" w:space="0" w:color="auto"/>
        <w:bottom w:val="none" w:sz="0" w:space="0" w:color="auto"/>
        <w:right w:val="none" w:sz="0" w:space="0" w:color="auto"/>
      </w:divBdr>
    </w:div>
    <w:div w:id="442699766">
      <w:bodyDiv w:val="1"/>
      <w:marLeft w:val="0"/>
      <w:marRight w:val="0"/>
      <w:marTop w:val="0"/>
      <w:marBottom w:val="0"/>
      <w:divBdr>
        <w:top w:val="none" w:sz="0" w:space="0" w:color="auto"/>
        <w:left w:val="none" w:sz="0" w:space="0" w:color="auto"/>
        <w:bottom w:val="none" w:sz="0" w:space="0" w:color="auto"/>
        <w:right w:val="none" w:sz="0" w:space="0" w:color="auto"/>
      </w:divBdr>
    </w:div>
    <w:div w:id="447506636">
      <w:bodyDiv w:val="1"/>
      <w:marLeft w:val="0"/>
      <w:marRight w:val="0"/>
      <w:marTop w:val="0"/>
      <w:marBottom w:val="0"/>
      <w:divBdr>
        <w:top w:val="none" w:sz="0" w:space="0" w:color="auto"/>
        <w:left w:val="none" w:sz="0" w:space="0" w:color="auto"/>
        <w:bottom w:val="none" w:sz="0" w:space="0" w:color="auto"/>
        <w:right w:val="none" w:sz="0" w:space="0" w:color="auto"/>
      </w:divBdr>
    </w:div>
    <w:div w:id="453600518">
      <w:bodyDiv w:val="1"/>
      <w:marLeft w:val="0"/>
      <w:marRight w:val="0"/>
      <w:marTop w:val="0"/>
      <w:marBottom w:val="0"/>
      <w:divBdr>
        <w:top w:val="none" w:sz="0" w:space="0" w:color="auto"/>
        <w:left w:val="none" w:sz="0" w:space="0" w:color="auto"/>
        <w:bottom w:val="none" w:sz="0" w:space="0" w:color="auto"/>
        <w:right w:val="none" w:sz="0" w:space="0" w:color="auto"/>
      </w:divBdr>
    </w:div>
    <w:div w:id="459038959">
      <w:bodyDiv w:val="1"/>
      <w:marLeft w:val="0"/>
      <w:marRight w:val="0"/>
      <w:marTop w:val="0"/>
      <w:marBottom w:val="0"/>
      <w:divBdr>
        <w:top w:val="none" w:sz="0" w:space="0" w:color="auto"/>
        <w:left w:val="none" w:sz="0" w:space="0" w:color="auto"/>
        <w:bottom w:val="none" w:sz="0" w:space="0" w:color="auto"/>
        <w:right w:val="none" w:sz="0" w:space="0" w:color="auto"/>
      </w:divBdr>
    </w:div>
    <w:div w:id="464007437">
      <w:bodyDiv w:val="1"/>
      <w:marLeft w:val="0"/>
      <w:marRight w:val="0"/>
      <w:marTop w:val="0"/>
      <w:marBottom w:val="0"/>
      <w:divBdr>
        <w:top w:val="none" w:sz="0" w:space="0" w:color="auto"/>
        <w:left w:val="none" w:sz="0" w:space="0" w:color="auto"/>
        <w:bottom w:val="none" w:sz="0" w:space="0" w:color="auto"/>
        <w:right w:val="none" w:sz="0" w:space="0" w:color="auto"/>
      </w:divBdr>
    </w:div>
    <w:div w:id="480005041">
      <w:bodyDiv w:val="1"/>
      <w:marLeft w:val="0"/>
      <w:marRight w:val="0"/>
      <w:marTop w:val="0"/>
      <w:marBottom w:val="0"/>
      <w:divBdr>
        <w:top w:val="none" w:sz="0" w:space="0" w:color="auto"/>
        <w:left w:val="none" w:sz="0" w:space="0" w:color="auto"/>
        <w:bottom w:val="none" w:sz="0" w:space="0" w:color="auto"/>
        <w:right w:val="none" w:sz="0" w:space="0" w:color="auto"/>
      </w:divBdr>
    </w:div>
    <w:div w:id="481046464">
      <w:bodyDiv w:val="1"/>
      <w:marLeft w:val="0"/>
      <w:marRight w:val="0"/>
      <w:marTop w:val="0"/>
      <w:marBottom w:val="0"/>
      <w:divBdr>
        <w:top w:val="none" w:sz="0" w:space="0" w:color="auto"/>
        <w:left w:val="none" w:sz="0" w:space="0" w:color="auto"/>
        <w:bottom w:val="none" w:sz="0" w:space="0" w:color="auto"/>
        <w:right w:val="none" w:sz="0" w:space="0" w:color="auto"/>
      </w:divBdr>
    </w:div>
    <w:div w:id="498539476">
      <w:bodyDiv w:val="1"/>
      <w:marLeft w:val="0"/>
      <w:marRight w:val="0"/>
      <w:marTop w:val="0"/>
      <w:marBottom w:val="0"/>
      <w:divBdr>
        <w:top w:val="none" w:sz="0" w:space="0" w:color="auto"/>
        <w:left w:val="none" w:sz="0" w:space="0" w:color="auto"/>
        <w:bottom w:val="none" w:sz="0" w:space="0" w:color="auto"/>
        <w:right w:val="none" w:sz="0" w:space="0" w:color="auto"/>
      </w:divBdr>
    </w:div>
    <w:div w:id="506097150">
      <w:bodyDiv w:val="1"/>
      <w:marLeft w:val="0"/>
      <w:marRight w:val="0"/>
      <w:marTop w:val="0"/>
      <w:marBottom w:val="0"/>
      <w:divBdr>
        <w:top w:val="none" w:sz="0" w:space="0" w:color="auto"/>
        <w:left w:val="none" w:sz="0" w:space="0" w:color="auto"/>
        <w:bottom w:val="none" w:sz="0" w:space="0" w:color="auto"/>
        <w:right w:val="none" w:sz="0" w:space="0" w:color="auto"/>
      </w:divBdr>
      <w:divsChild>
        <w:div w:id="673649121">
          <w:marLeft w:val="0"/>
          <w:marRight w:val="0"/>
          <w:marTop w:val="0"/>
          <w:marBottom w:val="0"/>
          <w:divBdr>
            <w:top w:val="none" w:sz="0" w:space="0" w:color="auto"/>
            <w:left w:val="none" w:sz="0" w:space="0" w:color="auto"/>
            <w:bottom w:val="none" w:sz="0" w:space="0" w:color="auto"/>
            <w:right w:val="none" w:sz="0" w:space="0" w:color="auto"/>
          </w:divBdr>
          <w:divsChild>
            <w:div w:id="967008377">
              <w:marLeft w:val="0"/>
              <w:marRight w:val="0"/>
              <w:marTop w:val="0"/>
              <w:marBottom w:val="0"/>
              <w:divBdr>
                <w:top w:val="none" w:sz="0" w:space="0" w:color="auto"/>
                <w:left w:val="none" w:sz="0" w:space="0" w:color="auto"/>
                <w:bottom w:val="none" w:sz="0" w:space="0" w:color="auto"/>
                <w:right w:val="none" w:sz="0" w:space="0" w:color="auto"/>
              </w:divBdr>
              <w:divsChild>
                <w:div w:id="1562057511">
                  <w:marLeft w:val="0"/>
                  <w:marRight w:val="0"/>
                  <w:marTop w:val="0"/>
                  <w:marBottom w:val="0"/>
                  <w:divBdr>
                    <w:top w:val="none" w:sz="0" w:space="0" w:color="auto"/>
                    <w:left w:val="none" w:sz="0" w:space="0" w:color="auto"/>
                    <w:bottom w:val="none" w:sz="0" w:space="0" w:color="auto"/>
                    <w:right w:val="none" w:sz="0" w:space="0" w:color="auto"/>
                  </w:divBdr>
                  <w:divsChild>
                    <w:div w:id="786893513">
                      <w:marLeft w:val="0"/>
                      <w:marRight w:val="0"/>
                      <w:marTop w:val="0"/>
                      <w:marBottom w:val="0"/>
                      <w:divBdr>
                        <w:top w:val="none" w:sz="0" w:space="0" w:color="auto"/>
                        <w:left w:val="none" w:sz="0" w:space="0" w:color="auto"/>
                        <w:bottom w:val="none" w:sz="0" w:space="0" w:color="auto"/>
                        <w:right w:val="none" w:sz="0" w:space="0" w:color="auto"/>
                      </w:divBdr>
                      <w:divsChild>
                        <w:div w:id="1150751169">
                          <w:marLeft w:val="0"/>
                          <w:marRight w:val="0"/>
                          <w:marTop w:val="0"/>
                          <w:marBottom w:val="0"/>
                          <w:divBdr>
                            <w:top w:val="none" w:sz="0" w:space="0" w:color="auto"/>
                            <w:left w:val="none" w:sz="0" w:space="0" w:color="auto"/>
                            <w:bottom w:val="none" w:sz="0" w:space="0" w:color="auto"/>
                            <w:right w:val="none" w:sz="0" w:space="0" w:color="auto"/>
                          </w:divBdr>
                          <w:divsChild>
                            <w:div w:id="337850396">
                              <w:marLeft w:val="0"/>
                              <w:marRight w:val="0"/>
                              <w:marTop w:val="0"/>
                              <w:marBottom w:val="0"/>
                              <w:divBdr>
                                <w:top w:val="none" w:sz="0" w:space="0" w:color="auto"/>
                                <w:left w:val="none" w:sz="0" w:space="0" w:color="auto"/>
                                <w:bottom w:val="none" w:sz="0" w:space="0" w:color="auto"/>
                                <w:right w:val="none" w:sz="0" w:space="0" w:color="auto"/>
                              </w:divBdr>
                              <w:divsChild>
                                <w:div w:id="761728388">
                                  <w:marLeft w:val="0"/>
                                  <w:marRight w:val="0"/>
                                  <w:marTop w:val="0"/>
                                  <w:marBottom w:val="0"/>
                                  <w:divBdr>
                                    <w:top w:val="none" w:sz="0" w:space="0" w:color="auto"/>
                                    <w:left w:val="none" w:sz="0" w:space="0" w:color="auto"/>
                                    <w:bottom w:val="none" w:sz="0" w:space="0" w:color="auto"/>
                                    <w:right w:val="none" w:sz="0" w:space="0" w:color="auto"/>
                                  </w:divBdr>
                                  <w:divsChild>
                                    <w:div w:id="18775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090322">
          <w:marLeft w:val="0"/>
          <w:marRight w:val="0"/>
          <w:marTop w:val="0"/>
          <w:marBottom w:val="0"/>
          <w:divBdr>
            <w:top w:val="none" w:sz="0" w:space="0" w:color="auto"/>
            <w:left w:val="none" w:sz="0" w:space="0" w:color="auto"/>
            <w:bottom w:val="none" w:sz="0" w:space="0" w:color="auto"/>
            <w:right w:val="none" w:sz="0" w:space="0" w:color="auto"/>
          </w:divBdr>
          <w:divsChild>
            <w:div w:id="435298306">
              <w:marLeft w:val="0"/>
              <w:marRight w:val="0"/>
              <w:marTop w:val="0"/>
              <w:marBottom w:val="0"/>
              <w:divBdr>
                <w:top w:val="none" w:sz="0" w:space="0" w:color="auto"/>
                <w:left w:val="none" w:sz="0" w:space="0" w:color="auto"/>
                <w:bottom w:val="none" w:sz="0" w:space="0" w:color="auto"/>
                <w:right w:val="none" w:sz="0" w:space="0" w:color="auto"/>
              </w:divBdr>
              <w:divsChild>
                <w:div w:id="642851356">
                  <w:marLeft w:val="0"/>
                  <w:marRight w:val="0"/>
                  <w:marTop w:val="0"/>
                  <w:marBottom w:val="0"/>
                  <w:divBdr>
                    <w:top w:val="none" w:sz="0" w:space="0" w:color="auto"/>
                    <w:left w:val="none" w:sz="0" w:space="0" w:color="auto"/>
                    <w:bottom w:val="none" w:sz="0" w:space="0" w:color="auto"/>
                    <w:right w:val="none" w:sz="0" w:space="0" w:color="auto"/>
                  </w:divBdr>
                  <w:divsChild>
                    <w:div w:id="1262254109">
                      <w:marLeft w:val="0"/>
                      <w:marRight w:val="0"/>
                      <w:marTop w:val="0"/>
                      <w:marBottom w:val="0"/>
                      <w:divBdr>
                        <w:top w:val="none" w:sz="0" w:space="0" w:color="auto"/>
                        <w:left w:val="none" w:sz="0" w:space="0" w:color="auto"/>
                        <w:bottom w:val="none" w:sz="0" w:space="0" w:color="auto"/>
                        <w:right w:val="none" w:sz="0" w:space="0" w:color="auto"/>
                      </w:divBdr>
                      <w:divsChild>
                        <w:div w:id="1167550166">
                          <w:marLeft w:val="0"/>
                          <w:marRight w:val="0"/>
                          <w:marTop w:val="0"/>
                          <w:marBottom w:val="0"/>
                          <w:divBdr>
                            <w:top w:val="none" w:sz="0" w:space="0" w:color="auto"/>
                            <w:left w:val="none" w:sz="0" w:space="0" w:color="auto"/>
                            <w:bottom w:val="none" w:sz="0" w:space="0" w:color="auto"/>
                            <w:right w:val="none" w:sz="0" w:space="0" w:color="auto"/>
                          </w:divBdr>
                          <w:divsChild>
                            <w:div w:id="1057314677">
                              <w:marLeft w:val="0"/>
                              <w:marRight w:val="0"/>
                              <w:marTop w:val="0"/>
                              <w:marBottom w:val="0"/>
                              <w:divBdr>
                                <w:top w:val="none" w:sz="0" w:space="0" w:color="auto"/>
                                <w:left w:val="none" w:sz="0" w:space="0" w:color="auto"/>
                                <w:bottom w:val="none" w:sz="0" w:space="0" w:color="auto"/>
                                <w:right w:val="none" w:sz="0" w:space="0" w:color="auto"/>
                              </w:divBdr>
                              <w:divsChild>
                                <w:div w:id="246503982">
                                  <w:marLeft w:val="0"/>
                                  <w:marRight w:val="0"/>
                                  <w:marTop w:val="0"/>
                                  <w:marBottom w:val="0"/>
                                  <w:divBdr>
                                    <w:top w:val="none" w:sz="0" w:space="0" w:color="auto"/>
                                    <w:left w:val="none" w:sz="0" w:space="0" w:color="auto"/>
                                    <w:bottom w:val="none" w:sz="0" w:space="0" w:color="auto"/>
                                    <w:right w:val="none" w:sz="0" w:space="0" w:color="auto"/>
                                  </w:divBdr>
                                  <w:divsChild>
                                    <w:div w:id="1141070998">
                                      <w:marLeft w:val="0"/>
                                      <w:marRight w:val="0"/>
                                      <w:marTop w:val="0"/>
                                      <w:marBottom w:val="0"/>
                                      <w:divBdr>
                                        <w:top w:val="none" w:sz="0" w:space="0" w:color="auto"/>
                                        <w:left w:val="none" w:sz="0" w:space="0" w:color="auto"/>
                                        <w:bottom w:val="none" w:sz="0" w:space="0" w:color="auto"/>
                                        <w:right w:val="none" w:sz="0" w:space="0" w:color="auto"/>
                                      </w:divBdr>
                                      <w:divsChild>
                                        <w:div w:id="575167960">
                                          <w:marLeft w:val="0"/>
                                          <w:marRight w:val="0"/>
                                          <w:marTop w:val="0"/>
                                          <w:marBottom w:val="0"/>
                                          <w:divBdr>
                                            <w:top w:val="none" w:sz="0" w:space="0" w:color="auto"/>
                                            <w:left w:val="none" w:sz="0" w:space="0" w:color="auto"/>
                                            <w:bottom w:val="none" w:sz="0" w:space="0" w:color="auto"/>
                                            <w:right w:val="none" w:sz="0" w:space="0" w:color="auto"/>
                                          </w:divBdr>
                                          <w:divsChild>
                                            <w:div w:id="17119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893506">
      <w:bodyDiv w:val="1"/>
      <w:marLeft w:val="0"/>
      <w:marRight w:val="0"/>
      <w:marTop w:val="0"/>
      <w:marBottom w:val="0"/>
      <w:divBdr>
        <w:top w:val="none" w:sz="0" w:space="0" w:color="auto"/>
        <w:left w:val="none" w:sz="0" w:space="0" w:color="auto"/>
        <w:bottom w:val="none" w:sz="0" w:space="0" w:color="auto"/>
        <w:right w:val="none" w:sz="0" w:space="0" w:color="auto"/>
      </w:divBdr>
    </w:div>
    <w:div w:id="520752050">
      <w:bodyDiv w:val="1"/>
      <w:marLeft w:val="0"/>
      <w:marRight w:val="0"/>
      <w:marTop w:val="0"/>
      <w:marBottom w:val="0"/>
      <w:divBdr>
        <w:top w:val="none" w:sz="0" w:space="0" w:color="auto"/>
        <w:left w:val="none" w:sz="0" w:space="0" w:color="auto"/>
        <w:bottom w:val="none" w:sz="0" w:space="0" w:color="auto"/>
        <w:right w:val="none" w:sz="0" w:space="0" w:color="auto"/>
      </w:divBdr>
    </w:div>
    <w:div w:id="533545656">
      <w:bodyDiv w:val="1"/>
      <w:marLeft w:val="0"/>
      <w:marRight w:val="0"/>
      <w:marTop w:val="0"/>
      <w:marBottom w:val="0"/>
      <w:divBdr>
        <w:top w:val="none" w:sz="0" w:space="0" w:color="auto"/>
        <w:left w:val="none" w:sz="0" w:space="0" w:color="auto"/>
        <w:bottom w:val="none" w:sz="0" w:space="0" w:color="auto"/>
        <w:right w:val="none" w:sz="0" w:space="0" w:color="auto"/>
      </w:divBdr>
    </w:div>
    <w:div w:id="542908376">
      <w:bodyDiv w:val="1"/>
      <w:marLeft w:val="0"/>
      <w:marRight w:val="0"/>
      <w:marTop w:val="0"/>
      <w:marBottom w:val="0"/>
      <w:divBdr>
        <w:top w:val="none" w:sz="0" w:space="0" w:color="auto"/>
        <w:left w:val="none" w:sz="0" w:space="0" w:color="auto"/>
        <w:bottom w:val="none" w:sz="0" w:space="0" w:color="auto"/>
        <w:right w:val="none" w:sz="0" w:space="0" w:color="auto"/>
      </w:divBdr>
    </w:div>
    <w:div w:id="557740844">
      <w:bodyDiv w:val="1"/>
      <w:marLeft w:val="0"/>
      <w:marRight w:val="0"/>
      <w:marTop w:val="0"/>
      <w:marBottom w:val="0"/>
      <w:divBdr>
        <w:top w:val="none" w:sz="0" w:space="0" w:color="auto"/>
        <w:left w:val="none" w:sz="0" w:space="0" w:color="auto"/>
        <w:bottom w:val="none" w:sz="0" w:space="0" w:color="auto"/>
        <w:right w:val="none" w:sz="0" w:space="0" w:color="auto"/>
      </w:divBdr>
    </w:div>
    <w:div w:id="558320506">
      <w:bodyDiv w:val="1"/>
      <w:marLeft w:val="0"/>
      <w:marRight w:val="0"/>
      <w:marTop w:val="0"/>
      <w:marBottom w:val="0"/>
      <w:divBdr>
        <w:top w:val="none" w:sz="0" w:space="0" w:color="auto"/>
        <w:left w:val="none" w:sz="0" w:space="0" w:color="auto"/>
        <w:bottom w:val="none" w:sz="0" w:space="0" w:color="auto"/>
        <w:right w:val="none" w:sz="0" w:space="0" w:color="auto"/>
      </w:divBdr>
    </w:div>
    <w:div w:id="562329740">
      <w:bodyDiv w:val="1"/>
      <w:marLeft w:val="0"/>
      <w:marRight w:val="0"/>
      <w:marTop w:val="0"/>
      <w:marBottom w:val="0"/>
      <w:divBdr>
        <w:top w:val="none" w:sz="0" w:space="0" w:color="auto"/>
        <w:left w:val="none" w:sz="0" w:space="0" w:color="auto"/>
        <w:bottom w:val="none" w:sz="0" w:space="0" w:color="auto"/>
        <w:right w:val="none" w:sz="0" w:space="0" w:color="auto"/>
      </w:divBdr>
    </w:div>
    <w:div w:id="583606180">
      <w:bodyDiv w:val="1"/>
      <w:marLeft w:val="0"/>
      <w:marRight w:val="0"/>
      <w:marTop w:val="0"/>
      <w:marBottom w:val="0"/>
      <w:divBdr>
        <w:top w:val="none" w:sz="0" w:space="0" w:color="auto"/>
        <w:left w:val="none" w:sz="0" w:space="0" w:color="auto"/>
        <w:bottom w:val="none" w:sz="0" w:space="0" w:color="auto"/>
        <w:right w:val="none" w:sz="0" w:space="0" w:color="auto"/>
      </w:divBdr>
    </w:div>
    <w:div w:id="594703613">
      <w:bodyDiv w:val="1"/>
      <w:marLeft w:val="0"/>
      <w:marRight w:val="0"/>
      <w:marTop w:val="0"/>
      <w:marBottom w:val="0"/>
      <w:divBdr>
        <w:top w:val="none" w:sz="0" w:space="0" w:color="auto"/>
        <w:left w:val="none" w:sz="0" w:space="0" w:color="auto"/>
        <w:bottom w:val="none" w:sz="0" w:space="0" w:color="auto"/>
        <w:right w:val="none" w:sz="0" w:space="0" w:color="auto"/>
      </w:divBdr>
      <w:divsChild>
        <w:div w:id="631865241">
          <w:marLeft w:val="0"/>
          <w:marRight w:val="0"/>
          <w:marTop w:val="0"/>
          <w:marBottom w:val="0"/>
          <w:divBdr>
            <w:top w:val="none" w:sz="0" w:space="0" w:color="auto"/>
            <w:left w:val="none" w:sz="0" w:space="0" w:color="auto"/>
            <w:bottom w:val="none" w:sz="0" w:space="0" w:color="auto"/>
            <w:right w:val="none" w:sz="0" w:space="0" w:color="auto"/>
          </w:divBdr>
          <w:divsChild>
            <w:div w:id="1832091101">
              <w:marLeft w:val="0"/>
              <w:marRight w:val="0"/>
              <w:marTop w:val="0"/>
              <w:marBottom w:val="0"/>
              <w:divBdr>
                <w:top w:val="none" w:sz="0" w:space="0" w:color="auto"/>
                <w:left w:val="none" w:sz="0" w:space="0" w:color="auto"/>
                <w:bottom w:val="none" w:sz="0" w:space="0" w:color="auto"/>
                <w:right w:val="none" w:sz="0" w:space="0" w:color="auto"/>
              </w:divBdr>
              <w:divsChild>
                <w:div w:id="277446397">
                  <w:marLeft w:val="0"/>
                  <w:marRight w:val="0"/>
                  <w:marTop w:val="0"/>
                  <w:marBottom w:val="0"/>
                  <w:divBdr>
                    <w:top w:val="none" w:sz="0" w:space="0" w:color="auto"/>
                    <w:left w:val="none" w:sz="0" w:space="0" w:color="auto"/>
                    <w:bottom w:val="none" w:sz="0" w:space="0" w:color="auto"/>
                    <w:right w:val="none" w:sz="0" w:space="0" w:color="auto"/>
                  </w:divBdr>
                  <w:divsChild>
                    <w:div w:id="1663389598">
                      <w:marLeft w:val="0"/>
                      <w:marRight w:val="0"/>
                      <w:marTop w:val="0"/>
                      <w:marBottom w:val="0"/>
                      <w:divBdr>
                        <w:top w:val="none" w:sz="0" w:space="0" w:color="auto"/>
                        <w:left w:val="none" w:sz="0" w:space="0" w:color="auto"/>
                        <w:bottom w:val="none" w:sz="0" w:space="0" w:color="auto"/>
                        <w:right w:val="none" w:sz="0" w:space="0" w:color="auto"/>
                      </w:divBdr>
                      <w:divsChild>
                        <w:div w:id="1902136545">
                          <w:marLeft w:val="0"/>
                          <w:marRight w:val="0"/>
                          <w:marTop w:val="0"/>
                          <w:marBottom w:val="0"/>
                          <w:divBdr>
                            <w:top w:val="none" w:sz="0" w:space="0" w:color="auto"/>
                            <w:left w:val="none" w:sz="0" w:space="0" w:color="auto"/>
                            <w:bottom w:val="none" w:sz="0" w:space="0" w:color="auto"/>
                            <w:right w:val="none" w:sz="0" w:space="0" w:color="auto"/>
                          </w:divBdr>
                          <w:divsChild>
                            <w:div w:id="1277101052">
                              <w:marLeft w:val="0"/>
                              <w:marRight w:val="0"/>
                              <w:marTop w:val="0"/>
                              <w:marBottom w:val="0"/>
                              <w:divBdr>
                                <w:top w:val="none" w:sz="0" w:space="0" w:color="auto"/>
                                <w:left w:val="none" w:sz="0" w:space="0" w:color="auto"/>
                                <w:bottom w:val="none" w:sz="0" w:space="0" w:color="auto"/>
                                <w:right w:val="none" w:sz="0" w:space="0" w:color="auto"/>
                              </w:divBdr>
                              <w:divsChild>
                                <w:div w:id="1328751750">
                                  <w:marLeft w:val="0"/>
                                  <w:marRight w:val="0"/>
                                  <w:marTop w:val="0"/>
                                  <w:marBottom w:val="0"/>
                                  <w:divBdr>
                                    <w:top w:val="none" w:sz="0" w:space="0" w:color="auto"/>
                                    <w:left w:val="none" w:sz="0" w:space="0" w:color="auto"/>
                                    <w:bottom w:val="none" w:sz="0" w:space="0" w:color="auto"/>
                                    <w:right w:val="none" w:sz="0" w:space="0" w:color="auto"/>
                                  </w:divBdr>
                                  <w:divsChild>
                                    <w:div w:id="17289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581660">
          <w:marLeft w:val="0"/>
          <w:marRight w:val="0"/>
          <w:marTop w:val="0"/>
          <w:marBottom w:val="0"/>
          <w:divBdr>
            <w:top w:val="none" w:sz="0" w:space="0" w:color="auto"/>
            <w:left w:val="none" w:sz="0" w:space="0" w:color="auto"/>
            <w:bottom w:val="none" w:sz="0" w:space="0" w:color="auto"/>
            <w:right w:val="none" w:sz="0" w:space="0" w:color="auto"/>
          </w:divBdr>
          <w:divsChild>
            <w:div w:id="83111180">
              <w:marLeft w:val="0"/>
              <w:marRight w:val="0"/>
              <w:marTop w:val="0"/>
              <w:marBottom w:val="0"/>
              <w:divBdr>
                <w:top w:val="none" w:sz="0" w:space="0" w:color="auto"/>
                <w:left w:val="none" w:sz="0" w:space="0" w:color="auto"/>
                <w:bottom w:val="none" w:sz="0" w:space="0" w:color="auto"/>
                <w:right w:val="none" w:sz="0" w:space="0" w:color="auto"/>
              </w:divBdr>
              <w:divsChild>
                <w:div w:id="1433354435">
                  <w:marLeft w:val="0"/>
                  <w:marRight w:val="0"/>
                  <w:marTop w:val="0"/>
                  <w:marBottom w:val="0"/>
                  <w:divBdr>
                    <w:top w:val="none" w:sz="0" w:space="0" w:color="auto"/>
                    <w:left w:val="none" w:sz="0" w:space="0" w:color="auto"/>
                    <w:bottom w:val="none" w:sz="0" w:space="0" w:color="auto"/>
                    <w:right w:val="none" w:sz="0" w:space="0" w:color="auto"/>
                  </w:divBdr>
                  <w:divsChild>
                    <w:div w:id="1516339168">
                      <w:marLeft w:val="0"/>
                      <w:marRight w:val="0"/>
                      <w:marTop w:val="0"/>
                      <w:marBottom w:val="0"/>
                      <w:divBdr>
                        <w:top w:val="none" w:sz="0" w:space="0" w:color="auto"/>
                        <w:left w:val="none" w:sz="0" w:space="0" w:color="auto"/>
                        <w:bottom w:val="none" w:sz="0" w:space="0" w:color="auto"/>
                        <w:right w:val="none" w:sz="0" w:space="0" w:color="auto"/>
                      </w:divBdr>
                      <w:divsChild>
                        <w:div w:id="1465535916">
                          <w:marLeft w:val="0"/>
                          <w:marRight w:val="0"/>
                          <w:marTop w:val="0"/>
                          <w:marBottom w:val="0"/>
                          <w:divBdr>
                            <w:top w:val="none" w:sz="0" w:space="0" w:color="auto"/>
                            <w:left w:val="none" w:sz="0" w:space="0" w:color="auto"/>
                            <w:bottom w:val="none" w:sz="0" w:space="0" w:color="auto"/>
                            <w:right w:val="none" w:sz="0" w:space="0" w:color="auto"/>
                          </w:divBdr>
                          <w:divsChild>
                            <w:div w:id="606543182">
                              <w:marLeft w:val="0"/>
                              <w:marRight w:val="0"/>
                              <w:marTop w:val="0"/>
                              <w:marBottom w:val="0"/>
                              <w:divBdr>
                                <w:top w:val="none" w:sz="0" w:space="0" w:color="auto"/>
                                <w:left w:val="none" w:sz="0" w:space="0" w:color="auto"/>
                                <w:bottom w:val="none" w:sz="0" w:space="0" w:color="auto"/>
                                <w:right w:val="none" w:sz="0" w:space="0" w:color="auto"/>
                              </w:divBdr>
                              <w:divsChild>
                                <w:div w:id="1367176391">
                                  <w:marLeft w:val="0"/>
                                  <w:marRight w:val="0"/>
                                  <w:marTop w:val="0"/>
                                  <w:marBottom w:val="0"/>
                                  <w:divBdr>
                                    <w:top w:val="none" w:sz="0" w:space="0" w:color="auto"/>
                                    <w:left w:val="none" w:sz="0" w:space="0" w:color="auto"/>
                                    <w:bottom w:val="none" w:sz="0" w:space="0" w:color="auto"/>
                                    <w:right w:val="none" w:sz="0" w:space="0" w:color="auto"/>
                                  </w:divBdr>
                                  <w:divsChild>
                                    <w:div w:id="771978374">
                                      <w:marLeft w:val="0"/>
                                      <w:marRight w:val="0"/>
                                      <w:marTop w:val="0"/>
                                      <w:marBottom w:val="0"/>
                                      <w:divBdr>
                                        <w:top w:val="none" w:sz="0" w:space="0" w:color="auto"/>
                                        <w:left w:val="none" w:sz="0" w:space="0" w:color="auto"/>
                                        <w:bottom w:val="none" w:sz="0" w:space="0" w:color="auto"/>
                                        <w:right w:val="none" w:sz="0" w:space="0" w:color="auto"/>
                                      </w:divBdr>
                                      <w:divsChild>
                                        <w:div w:id="1071122761">
                                          <w:marLeft w:val="0"/>
                                          <w:marRight w:val="0"/>
                                          <w:marTop w:val="0"/>
                                          <w:marBottom w:val="0"/>
                                          <w:divBdr>
                                            <w:top w:val="none" w:sz="0" w:space="0" w:color="auto"/>
                                            <w:left w:val="none" w:sz="0" w:space="0" w:color="auto"/>
                                            <w:bottom w:val="none" w:sz="0" w:space="0" w:color="auto"/>
                                            <w:right w:val="none" w:sz="0" w:space="0" w:color="auto"/>
                                          </w:divBdr>
                                          <w:divsChild>
                                            <w:div w:id="1262714013">
                                              <w:marLeft w:val="0"/>
                                              <w:marRight w:val="0"/>
                                              <w:marTop w:val="0"/>
                                              <w:marBottom w:val="0"/>
                                              <w:divBdr>
                                                <w:top w:val="none" w:sz="0" w:space="0" w:color="auto"/>
                                                <w:left w:val="none" w:sz="0" w:space="0" w:color="auto"/>
                                                <w:bottom w:val="none" w:sz="0" w:space="0" w:color="auto"/>
                                                <w:right w:val="none" w:sz="0" w:space="0" w:color="auto"/>
                                              </w:divBdr>
                                              <w:divsChild>
                                                <w:div w:id="12754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018310">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07274591">
      <w:bodyDiv w:val="1"/>
      <w:marLeft w:val="0"/>
      <w:marRight w:val="0"/>
      <w:marTop w:val="0"/>
      <w:marBottom w:val="0"/>
      <w:divBdr>
        <w:top w:val="none" w:sz="0" w:space="0" w:color="auto"/>
        <w:left w:val="none" w:sz="0" w:space="0" w:color="auto"/>
        <w:bottom w:val="none" w:sz="0" w:space="0" w:color="auto"/>
        <w:right w:val="none" w:sz="0" w:space="0" w:color="auto"/>
      </w:divBdr>
    </w:div>
    <w:div w:id="611935995">
      <w:bodyDiv w:val="1"/>
      <w:marLeft w:val="0"/>
      <w:marRight w:val="0"/>
      <w:marTop w:val="0"/>
      <w:marBottom w:val="0"/>
      <w:divBdr>
        <w:top w:val="none" w:sz="0" w:space="0" w:color="auto"/>
        <w:left w:val="none" w:sz="0" w:space="0" w:color="auto"/>
        <w:bottom w:val="none" w:sz="0" w:space="0" w:color="auto"/>
        <w:right w:val="none" w:sz="0" w:space="0" w:color="auto"/>
      </w:divBdr>
    </w:div>
    <w:div w:id="630550643">
      <w:bodyDiv w:val="1"/>
      <w:marLeft w:val="0"/>
      <w:marRight w:val="0"/>
      <w:marTop w:val="0"/>
      <w:marBottom w:val="0"/>
      <w:divBdr>
        <w:top w:val="none" w:sz="0" w:space="0" w:color="auto"/>
        <w:left w:val="none" w:sz="0" w:space="0" w:color="auto"/>
        <w:bottom w:val="none" w:sz="0" w:space="0" w:color="auto"/>
        <w:right w:val="none" w:sz="0" w:space="0" w:color="auto"/>
      </w:divBdr>
    </w:div>
    <w:div w:id="640042330">
      <w:bodyDiv w:val="1"/>
      <w:marLeft w:val="0"/>
      <w:marRight w:val="0"/>
      <w:marTop w:val="0"/>
      <w:marBottom w:val="0"/>
      <w:divBdr>
        <w:top w:val="none" w:sz="0" w:space="0" w:color="auto"/>
        <w:left w:val="none" w:sz="0" w:space="0" w:color="auto"/>
        <w:bottom w:val="none" w:sz="0" w:space="0" w:color="auto"/>
        <w:right w:val="none" w:sz="0" w:space="0" w:color="auto"/>
      </w:divBdr>
    </w:div>
    <w:div w:id="664741992">
      <w:bodyDiv w:val="1"/>
      <w:marLeft w:val="0"/>
      <w:marRight w:val="0"/>
      <w:marTop w:val="0"/>
      <w:marBottom w:val="0"/>
      <w:divBdr>
        <w:top w:val="none" w:sz="0" w:space="0" w:color="auto"/>
        <w:left w:val="none" w:sz="0" w:space="0" w:color="auto"/>
        <w:bottom w:val="none" w:sz="0" w:space="0" w:color="auto"/>
        <w:right w:val="none" w:sz="0" w:space="0" w:color="auto"/>
      </w:divBdr>
    </w:div>
    <w:div w:id="675616925">
      <w:bodyDiv w:val="1"/>
      <w:marLeft w:val="0"/>
      <w:marRight w:val="0"/>
      <w:marTop w:val="0"/>
      <w:marBottom w:val="0"/>
      <w:divBdr>
        <w:top w:val="none" w:sz="0" w:space="0" w:color="auto"/>
        <w:left w:val="none" w:sz="0" w:space="0" w:color="auto"/>
        <w:bottom w:val="none" w:sz="0" w:space="0" w:color="auto"/>
        <w:right w:val="none" w:sz="0" w:space="0" w:color="auto"/>
      </w:divBdr>
    </w:div>
    <w:div w:id="682048660">
      <w:bodyDiv w:val="1"/>
      <w:marLeft w:val="0"/>
      <w:marRight w:val="0"/>
      <w:marTop w:val="0"/>
      <w:marBottom w:val="0"/>
      <w:divBdr>
        <w:top w:val="none" w:sz="0" w:space="0" w:color="auto"/>
        <w:left w:val="none" w:sz="0" w:space="0" w:color="auto"/>
        <w:bottom w:val="none" w:sz="0" w:space="0" w:color="auto"/>
        <w:right w:val="none" w:sz="0" w:space="0" w:color="auto"/>
      </w:divBdr>
    </w:div>
    <w:div w:id="706298105">
      <w:bodyDiv w:val="1"/>
      <w:marLeft w:val="0"/>
      <w:marRight w:val="0"/>
      <w:marTop w:val="0"/>
      <w:marBottom w:val="0"/>
      <w:divBdr>
        <w:top w:val="none" w:sz="0" w:space="0" w:color="auto"/>
        <w:left w:val="none" w:sz="0" w:space="0" w:color="auto"/>
        <w:bottom w:val="none" w:sz="0" w:space="0" w:color="auto"/>
        <w:right w:val="none" w:sz="0" w:space="0" w:color="auto"/>
      </w:divBdr>
    </w:div>
    <w:div w:id="726101362">
      <w:bodyDiv w:val="1"/>
      <w:marLeft w:val="0"/>
      <w:marRight w:val="0"/>
      <w:marTop w:val="0"/>
      <w:marBottom w:val="0"/>
      <w:divBdr>
        <w:top w:val="none" w:sz="0" w:space="0" w:color="auto"/>
        <w:left w:val="none" w:sz="0" w:space="0" w:color="auto"/>
        <w:bottom w:val="none" w:sz="0" w:space="0" w:color="auto"/>
        <w:right w:val="none" w:sz="0" w:space="0" w:color="auto"/>
      </w:divBdr>
    </w:div>
    <w:div w:id="726681860">
      <w:bodyDiv w:val="1"/>
      <w:marLeft w:val="0"/>
      <w:marRight w:val="0"/>
      <w:marTop w:val="0"/>
      <w:marBottom w:val="0"/>
      <w:divBdr>
        <w:top w:val="none" w:sz="0" w:space="0" w:color="auto"/>
        <w:left w:val="none" w:sz="0" w:space="0" w:color="auto"/>
        <w:bottom w:val="none" w:sz="0" w:space="0" w:color="auto"/>
        <w:right w:val="none" w:sz="0" w:space="0" w:color="auto"/>
      </w:divBdr>
    </w:div>
    <w:div w:id="743722272">
      <w:bodyDiv w:val="1"/>
      <w:marLeft w:val="0"/>
      <w:marRight w:val="0"/>
      <w:marTop w:val="0"/>
      <w:marBottom w:val="0"/>
      <w:divBdr>
        <w:top w:val="none" w:sz="0" w:space="0" w:color="auto"/>
        <w:left w:val="none" w:sz="0" w:space="0" w:color="auto"/>
        <w:bottom w:val="none" w:sz="0" w:space="0" w:color="auto"/>
        <w:right w:val="none" w:sz="0" w:space="0" w:color="auto"/>
      </w:divBdr>
    </w:div>
    <w:div w:id="749087222">
      <w:bodyDiv w:val="1"/>
      <w:marLeft w:val="0"/>
      <w:marRight w:val="0"/>
      <w:marTop w:val="0"/>
      <w:marBottom w:val="0"/>
      <w:divBdr>
        <w:top w:val="none" w:sz="0" w:space="0" w:color="auto"/>
        <w:left w:val="none" w:sz="0" w:space="0" w:color="auto"/>
        <w:bottom w:val="none" w:sz="0" w:space="0" w:color="auto"/>
        <w:right w:val="none" w:sz="0" w:space="0" w:color="auto"/>
      </w:divBdr>
    </w:div>
    <w:div w:id="755594395">
      <w:bodyDiv w:val="1"/>
      <w:marLeft w:val="0"/>
      <w:marRight w:val="0"/>
      <w:marTop w:val="0"/>
      <w:marBottom w:val="0"/>
      <w:divBdr>
        <w:top w:val="none" w:sz="0" w:space="0" w:color="auto"/>
        <w:left w:val="none" w:sz="0" w:space="0" w:color="auto"/>
        <w:bottom w:val="none" w:sz="0" w:space="0" w:color="auto"/>
        <w:right w:val="none" w:sz="0" w:space="0" w:color="auto"/>
      </w:divBdr>
    </w:div>
    <w:div w:id="759446798">
      <w:bodyDiv w:val="1"/>
      <w:marLeft w:val="0"/>
      <w:marRight w:val="0"/>
      <w:marTop w:val="0"/>
      <w:marBottom w:val="0"/>
      <w:divBdr>
        <w:top w:val="none" w:sz="0" w:space="0" w:color="auto"/>
        <w:left w:val="none" w:sz="0" w:space="0" w:color="auto"/>
        <w:bottom w:val="none" w:sz="0" w:space="0" w:color="auto"/>
        <w:right w:val="none" w:sz="0" w:space="0" w:color="auto"/>
      </w:divBdr>
    </w:div>
    <w:div w:id="763304920">
      <w:bodyDiv w:val="1"/>
      <w:marLeft w:val="0"/>
      <w:marRight w:val="0"/>
      <w:marTop w:val="0"/>
      <w:marBottom w:val="0"/>
      <w:divBdr>
        <w:top w:val="none" w:sz="0" w:space="0" w:color="auto"/>
        <w:left w:val="none" w:sz="0" w:space="0" w:color="auto"/>
        <w:bottom w:val="none" w:sz="0" w:space="0" w:color="auto"/>
        <w:right w:val="none" w:sz="0" w:space="0" w:color="auto"/>
      </w:divBdr>
    </w:div>
    <w:div w:id="764376101">
      <w:bodyDiv w:val="1"/>
      <w:marLeft w:val="0"/>
      <w:marRight w:val="0"/>
      <w:marTop w:val="0"/>
      <w:marBottom w:val="0"/>
      <w:divBdr>
        <w:top w:val="none" w:sz="0" w:space="0" w:color="auto"/>
        <w:left w:val="none" w:sz="0" w:space="0" w:color="auto"/>
        <w:bottom w:val="none" w:sz="0" w:space="0" w:color="auto"/>
        <w:right w:val="none" w:sz="0" w:space="0" w:color="auto"/>
      </w:divBdr>
    </w:div>
    <w:div w:id="778183238">
      <w:bodyDiv w:val="1"/>
      <w:marLeft w:val="0"/>
      <w:marRight w:val="0"/>
      <w:marTop w:val="0"/>
      <w:marBottom w:val="0"/>
      <w:divBdr>
        <w:top w:val="none" w:sz="0" w:space="0" w:color="auto"/>
        <w:left w:val="none" w:sz="0" w:space="0" w:color="auto"/>
        <w:bottom w:val="none" w:sz="0" w:space="0" w:color="auto"/>
        <w:right w:val="none" w:sz="0" w:space="0" w:color="auto"/>
      </w:divBdr>
    </w:div>
    <w:div w:id="795685924">
      <w:bodyDiv w:val="1"/>
      <w:marLeft w:val="0"/>
      <w:marRight w:val="0"/>
      <w:marTop w:val="0"/>
      <w:marBottom w:val="0"/>
      <w:divBdr>
        <w:top w:val="none" w:sz="0" w:space="0" w:color="auto"/>
        <w:left w:val="none" w:sz="0" w:space="0" w:color="auto"/>
        <w:bottom w:val="none" w:sz="0" w:space="0" w:color="auto"/>
        <w:right w:val="none" w:sz="0" w:space="0" w:color="auto"/>
      </w:divBdr>
    </w:div>
    <w:div w:id="800155507">
      <w:bodyDiv w:val="1"/>
      <w:marLeft w:val="0"/>
      <w:marRight w:val="0"/>
      <w:marTop w:val="0"/>
      <w:marBottom w:val="0"/>
      <w:divBdr>
        <w:top w:val="none" w:sz="0" w:space="0" w:color="auto"/>
        <w:left w:val="none" w:sz="0" w:space="0" w:color="auto"/>
        <w:bottom w:val="none" w:sz="0" w:space="0" w:color="auto"/>
        <w:right w:val="none" w:sz="0" w:space="0" w:color="auto"/>
      </w:divBdr>
    </w:div>
    <w:div w:id="811754711">
      <w:bodyDiv w:val="1"/>
      <w:marLeft w:val="0"/>
      <w:marRight w:val="0"/>
      <w:marTop w:val="0"/>
      <w:marBottom w:val="0"/>
      <w:divBdr>
        <w:top w:val="none" w:sz="0" w:space="0" w:color="auto"/>
        <w:left w:val="none" w:sz="0" w:space="0" w:color="auto"/>
        <w:bottom w:val="none" w:sz="0" w:space="0" w:color="auto"/>
        <w:right w:val="none" w:sz="0" w:space="0" w:color="auto"/>
      </w:divBdr>
    </w:div>
    <w:div w:id="825635078">
      <w:bodyDiv w:val="1"/>
      <w:marLeft w:val="0"/>
      <w:marRight w:val="0"/>
      <w:marTop w:val="0"/>
      <w:marBottom w:val="0"/>
      <w:divBdr>
        <w:top w:val="none" w:sz="0" w:space="0" w:color="auto"/>
        <w:left w:val="none" w:sz="0" w:space="0" w:color="auto"/>
        <w:bottom w:val="none" w:sz="0" w:space="0" w:color="auto"/>
        <w:right w:val="none" w:sz="0" w:space="0" w:color="auto"/>
      </w:divBdr>
    </w:div>
    <w:div w:id="841626147">
      <w:bodyDiv w:val="1"/>
      <w:marLeft w:val="0"/>
      <w:marRight w:val="0"/>
      <w:marTop w:val="0"/>
      <w:marBottom w:val="0"/>
      <w:divBdr>
        <w:top w:val="none" w:sz="0" w:space="0" w:color="auto"/>
        <w:left w:val="none" w:sz="0" w:space="0" w:color="auto"/>
        <w:bottom w:val="none" w:sz="0" w:space="0" w:color="auto"/>
        <w:right w:val="none" w:sz="0" w:space="0" w:color="auto"/>
      </w:divBdr>
    </w:div>
    <w:div w:id="842161190">
      <w:bodyDiv w:val="1"/>
      <w:marLeft w:val="0"/>
      <w:marRight w:val="0"/>
      <w:marTop w:val="0"/>
      <w:marBottom w:val="0"/>
      <w:divBdr>
        <w:top w:val="none" w:sz="0" w:space="0" w:color="auto"/>
        <w:left w:val="none" w:sz="0" w:space="0" w:color="auto"/>
        <w:bottom w:val="none" w:sz="0" w:space="0" w:color="auto"/>
        <w:right w:val="none" w:sz="0" w:space="0" w:color="auto"/>
      </w:divBdr>
    </w:div>
    <w:div w:id="849222043">
      <w:bodyDiv w:val="1"/>
      <w:marLeft w:val="0"/>
      <w:marRight w:val="0"/>
      <w:marTop w:val="0"/>
      <w:marBottom w:val="0"/>
      <w:divBdr>
        <w:top w:val="none" w:sz="0" w:space="0" w:color="auto"/>
        <w:left w:val="none" w:sz="0" w:space="0" w:color="auto"/>
        <w:bottom w:val="none" w:sz="0" w:space="0" w:color="auto"/>
        <w:right w:val="none" w:sz="0" w:space="0" w:color="auto"/>
      </w:divBdr>
    </w:div>
    <w:div w:id="859512151">
      <w:bodyDiv w:val="1"/>
      <w:marLeft w:val="0"/>
      <w:marRight w:val="0"/>
      <w:marTop w:val="0"/>
      <w:marBottom w:val="0"/>
      <w:divBdr>
        <w:top w:val="none" w:sz="0" w:space="0" w:color="auto"/>
        <w:left w:val="none" w:sz="0" w:space="0" w:color="auto"/>
        <w:bottom w:val="none" w:sz="0" w:space="0" w:color="auto"/>
        <w:right w:val="none" w:sz="0" w:space="0" w:color="auto"/>
      </w:divBdr>
    </w:div>
    <w:div w:id="871575355">
      <w:bodyDiv w:val="1"/>
      <w:marLeft w:val="0"/>
      <w:marRight w:val="0"/>
      <w:marTop w:val="0"/>
      <w:marBottom w:val="0"/>
      <w:divBdr>
        <w:top w:val="none" w:sz="0" w:space="0" w:color="auto"/>
        <w:left w:val="none" w:sz="0" w:space="0" w:color="auto"/>
        <w:bottom w:val="none" w:sz="0" w:space="0" w:color="auto"/>
        <w:right w:val="none" w:sz="0" w:space="0" w:color="auto"/>
      </w:divBdr>
    </w:div>
    <w:div w:id="878668978">
      <w:bodyDiv w:val="1"/>
      <w:marLeft w:val="0"/>
      <w:marRight w:val="0"/>
      <w:marTop w:val="0"/>
      <w:marBottom w:val="0"/>
      <w:divBdr>
        <w:top w:val="none" w:sz="0" w:space="0" w:color="auto"/>
        <w:left w:val="none" w:sz="0" w:space="0" w:color="auto"/>
        <w:bottom w:val="none" w:sz="0" w:space="0" w:color="auto"/>
        <w:right w:val="none" w:sz="0" w:space="0" w:color="auto"/>
      </w:divBdr>
    </w:div>
    <w:div w:id="878934606">
      <w:bodyDiv w:val="1"/>
      <w:marLeft w:val="0"/>
      <w:marRight w:val="0"/>
      <w:marTop w:val="0"/>
      <w:marBottom w:val="0"/>
      <w:divBdr>
        <w:top w:val="none" w:sz="0" w:space="0" w:color="auto"/>
        <w:left w:val="none" w:sz="0" w:space="0" w:color="auto"/>
        <w:bottom w:val="none" w:sz="0" w:space="0" w:color="auto"/>
        <w:right w:val="none" w:sz="0" w:space="0" w:color="auto"/>
      </w:divBdr>
    </w:div>
    <w:div w:id="881863439">
      <w:bodyDiv w:val="1"/>
      <w:marLeft w:val="0"/>
      <w:marRight w:val="0"/>
      <w:marTop w:val="0"/>
      <w:marBottom w:val="0"/>
      <w:divBdr>
        <w:top w:val="none" w:sz="0" w:space="0" w:color="auto"/>
        <w:left w:val="none" w:sz="0" w:space="0" w:color="auto"/>
        <w:bottom w:val="none" w:sz="0" w:space="0" w:color="auto"/>
        <w:right w:val="none" w:sz="0" w:space="0" w:color="auto"/>
      </w:divBdr>
    </w:div>
    <w:div w:id="888148176">
      <w:bodyDiv w:val="1"/>
      <w:marLeft w:val="0"/>
      <w:marRight w:val="0"/>
      <w:marTop w:val="0"/>
      <w:marBottom w:val="0"/>
      <w:divBdr>
        <w:top w:val="none" w:sz="0" w:space="0" w:color="auto"/>
        <w:left w:val="none" w:sz="0" w:space="0" w:color="auto"/>
        <w:bottom w:val="none" w:sz="0" w:space="0" w:color="auto"/>
        <w:right w:val="none" w:sz="0" w:space="0" w:color="auto"/>
      </w:divBdr>
    </w:div>
    <w:div w:id="901478907">
      <w:bodyDiv w:val="1"/>
      <w:marLeft w:val="0"/>
      <w:marRight w:val="0"/>
      <w:marTop w:val="0"/>
      <w:marBottom w:val="0"/>
      <w:divBdr>
        <w:top w:val="none" w:sz="0" w:space="0" w:color="auto"/>
        <w:left w:val="none" w:sz="0" w:space="0" w:color="auto"/>
        <w:bottom w:val="none" w:sz="0" w:space="0" w:color="auto"/>
        <w:right w:val="none" w:sz="0" w:space="0" w:color="auto"/>
      </w:divBdr>
    </w:div>
    <w:div w:id="902182910">
      <w:bodyDiv w:val="1"/>
      <w:marLeft w:val="0"/>
      <w:marRight w:val="0"/>
      <w:marTop w:val="0"/>
      <w:marBottom w:val="0"/>
      <w:divBdr>
        <w:top w:val="none" w:sz="0" w:space="0" w:color="auto"/>
        <w:left w:val="none" w:sz="0" w:space="0" w:color="auto"/>
        <w:bottom w:val="none" w:sz="0" w:space="0" w:color="auto"/>
        <w:right w:val="none" w:sz="0" w:space="0" w:color="auto"/>
      </w:divBdr>
    </w:div>
    <w:div w:id="923225606">
      <w:bodyDiv w:val="1"/>
      <w:marLeft w:val="0"/>
      <w:marRight w:val="0"/>
      <w:marTop w:val="0"/>
      <w:marBottom w:val="0"/>
      <w:divBdr>
        <w:top w:val="none" w:sz="0" w:space="0" w:color="auto"/>
        <w:left w:val="none" w:sz="0" w:space="0" w:color="auto"/>
        <w:bottom w:val="none" w:sz="0" w:space="0" w:color="auto"/>
        <w:right w:val="none" w:sz="0" w:space="0" w:color="auto"/>
      </w:divBdr>
    </w:div>
    <w:div w:id="928730373">
      <w:bodyDiv w:val="1"/>
      <w:marLeft w:val="0"/>
      <w:marRight w:val="0"/>
      <w:marTop w:val="0"/>
      <w:marBottom w:val="0"/>
      <w:divBdr>
        <w:top w:val="none" w:sz="0" w:space="0" w:color="auto"/>
        <w:left w:val="none" w:sz="0" w:space="0" w:color="auto"/>
        <w:bottom w:val="none" w:sz="0" w:space="0" w:color="auto"/>
        <w:right w:val="none" w:sz="0" w:space="0" w:color="auto"/>
      </w:divBdr>
    </w:div>
    <w:div w:id="931743398">
      <w:bodyDiv w:val="1"/>
      <w:marLeft w:val="0"/>
      <w:marRight w:val="0"/>
      <w:marTop w:val="0"/>
      <w:marBottom w:val="0"/>
      <w:divBdr>
        <w:top w:val="none" w:sz="0" w:space="0" w:color="auto"/>
        <w:left w:val="none" w:sz="0" w:space="0" w:color="auto"/>
        <w:bottom w:val="none" w:sz="0" w:space="0" w:color="auto"/>
        <w:right w:val="none" w:sz="0" w:space="0" w:color="auto"/>
      </w:divBdr>
    </w:div>
    <w:div w:id="932980934">
      <w:bodyDiv w:val="1"/>
      <w:marLeft w:val="0"/>
      <w:marRight w:val="0"/>
      <w:marTop w:val="0"/>
      <w:marBottom w:val="0"/>
      <w:divBdr>
        <w:top w:val="none" w:sz="0" w:space="0" w:color="auto"/>
        <w:left w:val="none" w:sz="0" w:space="0" w:color="auto"/>
        <w:bottom w:val="none" w:sz="0" w:space="0" w:color="auto"/>
        <w:right w:val="none" w:sz="0" w:space="0" w:color="auto"/>
      </w:divBdr>
    </w:div>
    <w:div w:id="948583082">
      <w:bodyDiv w:val="1"/>
      <w:marLeft w:val="0"/>
      <w:marRight w:val="0"/>
      <w:marTop w:val="0"/>
      <w:marBottom w:val="0"/>
      <w:divBdr>
        <w:top w:val="none" w:sz="0" w:space="0" w:color="auto"/>
        <w:left w:val="none" w:sz="0" w:space="0" w:color="auto"/>
        <w:bottom w:val="none" w:sz="0" w:space="0" w:color="auto"/>
        <w:right w:val="none" w:sz="0" w:space="0" w:color="auto"/>
      </w:divBdr>
    </w:div>
    <w:div w:id="949439150">
      <w:bodyDiv w:val="1"/>
      <w:marLeft w:val="0"/>
      <w:marRight w:val="0"/>
      <w:marTop w:val="0"/>
      <w:marBottom w:val="0"/>
      <w:divBdr>
        <w:top w:val="none" w:sz="0" w:space="0" w:color="auto"/>
        <w:left w:val="none" w:sz="0" w:space="0" w:color="auto"/>
        <w:bottom w:val="none" w:sz="0" w:space="0" w:color="auto"/>
        <w:right w:val="none" w:sz="0" w:space="0" w:color="auto"/>
      </w:divBdr>
    </w:div>
    <w:div w:id="951594722">
      <w:bodyDiv w:val="1"/>
      <w:marLeft w:val="0"/>
      <w:marRight w:val="0"/>
      <w:marTop w:val="0"/>
      <w:marBottom w:val="0"/>
      <w:divBdr>
        <w:top w:val="none" w:sz="0" w:space="0" w:color="auto"/>
        <w:left w:val="none" w:sz="0" w:space="0" w:color="auto"/>
        <w:bottom w:val="none" w:sz="0" w:space="0" w:color="auto"/>
        <w:right w:val="none" w:sz="0" w:space="0" w:color="auto"/>
      </w:divBdr>
    </w:div>
    <w:div w:id="954795379">
      <w:bodyDiv w:val="1"/>
      <w:marLeft w:val="0"/>
      <w:marRight w:val="0"/>
      <w:marTop w:val="0"/>
      <w:marBottom w:val="0"/>
      <w:divBdr>
        <w:top w:val="none" w:sz="0" w:space="0" w:color="auto"/>
        <w:left w:val="none" w:sz="0" w:space="0" w:color="auto"/>
        <w:bottom w:val="none" w:sz="0" w:space="0" w:color="auto"/>
        <w:right w:val="none" w:sz="0" w:space="0" w:color="auto"/>
      </w:divBdr>
    </w:div>
    <w:div w:id="975717295">
      <w:bodyDiv w:val="1"/>
      <w:marLeft w:val="0"/>
      <w:marRight w:val="0"/>
      <w:marTop w:val="0"/>
      <w:marBottom w:val="0"/>
      <w:divBdr>
        <w:top w:val="none" w:sz="0" w:space="0" w:color="auto"/>
        <w:left w:val="none" w:sz="0" w:space="0" w:color="auto"/>
        <w:bottom w:val="none" w:sz="0" w:space="0" w:color="auto"/>
        <w:right w:val="none" w:sz="0" w:space="0" w:color="auto"/>
      </w:divBdr>
    </w:div>
    <w:div w:id="985670836">
      <w:bodyDiv w:val="1"/>
      <w:marLeft w:val="0"/>
      <w:marRight w:val="0"/>
      <w:marTop w:val="0"/>
      <w:marBottom w:val="0"/>
      <w:divBdr>
        <w:top w:val="none" w:sz="0" w:space="0" w:color="auto"/>
        <w:left w:val="none" w:sz="0" w:space="0" w:color="auto"/>
        <w:bottom w:val="none" w:sz="0" w:space="0" w:color="auto"/>
        <w:right w:val="none" w:sz="0" w:space="0" w:color="auto"/>
      </w:divBdr>
    </w:div>
    <w:div w:id="986275819">
      <w:bodyDiv w:val="1"/>
      <w:marLeft w:val="0"/>
      <w:marRight w:val="0"/>
      <w:marTop w:val="0"/>
      <w:marBottom w:val="0"/>
      <w:divBdr>
        <w:top w:val="none" w:sz="0" w:space="0" w:color="auto"/>
        <w:left w:val="none" w:sz="0" w:space="0" w:color="auto"/>
        <w:bottom w:val="none" w:sz="0" w:space="0" w:color="auto"/>
        <w:right w:val="none" w:sz="0" w:space="0" w:color="auto"/>
      </w:divBdr>
    </w:div>
    <w:div w:id="987979295">
      <w:bodyDiv w:val="1"/>
      <w:marLeft w:val="0"/>
      <w:marRight w:val="0"/>
      <w:marTop w:val="0"/>
      <w:marBottom w:val="0"/>
      <w:divBdr>
        <w:top w:val="none" w:sz="0" w:space="0" w:color="auto"/>
        <w:left w:val="none" w:sz="0" w:space="0" w:color="auto"/>
        <w:bottom w:val="none" w:sz="0" w:space="0" w:color="auto"/>
        <w:right w:val="none" w:sz="0" w:space="0" w:color="auto"/>
      </w:divBdr>
    </w:div>
    <w:div w:id="1000618528">
      <w:bodyDiv w:val="1"/>
      <w:marLeft w:val="0"/>
      <w:marRight w:val="0"/>
      <w:marTop w:val="0"/>
      <w:marBottom w:val="0"/>
      <w:divBdr>
        <w:top w:val="none" w:sz="0" w:space="0" w:color="auto"/>
        <w:left w:val="none" w:sz="0" w:space="0" w:color="auto"/>
        <w:bottom w:val="none" w:sz="0" w:space="0" w:color="auto"/>
        <w:right w:val="none" w:sz="0" w:space="0" w:color="auto"/>
      </w:divBdr>
    </w:div>
    <w:div w:id="1003583537">
      <w:bodyDiv w:val="1"/>
      <w:marLeft w:val="0"/>
      <w:marRight w:val="0"/>
      <w:marTop w:val="0"/>
      <w:marBottom w:val="0"/>
      <w:divBdr>
        <w:top w:val="none" w:sz="0" w:space="0" w:color="auto"/>
        <w:left w:val="none" w:sz="0" w:space="0" w:color="auto"/>
        <w:bottom w:val="none" w:sz="0" w:space="0" w:color="auto"/>
        <w:right w:val="none" w:sz="0" w:space="0" w:color="auto"/>
      </w:divBdr>
    </w:div>
    <w:div w:id="1022167857">
      <w:bodyDiv w:val="1"/>
      <w:marLeft w:val="0"/>
      <w:marRight w:val="0"/>
      <w:marTop w:val="0"/>
      <w:marBottom w:val="0"/>
      <w:divBdr>
        <w:top w:val="none" w:sz="0" w:space="0" w:color="auto"/>
        <w:left w:val="none" w:sz="0" w:space="0" w:color="auto"/>
        <w:bottom w:val="none" w:sz="0" w:space="0" w:color="auto"/>
        <w:right w:val="none" w:sz="0" w:space="0" w:color="auto"/>
      </w:divBdr>
      <w:divsChild>
        <w:div w:id="102699194">
          <w:marLeft w:val="0"/>
          <w:marRight w:val="0"/>
          <w:marTop w:val="0"/>
          <w:marBottom w:val="0"/>
          <w:divBdr>
            <w:top w:val="none" w:sz="0" w:space="0" w:color="auto"/>
            <w:left w:val="none" w:sz="0" w:space="0" w:color="auto"/>
            <w:bottom w:val="none" w:sz="0" w:space="0" w:color="auto"/>
            <w:right w:val="none" w:sz="0" w:space="0" w:color="auto"/>
          </w:divBdr>
          <w:divsChild>
            <w:div w:id="1441144844">
              <w:marLeft w:val="0"/>
              <w:marRight w:val="0"/>
              <w:marTop w:val="0"/>
              <w:marBottom w:val="0"/>
              <w:divBdr>
                <w:top w:val="none" w:sz="0" w:space="0" w:color="auto"/>
                <w:left w:val="none" w:sz="0" w:space="0" w:color="auto"/>
                <w:bottom w:val="none" w:sz="0" w:space="0" w:color="auto"/>
                <w:right w:val="none" w:sz="0" w:space="0" w:color="auto"/>
              </w:divBdr>
              <w:divsChild>
                <w:div w:id="856965921">
                  <w:marLeft w:val="0"/>
                  <w:marRight w:val="0"/>
                  <w:marTop w:val="0"/>
                  <w:marBottom w:val="0"/>
                  <w:divBdr>
                    <w:top w:val="none" w:sz="0" w:space="0" w:color="auto"/>
                    <w:left w:val="none" w:sz="0" w:space="0" w:color="auto"/>
                    <w:bottom w:val="none" w:sz="0" w:space="0" w:color="auto"/>
                    <w:right w:val="none" w:sz="0" w:space="0" w:color="auto"/>
                  </w:divBdr>
                  <w:divsChild>
                    <w:div w:id="2041777014">
                      <w:marLeft w:val="0"/>
                      <w:marRight w:val="0"/>
                      <w:marTop w:val="0"/>
                      <w:marBottom w:val="0"/>
                      <w:divBdr>
                        <w:top w:val="none" w:sz="0" w:space="0" w:color="auto"/>
                        <w:left w:val="none" w:sz="0" w:space="0" w:color="auto"/>
                        <w:bottom w:val="none" w:sz="0" w:space="0" w:color="auto"/>
                        <w:right w:val="none" w:sz="0" w:space="0" w:color="auto"/>
                      </w:divBdr>
                      <w:divsChild>
                        <w:div w:id="2028407979">
                          <w:marLeft w:val="0"/>
                          <w:marRight w:val="0"/>
                          <w:marTop w:val="0"/>
                          <w:marBottom w:val="0"/>
                          <w:divBdr>
                            <w:top w:val="none" w:sz="0" w:space="0" w:color="auto"/>
                            <w:left w:val="none" w:sz="0" w:space="0" w:color="auto"/>
                            <w:bottom w:val="none" w:sz="0" w:space="0" w:color="auto"/>
                            <w:right w:val="none" w:sz="0" w:space="0" w:color="auto"/>
                          </w:divBdr>
                          <w:divsChild>
                            <w:div w:id="17312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652386">
      <w:bodyDiv w:val="1"/>
      <w:marLeft w:val="0"/>
      <w:marRight w:val="0"/>
      <w:marTop w:val="0"/>
      <w:marBottom w:val="0"/>
      <w:divBdr>
        <w:top w:val="none" w:sz="0" w:space="0" w:color="auto"/>
        <w:left w:val="none" w:sz="0" w:space="0" w:color="auto"/>
        <w:bottom w:val="none" w:sz="0" w:space="0" w:color="auto"/>
        <w:right w:val="none" w:sz="0" w:space="0" w:color="auto"/>
      </w:divBdr>
    </w:div>
    <w:div w:id="1086927541">
      <w:bodyDiv w:val="1"/>
      <w:marLeft w:val="0"/>
      <w:marRight w:val="0"/>
      <w:marTop w:val="0"/>
      <w:marBottom w:val="0"/>
      <w:divBdr>
        <w:top w:val="none" w:sz="0" w:space="0" w:color="auto"/>
        <w:left w:val="none" w:sz="0" w:space="0" w:color="auto"/>
        <w:bottom w:val="none" w:sz="0" w:space="0" w:color="auto"/>
        <w:right w:val="none" w:sz="0" w:space="0" w:color="auto"/>
      </w:divBdr>
    </w:div>
    <w:div w:id="1094715078">
      <w:bodyDiv w:val="1"/>
      <w:marLeft w:val="0"/>
      <w:marRight w:val="0"/>
      <w:marTop w:val="0"/>
      <w:marBottom w:val="0"/>
      <w:divBdr>
        <w:top w:val="none" w:sz="0" w:space="0" w:color="auto"/>
        <w:left w:val="none" w:sz="0" w:space="0" w:color="auto"/>
        <w:bottom w:val="none" w:sz="0" w:space="0" w:color="auto"/>
        <w:right w:val="none" w:sz="0" w:space="0" w:color="auto"/>
      </w:divBdr>
    </w:div>
    <w:div w:id="1103576835">
      <w:bodyDiv w:val="1"/>
      <w:marLeft w:val="0"/>
      <w:marRight w:val="0"/>
      <w:marTop w:val="0"/>
      <w:marBottom w:val="0"/>
      <w:divBdr>
        <w:top w:val="none" w:sz="0" w:space="0" w:color="auto"/>
        <w:left w:val="none" w:sz="0" w:space="0" w:color="auto"/>
        <w:bottom w:val="none" w:sz="0" w:space="0" w:color="auto"/>
        <w:right w:val="none" w:sz="0" w:space="0" w:color="auto"/>
      </w:divBdr>
    </w:div>
    <w:div w:id="1104039738">
      <w:bodyDiv w:val="1"/>
      <w:marLeft w:val="0"/>
      <w:marRight w:val="0"/>
      <w:marTop w:val="0"/>
      <w:marBottom w:val="0"/>
      <w:divBdr>
        <w:top w:val="none" w:sz="0" w:space="0" w:color="auto"/>
        <w:left w:val="none" w:sz="0" w:space="0" w:color="auto"/>
        <w:bottom w:val="none" w:sz="0" w:space="0" w:color="auto"/>
        <w:right w:val="none" w:sz="0" w:space="0" w:color="auto"/>
      </w:divBdr>
    </w:div>
    <w:div w:id="1106147104">
      <w:bodyDiv w:val="1"/>
      <w:marLeft w:val="0"/>
      <w:marRight w:val="0"/>
      <w:marTop w:val="0"/>
      <w:marBottom w:val="0"/>
      <w:divBdr>
        <w:top w:val="none" w:sz="0" w:space="0" w:color="auto"/>
        <w:left w:val="none" w:sz="0" w:space="0" w:color="auto"/>
        <w:bottom w:val="none" w:sz="0" w:space="0" w:color="auto"/>
        <w:right w:val="none" w:sz="0" w:space="0" w:color="auto"/>
      </w:divBdr>
    </w:div>
    <w:div w:id="1116367506">
      <w:bodyDiv w:val="1"/>
      <w:marLeft w:val="0"/>
      <w:marRight w:val="0"/>
      <w:marTop w:val="0"/>
      <w:marBottom w:val="0"/>
      <w:divBdr>
        <w:top w:val="none" w:sz="0" w:space="0" w:color="auto"/>
        <w:left w:val="none" w:sz="0" w:space="0" w:color="auto"/>
        <w:bottom w:val="none" w:sz="0" w:space="0" w:color="auto"/>
        <w:right w:val="none" w:sz="0" w:space="0" w:color="auto"/>
      </w:divBdr>
    </w:div>
    <w:div w:id="1146118827">
      <w:bodyDiv w:val="1"/>
      <w:marLeft w:val="0"/>
      <w:marRight w:val="0"/>
      <w:marTop w:val="0"/>
      <w:marBottom w:val="0"/>
      <w:divBdr>
        <w:top w:val="none" w:sz="0" w:space="0" w:color="auto"/>
        <w:left w:val="none" w:sz="0" w:space="0" w:color="auto"/>
        <w:bottom w:val="none" w:sz="0" w:space="0" w:color="auto"/>
        <w:right w:val="none" w:sz="0" w:space="0" w:color="auto"/>
      </w:divBdr>
    </w:div>
    <w:div w:id="1148472186">
      <w:bodyDiv w:val="1"/>
      <w:marLeft w:val="0"/>
      <w:marRight w:val="0"/>
      <w:marTop w:val="0"/>
      <w:marBottom w:val="0"/>
      <w:divBdr>
        <w:top w:val="none" w:sz="0" w:space="0" w:color="auto"/>
        <w:left w:val="none" w:sz="0" w:space="0" w:color="auto"/>
        <w:bottom w:val="none" w:sz="0" w:space="0" w:color="auto"/>
        <w:right w:val="none" w:sz="0" w:space="0" w:color="auto"/>
      </w:divBdr>
    </w:div>
    <w:div w:id="1149129756">
      <w:bodyDiv w:val="1"/>
      <w:marLeft w:val="0"/>
      <w:marRight w:val="0"/>
      <w:marTop w:val="0"/>
      <w:marBottom w:val="0"/>
      <w:divBdr>
        <w:top w:val="none" w:sz="0" w:space="0" w:color="auto"/>
        <w:left w:val="none" w:sz="0" w:space="0" w:color="auto"/>
        <w:bottom w:val="none" w:sz="0" w:space="0" w:color="auto"/>
        <w:right w:val="none" w:sz="0" w:space="0" w:color="auto"/>
      </w:divBdr>
    </w:div>
    <w:div w:id="1151215617">
      <w:bodyDiv w:val="1"/>
      <w:marLeft w:val="0"/>
      <w:marRight w:val="0"/>
      <w:marTop w:val="0"/>
      <w:marBottom w:val="0"/>
      <w:divBdr>
        <w:top w:val="none" w:sz="0" w:space="0" w:color="auto"/>
        <w:left w:val="none" w:sz="0" w:space="0" w:color="auto"/>
        <w:bottom w:val="none" w:sz="0" w:space="0" w:color="auto"/>
        <w:right w:val="none" w:sz="0" w:space="0" w:color="auto"/>
      </w:divBdr>
    </w:div>
    <w:div w:id="1170367440">
      <w:bodyDiv w:val="1"/>
      <w:marLeft w:val="0"/>
      <w:marRight w:val="0"/>
      <w:marTop w:val="0"/>
      <w:marBottom w:val="0"/>
      <w:divBdr>
        <w:top w:val="none" w:sz="0" w:space="0" w:color="auto"/>
        <w:left w:val="none" w:sz="0" w:space="0" w:color="auto"/>
        <w:bottom w:val="none" w:sz="0" w:space="0" w:color="auto"/>
        <w:right w:val="none" w:sz="0" w:space="0" w:color="auto"/>
      </w:divBdr>
    </w:div>
    <w:div w:id="1170876437">
      <w:bodyDiv w:val="1"/>
      <w:marLeft w:val="0"/>
      <w:marRight w:val="0"/>
      <w:marTop w:val="0"/>
      <w:marBottom w:val="0"/>
      <w:divBdr>
        <w:top w:val="none" w:sz="0" w:space="0" w:color="auto"/>
        <w:left w:val="none" w:sz="0" w:space="0" w:color="auto"/>
        <w:bottom w:val="none" w:sz="0" w:space="0" w:color="auto"/>
        <w:right w:val="none" w:sz="0" w:space="0" w:color="auto"/>
      </w:divBdr>
    </w:div>
    <w:div w:id="1172333386">
      <w:bodyDiv w:val="1"/>
      <w:marLeft w:val="0"/>
      <w:marRight w:val="0"/>
      <w:marTop w:val="0"/>
      <w:marBottom w:val="0"/>
      <w:divBdr>
        <w:top w:val="none" w:sz="0" w:space="0" w:color="auto"/>
        <w:left w:val="none" w:sz="0" w:space="0" w:color="auto"/>
        <w:bottom w:val="none" w:sz="0" w:space="0" w:color="auto"/>
        <w:right w:val="none" w:sz="0" w:space="0" w:color="auto"/>
      </w:divBdr>
    </w:div>
    <w:div w:id="1176386033">
      <w:bodyDiv w:val="1"/>
      <w:marLeft w:val="0"/>
      <w:marRight w:val="0"/>
      <w:marTop w:val="0"/>
      <w:marBottom w:val="0"/>
      <w:divBdr>
        <w:top w:val="none" w:sz="0" w:space="0" w:color="auto"/>
        <w:left w:val="none" w:sz="0" w:space="0" w:color="auto"/>
        <w:bottom w:val="none" w:sz="0" w:space="0" w:color="auto"/>
        <w:right w:val="none" w:sz="0" w:space="0" w:color="auto"/>
      </w:divBdr>
    </w:div>
    <w:div w:id="1184830865">
      <w:bodyDiv w:val="1"/>
      <w:marLeft w:val="0"/>
      <w:marRight w:val="0"/>
      <w:marTop w:val="0"/>
      <w:marBottom w:val="0"/>
      <w:divBdr>
        <w:top w:val="none" w:sz="0" w:space="0" w:color="auto"/>
        <w:left w:val="none" w:sz="0" w:space="0" w:color="auto"/>
        <w:bottom w:val="none" w:sz="0" w:space="0" w:color="auto"/>
        <w:right w:val="none" w:sz="0" w:space="0" w:color="auto"/>
      </w:divBdr>
    </w:div>
    <w:div w:id="1188325329">
      <w:bodyDiv w:val="1"/>
      <w:marLeft w:val="0"/>
      <w:marRight w:val="0"/>
      <w:marTop w:val="0"/>
      <w:marBottom w:val="0"/>
      <w:divBdr>
        <w:top w:val="none" w:sz="0" w:space="0" w:color="auto"/>
        <w:left w:val="none" w:sz="0" w:space="0" w:color="auto"/>
        <w:bottom w:val="none" w:sz="0" w:space="0" w:color="auto"/>
        <w:right w:val="none" w:sz="0" w:space="0" w:color="auto"/>
      </w:divBdr>
    </w:div>
    <w:div w:id="1189297749">
      <w:bodyDiv w:val="1"/>
      <w:marLeft w:val="0"/>
      <w:marRight w:val="0"/>
      <w:marTop w:val="0"/>
      <w:marBottom w:val="0"/>
      <w:divBdr>
        <w:top w:val="none" w:sz="0" w:space="0" w:color="auto"/>
        <w:left w:val="none" w:sz="0" w:space="0" w:color="auto"/>
        <w:bottom w:val="none" w:sz="0" w:space="0" w:color="auto"/>
        <w:right w:val="none" w:sz="0" w:space="0" w:color="auto"/>
      </w:divBdr>
    </w:div>
    <w:div w:id="1202476335">
      <w:bodyDiv w:val="1"/>
      <w:marLeft w:val="0"/>
      <w:marRight w:val="0"/>
      <w:marTop w:val="0"/>
      <w:marBottom w:val="0"/>
      <w:divBdr>
        <w:top w:val="none" w:sz="0" w:space="0" w:color="auto"/>
        <w:left w:val="none" w:sz="0" w:space="0" w:color="auto"/>
        <w:bottom w:val="none" w:sz="0" w:space="0" w:color="auto"/>
        <w:right w:val="none" w:sz="0" w:space="0" w:color="auto"/>
      </w:divBdr>
    </w:div>
    <w:div w:id="1209999399">
      <w:bodyDiv w:val="1"/>
      <w:marLeft w:val="0"/>
      <w:marRight w:val="0"/>
      <w:marTop w:val="0"/>
      <w:marBottom w:val="0"/>
      <w:divBdr>
        <w:top w:val="none" w:sz="0" w:space="0" w:color="auto"/>
        <w:left w:val="none" w:sz="0" w:space="0" w:color="auto"/>
        <w:bottom w:val="none" w:sz="0" w:space="0" w:color="auto"/>
        <w:right w:val="none" w:sz="0" w:space="0" w:color="auto"/>
      </w:divBdr>
    </w:div>
    <w:div w:id="1222591729">
      <w:bodyDiv w:val="1"/>
      <w:marLeft w:val="0"/>
      <w:marRight w:val="0"/>
      <w:marTop w:val="0"/>
      <w:marBottom w:val="0"/>
      <w:divBdr>
        <w:top w:val="none" w:sz="0" w:space="0" w:color="auto"/>
        <w:left w:val="none" w:sz="0" w:space="0" w:color="auto"/>
        <w:bottom w:val="none" w:sz="0" w:space="0" w:color="auto"/>
        <w:right w:val="none" w:sz="0" w:space="0" w:color="auto"/>
      </w:divBdr>
    </w:div>
    <w:div w:id="1229464400">
      <w:bodyDiv w:val="1"/>
      <w:marLeft w:val="0"/>
      <w:marRight w:val="0"/>
      <w:marTop w:val="0"/>
      <w:marBottom w:val="0"/>
      <w:divBdr>
        <w:top w:val="none" w:sz="0" w:space="0" w:color="auto"/>
        <w:left w:val="none" w:sz="0" w:space="0" w:color="auto"/>
        <w:bottom w:val="none" w:sz="0" w:space="0" w:color="auto"/>
        <w:right w:val="none" w:sz="0" w:space="0" w:color="auto"/>
      </w:divBdr>
    </w:div>
    <w:div w:id="1231965968">
      <w:bodyDiv w:val="1"/>
      <w:marLeft w:val="0"/>
      <w:marRight w:val="0"/>
      <w:marTop w:val="0"/>
      <w:marBottom w:val="0"/>
      <w:divBdr>
        <w:top w:val="none" w:sz="0" w:space="0" w:color="auto"/>
        <w:left w:val="none" w:sz="0" w:space="0" w:color="auto"/>
        <w:bottom w:val="none" w:sz="0" w:space="0" w:color="auto"/>
        <w:right w:val="none" w:sz="0" w:space="0" w:color="auto"/>
      </w:divBdr>
    </w:div>
    <w:div w:id="1234311775">
      <w:bodyDiv w:val="1"/>
      <w:marLeft w:val="0"/>
      <w:marRight w:val="0"/>
      <w:marTop w:val="0"/>
      <w:marBottom w:val="0"/>
      <w:divBdr>
        <w:top w:val="none" w:sz="0" w:space="0" w:color="auto"/>
        <w:left w:val="none" w:sz="0" w:space="0" w:color="auto"/>
        <w:bottom w:val="none" w:sz="0" w:space="0" w:color="auto"/>
        <w:right w:val="none" w:sz="0" w:space="0" w:color="auto"/>
      </w:divBdr>
    </w:div>
    <w:div w:id="1251935345">
      <w:bodyDiv w:val="1"/>
      <w:marLeft w:val="0"/>
      <w:marRight w:val="0"/>
      <w:marTop w:val="0"/>
      <w:marBottom w:val="0"/>
      <w:divBdr>
        <w:top w:val="none" w:sz="0" w:space="0" w:color="auto"/>
        <w:left w:val="none" w:sz="0" w:space="0" w:color="auto"/>
        <w:bottom w:val="none" w:sz="0" w:space="0" w:color="auto"/>
        <w:right w:val="none" w:sz="0" w:space="0" w:color="auto"/>
      </w:divBdr>
    </w:div>
    <w:div w:id="1253705420">
      <w:bodyDiv w:val="1"/>
      <w:marLeft w:val="0"/>
      <w:marRight w:val="0"/>
      <w:marTop w:val="0"/>
      <w:marBottom w:val="0"/>
      <w:divBdr>
        <w:top w:val="none" w:sz="0" w:space="0" w:color="auto"/>
        <w:left w:val="none" w:sz="0" w:space="0" w:color="auto"/>
        <w:bottom w:val="none" w:sz="0" w:space="0" w:color="auto"/>
        <w:right w:val="none" w:sz="0" w:space="0" w:color="auto"/>
      </w:divBdr>
    </w:div>
    <w:div w:id="1256404626">
      <w:bodyDiv w:val="1"/>
      <w:marLeft w:val="0"/>
      <w:marRight w:val="0"/>
      <w:marTop w:val="0"/>
      <w:marBottom w:val="0"/>
      <w:divBdr>
        <w:top w:val="none" w:sz="0" w:space="0" w:color="auto"/>
        <w:left w:val="none" w:sz="0" w:space="0" w:color="auto"/>
        <w:bottom w:val="none" w:sz="0" w:space="0" w:color="auto"/>
        <w:right w:val="none" w:sz="0" w:space="0" w:color="auto"/>
      </w:divBdr>
    </w:div>
    <w:div w:id="1260866885">
      <w:bodyDiv w:val="1"/>
      <w:marLeft w:val="0"/>
      <w:marRight w:val="0"/>
      <w:marTop w:val="0"/>
      <w:marBottom w:val="0"/>
      <w:divBdr>
        <w:top w:val="none" w:sz="0" w:space="0" w:color="auto"/>
        <w:left w:val="none" w:sz="0" w:space="0" w:color="auto"/>
        <w:bottom w:val="none" w:sz="0" w:space="0" w:color="auto"/>
        <w:right w:val="none" w:sz="0" w:space="0" w:color="auto"/>
      </w:divBdr>
    </w:div>
    <w:div w:id="1261180737">
      <w:bodyDiv w:val="1"/>
      <w:marLeft w:val="0"/>
      <w:marRight w:val="0"/>
      <w:marTop w:val="0"/>
      <w:marBottom w:val="0"/>
      <w:divBdr>
        <w:top w:val="none" w:sz="0" w:space="0" w:color="auto"/>
        <w:left w:val="none" w:sz="0" w:space="0" w:color="auto"/>
        <w:bottom w:val="none" w:sz="0" w:space="0" w:color="auto"/>
        <w:right w:val="none" w:sz="0" w:space="0" w:color="auto"/>
      </w:divBdr>
    </w:div>
    <w:div w:id="1263149181">
      <w:bodyDiv w:val="1"/>
      <w:marLeft w:val="0"/>
      <w:marRight w:val="0"/>
      <w:marTop w:val="0"/>
      <w:marBottom w:val="0"/>
      <w:divBdr>
        <w:top w:val="none" w:sz="0" w:space="0" w:color="auto"/>
        <w:left w:val="none" w:sz="0" w:space="0" w:color="auto"/>
        <w:bottom w:val="none" w:sz="0" w:space="0" w:color="auto"/>
        <w:right w:val="none" w:sz="0" w:space="0" w:color="auto"/>
      </w:divBdr>
    </w:div>
    <w:div w:id="1268580783">
      <w:bodyDiv w:val="1"/>
      <w:marLeft w:val="0"/>
      <w:marRight w:val="0"/>
      <w:marTop w:val="0"/>
      <w:marBottom w:val="0"/>
      <w:divBdr>
        <w:top w:val="none" w:sz="0" w:space="0" w:color="auto"/>
        <w:left w:val="none" w:sz="0" w:space="0" w:color="auto"/>
        <w:bottom w:val="none" w:sz="0" w:space="0" w:color="auto"/>
        <w:right w:val="none" w:sz="0" w:space="0" w:color="auto"/>
      </w:divBdr>
    </w:div>
    <w:div w:id="1271083911">
      <w:bodyDiv w:val="1"/>
      <w:marLeft w:val="0"/>
      <w:marRight w:val="0"/>
      <w:marTop w:val="0"/>
      <w:marBottom w:val="0"/>
      <w:divBdr>
        <w:top w:val="none" w:sz="0" w:space="0" w:color="auto"/>
        <w:left w:val="none" w:sz="0" w:space="0" w:color="auto"/>
        <w:bottom w:val="none" w:sz="0" w:space="0" w:color="auto"/>
        <w:right w:val="none" w:sz="0" w:space="0" w:color="auto"/>
      </w:divBdr>
    </w:div>
    <w:div w:id="1293053285">
      <w:bodyDiv w:val="1"/>
      <w:marLeft w:val="0"/>
      <w:marRight w:val="0"/>
      <w:marTop w:val="0"/>
      <w:marBottom w:val="0"/>
      <w:divBdr>
        <w:top w:val="none" w:sz="0" w:space="0" w:color="auto"/>
        <w:left w:val="none" w:sz="0" w:space="0" w:color="auto"/>
        <w:bottom w:val="none" w:sz="0" w:space="0" w:color="auto"/>
        <w:right w:val="none" w:sz="0" w:space="0" w:color="auto"/>
      </w:divBdr>
    </w:div>
    <w:div w:id="1297176859">
      <w:bodyDiv w:val="1"/>
      <w:marLeft w:val="0"/>
      <w:marRight w:val="0"/>
      <w:marTop w:val="0"/>
      <w:marBottom w:val="0"/>
      <w:divBdr>
        <w:top w:val="none" w:sz="0" w:space="0" w:color="auto"/>
        <w:left w:val="none" w:sz="0" w:space="0" w:color="auto"/>
        <w:bottom w:val="none" w:sz="0" w:space="0" w:color="auto"/>
        <w:right w:val="none" w:sz="0" w:space="0" w:color="auto"/>
      </w:divBdr>
    </w:div>
    <w:div w:id="1298880459">
      <w:bodyDiv w:val="1"/>
      <w:marLeft w:val="0"/>
      <w:marRight w:val="0"/>
      <w:marTop w:val="0"/>
      <w:marBottom w:val="0"/>
      <w:divBdr>
        <w:top w:val="none" w:sz="0" w:space="0" w:color="auto"/>
        <w:left w:val="none" w:sz="0" w:space="0" w:color="auto"/>
        <w:bottom w:val="none" w:sz="0" w:space="0" w:color="auto"/>
        <w:right w:val="none" w:sz="0" w:space="0" w:color="auto"/>
      </w:divBdr>
    </w:div>
    <w:div w:id="1317883150">
      <w:bodyDiv w:val="1"/>
      <w:marLeft w:val="0"/>
      <w:marRight w:val="0"/>
      <w:marTop w:val="0"/>
      <w:marBottom w:val="0"/>
      <w:divBdr>
        <w:top w:val="none" w:sz="0" w:space="0" w:color="auto"/>
        <w:left w:val="none" w:sz="0" w:space="0" w:color="auto"/>
        <w:bottom w:val="none" w:sz="0" w:space="0" w:color="auto"/>
        <w:right w:val="none" w:sz="0" w:space="0" w:color="auto"/>
      </w:divBdr>
    </w:div>
    <w:div w:id="1331904143">
      <w:bodyDiv w:val="1"/>
      <w:marLeft w:val="0"/>
      <w:marRight w:val="0"/>
      <w:marTop w:val="0"/>
      <w:marBottom w:val="0"/>
      <w:divBdr>
        <w:top w:val="none" w:sz="0" w:space="0" w:color="auto"/>
        <w:left w:val="none" w:sz="0" w:space="0" w:color="auto"/>
        <w:bottom w:val="none" w:sz="0" w:space="0" w:color="auto"/>
        <w:right w:val="none" w:sz="0" w:space="0" w:color="auto"/>
      </w:divBdr>
    </w:div>
    <w:div w:id="1334726580">
      <w:bodyDiv w:val="1"/>
      <w:marLeft w:val="0"/>
      <w:marRight w:val="0"/>
      <w:marTop w:val="0"/>
      <w:marBottom w:val="0"/>
      <w:divBdr>
        <w:top w:val="none" w:sz="0" w:space="0" w:color="auto"/>
        <w:left w:val="none" w:sz="0" w:space="0" w:color="auto"/>
        <w:bottom w:val="none" w:sz="0" w:space="0" w:color="auto"/>
        <w:right w:val="none" w:sz="0" w:space="0" w:color="auto"/>
      </w:divBdr>
    </w:div>
    <w:div w:id="1336496058">
      <w:bodyDiv w:val="1"/>
      <w:marLeft w:val="0"/>
      <w:marRight w:val="0"/>
      <w:marTop w:val="0"/>
      <w:marBottom w:val="0"/>
      <w:divBdr>
        <w:top w:val="none" w:sz="0" w:space="0" w:color="auto"/>
        <w:left w:val="none" w:sz="0" w:space="0" w:color="auto"/>
        <w:bottom w:val="none" w:sz="0" w:space="0" w:color="auto"/>
        <w:right w:val="none" w:sz="0" w:space="0" w:color="auto"/>
      </w:divBdr>
    </w:div>
    <w:div w:id="1353534714">
      <w:bodyDiv w:val="1"/>
      <w:marLeft w:val="0"/>
      <w:marRight w:val="0"/>
      <w:marTop w:val="0"/>
      <w:marBottom w:val="0"/>
      <w:divBdr>
        <w:top w:val="none" w:sz="0" w:space="0" w:color="auto"/>
        <w:left w:val="none" w:sz="0" w:space="0" w:color="auto"/>
        <w:bottom w:val="none" w:sz="0" w:space="0" w:color="auto"/>
        <w:right w:val="none" w:sz="0" w:space="0" w:color="auto"/>
      </w:divBdr>
    </w:div>
    <w:div w:id="1356539752">
      <w:bodyDiv w:val="1"/>
      <w:marLeft w:val="0"/>
      <w:marRight w:val="0"/>
      <w:marTop w:val="0"/>
      <w:marBottom w:val="0"/>
      <w:divBdr>
        <w:top w:val="none" w:sz="0" w:space="0" w:color="auto"/>
        <w:left w:val="none" w:sz="0" w:space="0" w:color="auto"/>
        <w:bottom w:val="none" w:sz="0" w:space="0" w:color="auto"/>
        <w:right w:val="none" w:sz="0" w:space="0" w:color="auto"/>
      </w:divBdr>
    </w:div>
    <w:div w:id="1366714600">
      <w:bodyDiv w:val="1"/>
      <w:marLeft w:val="0"/>
      <w:marRight w:val="0"/>
      <w:marTop w:val="0"/>
      <w:marBottom w:val="0"/>
      <w:divBdr>
        <w:top w:val="none" w:sz="0" w:space="0" w:color="auto"/>
        <w:left w:val="none" w:sz="0" w:space="0" w:color="auto"/>
        <w:bottom w:val="none" w:sz="0" w:space="0" w:color="auto"/>
        <w:right w:val="none" w:sz="0" w:space="0" w:color="auto"/>
      </w:divBdr>
    </w:div>
    <w:div w:id="1368067752">
      <w:bodyDiv w:val="1"/>
      <w:marLeft w:val="0"/>
      <w:marRight w:val="0"/>
      <w:marTop w:val="0"/>
      <w:marBottom w:val="0"/>
      <w:divBdr>
        <w:top w:val="none" w:sz="0" w:space="0" w:color="auto"/>
        <w:left w:val="none" w:sz="0" w:space="0" w:color="auto"/>
        <w:bottom w:val="none" w:sz="0" w:space="0" w:color="auto"/>
        <w:right w:val="none" w:sz="0" w:space="0" w:color="auto"/>
      </w:divBdr>
    </w:div>
    <w:div w:id="1368793554">
      <w:bodyDiv w:val="1"/>
      <w:marLeft w:val="0"/>
      <w:marRight w:val="0"/>
      <w:marTop w:val="0"/>
      <w:marBottom w:val="0"/>
      <w:divBdr>
        <w:top w:val="none" w:sz="0" w:space="0" w:color="auto"/>
        <w:left w:val="none" w:sz="0" w:space="0" w:color="auto"/>
        <w:bottom w:val="none" w:sz="0" w:space="0" w:color="auto"/>
        <w:right w:val="none" w:sz="0" w:space="0" w:color="auto"/>
      </w:divBdr>
    </w:div>
    <w:div w:id="1369139299">
      <w:bodyDiv w:val="1"/>
      <w:marLeft w:val="0"/>
      <w:marRight w:val="0"/>
      <w:marTop w:val="0"/>
      <w:marBottom w:val="0"/>
      <w:divBdr>
        <w:top w:val="none" w:sz="0" w:space="0" w:color="auto"/>
        <w:left w:val="none" w:sz="0" w:space="0" w:color="auto"/>
        <w:bottom w:val="none" w:sz="0" w:space="0" w:color="auto"/>
        <w:right w:val="none" w:sz="0" w:space="0" w:color="auto"/>
      </w:divBdr>
    </w:div>
    <w:div w:id="1369332827">
      <w:bodyDiv w:val="1"/>
      <w:marLeft w:val="0"/>
      <w:marRight w:val="0"/>
      <w:marTop w:val="0"/>
      <w:marBottom w:val="0"/>
      <w:divBdr>
        <w:top w:val="none" w:sz="0" w:space="0" w:color="auto"/>
        <w:left w:val="none" w:sz="0" w:space="0" w:color="auto"/>
        <w:bottom w:val="none" w:sz="0" w:space="0" w:color="auto"/>
        <w:right w:val="none" w:sz="0" w:space="0" w:color="auto"/>
      </w:divBdr>
    </w:div>
    <w:div w:id="1375929975">
      <w:bodyDiv w:val="1"/>
      <w:marLeft w:val="0"/>
      <w:marRight w:val="0"/>
      <w:marTop w:val="0"/>
      <w:marBottom w:val="0"/>
      <w:divBdr>
        <w:top w:val="none" w:sz="0" w:space="0" w:color="auto"/>
        <w:left w:val="none" w:sz="0" w:space="0" w:color="auto"/>
        <w:bottom w:val="none" w:sz="0" w:space="0" w:color="auto"/>
        <w:right w:val="none" w:sz="0" w:space="0" w:color="auto"/>
      </w:divBdr>
    </w:div>
    <w:div w:id="1409572766">
      <w:bodyDiv w:val="1"/>
      <w:marLeft w:val="0"/>
      <w:marRight w:val="0"/>
      <w:marTop w:val="0"/>
      <w:marBottom w:val="0"/>
      <w:divBdr>
        <w:top w:val="none" w:sz="0" w:space="0" w:color="auto"/>
        <w:left w:val="none" w:sz="0" w:space="0" w:color="auto"/>
        <w:bottom w:val="none" w:sz="0" w:space="0" w:color="auto"/>
        <w:right w:val="none" w:sz="0" w:space="0" w:color="auto"/>
      </w:divBdr>
    </w:div>
    <w:div w:id="1420328350">
      <w:bodyDiv w:val="1"/>
      <w:marLeft w:val="0"/>
      <w:marRight w:val="0"/>
      <w:marTop w:val="0"/>
      <w:marBottom w:val="0"/>
      <w:divBdr>
        <w:top w:val="none" w:sz="0" w:space="0" w:color="auto"/>
        <w:left w:val="none" w:sz="0" w:space="0" w:color="auto"/>
        <w:bottom w:val="none" w:sz="0" w:space="0" w:color="auto"/>
        <w:right w:val="none" w:sz="0" w:space="0" w:color="auto"/>
      </w:divBdr>
    </w:div>
    <w:div w:id="1425607616">
      <w:bodyDiv w:val="1"/>
      <w:marLeft w:val="0"/>
      <w:marRight w:val="0"/>
      <w:marTop w:val="0"/>
      <w:marBottom w:val="0"/>
      <w:divBdr>
        <w:top w:val="none" w:sz="0" w:space="0" w:color="auto"/>
        <w:left w:val="none" w:sz="0" w:space="0" w:color="auto"/>
        <w:bottom w:val="none" w:sz="0" w:space="0" w:color="auto"/>
        <w:right w:val="none" w:sz="0" w:space="0" w:color="auto"/>
      </w:divBdr>
    </w:div>
    <w:div w:id="1444764237">
      <w:bodyDiv w:val="1"/>
      <w:marLeft w:val="0"/>
      <w:marRight w:val="0"/>
      <w:marTop w:val="0"/>
      <w:marBottom w:val="0"/>
      <w:divBdr>
        <w:top w:val="none" w:sz="0" w:space="0" w:color="auto"/>
        <w:left w:val="none" w:sz="0" w:space="0" w:color="auto"/>
        <w:bottom w:val="none" w:sz="0" w:space="0" w:color="auto"/>
        <w:right w:val="none" w:sz="0" w:space="0" w:color="auto"/>
      </w:divBdr>
    </w:div>
    <w:div w:id="1459646152">
      <w:bodyDiv w:val="1"/>
      <w:marLeft w:val="0"/>
      <w:marRight w:val="0"/>
      <w:marTop w:val="0"/>
      <w:marBottom w:val="0"/>
      <w:divBdr>
        <w:top w:val="none" w:sz="0" w:space="0" w:color="auto"/>
        <w:left w:val="none" w:sz="0" w:space="0" w:color="auto"/>
        <w:bottom w:val="none" w:sz="0" w:space="0" w:color="auto"/>
        <w:right w:val="none" w:sz="0" w:space="0" w:color="auto"/>
      </w:divBdr>
    </w:div>
    <w:div w:id="1476870374">
      <w:bodyDiv w:val="1"/>
      <w:marLeft w:val="0"/>
      <w:marRight w:val="0"/>
      <w:marTop w:val="0"/>
      <w:marBottom w:val="0"/>
      <w:divBdr>
        <w:top w:val="none" w:sz="0" w:space="0" w:color="auto"/>
        <w:left w:val="none" w:sz="0" w:space="0" w:color="auto"/>
        <w:bottom w:val="none" w:sz="0" w:space="0" w:color="auto"/>
        <w:right w:val="none" w:sz="0" w:space="0" w:color="auto"/>
      </w:divBdr>
    </w:div>
    <w:div w:id="1477837266">
      <w:bodyDiv w:val="1"/>
      <w:marLeft w:val="0"/>
      <w:marRight w:val="0"/>
      <w:marTop w:val="0"/>
      <w:marBottom w:val="0"/>
      <w:divBdr>
        <w:top w:val="none" w:sz="0" w:space="0" w:color="auto"/>
        <w:left w:val="none" w:sz="0" w:space="0" w:color="auto"/>
        <w:bottom w:val="none" w:sz="0" w:space="0" w:color="auto"/>
        <w:right w:val="none" w:sz="0" w:space="0" w:color="auto"/>
      </w:divBdr>
    </w:div>
    <w:div w:id="1486317153">
      <w:bodyDiv w:val="1"/>
      <w:marLeft w:val="0"/>
      <w:marRight w:val="0"/>
      <w:marTop w:val="0"/>
      <w:marBottom w:val="0"/>
      <w:divBdr>
        <w:top w:val="none" w:sz="0" w:space="0" w:color="auto"/>
        <w:left w:val="none" w:sz="0" w:space="0" w:color="auto"/>
        <w:bottom w:val="none" w:sz="0" w:space="0" w:color="auto"/>
        <w:right w:val="none" w:sz="0" w:space="0" w:color="auto"/>
      </w:divBdr>
    </w:div>
    <w:div w:id="1498571520">
      <w:bodyDiv w:val="1"/>
      <w:marLeft w:val="0"/>
      <w:marRight w:val="0"/>
      <w:marTop w:val="0"/>
      <w:marBottom w:val="0"/>
      <w:divBdr>
        <w:top w:val="none" w:sz="0" w:space="0" w:color="auto"/>
        <w:left w:val="none" w:sz="0" w:space="0" w:color="auto"/>
        <w:bottom w:val="none" w:sz="0" w:space="0" w:color="auto"/>
        <w:right w:val="none" w:sz="0" w:space="0" w:color="auto"/>
      </w:divBdr>
    </w:div>
    <w:div w:id="1505313834">
      <w:bodyDiv w:val="1"/>
      <w:marLeft w:val="0"/>
      <w:marRight w:val="0"/>
      <w:marTop w:val="0"/>
      <w:marBottom w:val="0"/>
      <w:divBdr>
        <w:top w:val="none" w:sz="0" w:space="0" w:color="auto"/>
        <w:left w:val="none" w:sz="0" w:space="0" w:color="auto"/>
        <w:bottom w:val="none" w:sz="0" w:space="0" w:color="auto"/>
        <w:right w:val="none" w:sz="0" w:space="0" w:color="auto"/>
      </w:divBdr>
    </w:div>
    <w:div w:id="1519388017">
      <w:bodyDiv w:val="1"/>
      <w:marLeft w:val="0"/>
      <w:marRight w:val="0"/>
      <w:marTop w:val="0"/>
      <w:marBottom w:val="0"/>
      <w:divBdr>
        <w:top w:val="none" w:sz="0" w:space="0" w:color="auto"/>
        <w:left w:val="none" w:sz="0" w:space="0" w:color="auto"/>
        <w:bottom w:val="none" w:sz="0" w:space="0" w:color="auto"/>
        <w:right w:val="none" w:sz="0" w:space="0" w:color="auto"/>
      </w:divBdr>
    </w:div>
    <w:div w:id="1571841355">
      <w:bodyDiv w:val="1"/>
      <w:marLeft w:val="0"/>
      <w:marRight w:val="0"/>
      <w:marTop w:val="0"/>
      <w:marBottom w:val="0"/>
      <w:divBdr>
        <w:top w:val="none" w:sz="0" w:space="0" w:color="auto"/>
        <w:left w:val="none" w:sz="0" w:space="0" w:color="auto"/>
        <w:bottom w:val="none" w:sz="0" w:space="0" w:color="auto"/>
        <w:right w:val="none" w:sz="0" w:space="0" w:color="auto"/>
      </w:divBdr>
    </w:div>
    <w:div w:id="1579250443">
      <w:bodyDiv w:val="1"/>
      <w:marLeft w:val="0"/>
      <w:marRight w:val="0"/>
      <w:marTop w:val="0"/>
      <w:marBottom w:val="0"/>
      <w:divBdr>
        <w:top w:val="none" w:sz="0" w:space="0" w:color="auto"/>
        <w:left w:val="none" w:sz="0" w:space="0" w:color="auto"/>
        <w:bottom w:val="none" w:sz="0" w:space="0" w:color="auto"/>
        <w:right w:val="none" w:sz="0" w:space="0" w:color="auto"/>
      </w:divBdr>
    </w:div>
    <w:div w:id="1583486157">
      <w:bodyDiv w:val="1"/>
      <w:marLeft w:val="0"/>
      <w:marRight w:val="0"/>
      <w:marTop w:val="0"/>
      <w:marBottom w:val="0"/>
      <w:divBdr>
        <w:top w:val="none" w:sz="0" w:space="0" w:color="auto"/>
        <w:left w:val="none" w:sz="0" w:space="0" w:color="auto"/>
        <w:bottom w:val="none" w:sz="0" w:space="0" w:color="auto"/>
        <w:right w:val="none" w:sz="0" w:space="0" w:color="auto"/>
      </w:divBdr>
    </w:div>
    <w:div w:id="1583952305">
      <w:bodyDiv w:val="1"/>
      <w:marLeft w:val="0"/>
      <w:marRight w:val="0"/>
      <w:marTop w:val="0"/>
      <w:marBottom w:val="0"/>
      <w:divBdr>
        <w:top w:val="none" w:sz="0" w:space="0" w:color="auto"/>
        <w:left w:val="none" w:sz="0" w:space="0" w:color="auto"/>
        <w:bottom w:val="none" w:sz="0" w:space="0" w:color="auto"/>
        <w:right w:val="none" w:sz="0" w:space="0" w:color="auto"/>
      </w:divBdr>
    </w:div>
    <w:div w:id="1589146492">
      <w:bodyDiv w:val="1"/>
      <w:marLeft w:val="0"/>
      <w:marRight w:val="0"/>
      <w:marTop w:val="0"/>
      <w:marBottom w:val="0"/>
      <w:divBdr>
        <w:top w:val="none" w:sz="0" w:space="0" w:color="auto"/>
        <w:left w:val="none" w:sz="0" w:space="0" w:color="auto"/>
        <w:bottom w:val="none" w:sz="0" w:space="0" w:color="auto"/>
        <w:right w:val="none" w:sz="0" w:space="0" w:color="auto"/>
      </w:divBdr>
    </w:div>
    <w:div w:id="1615596281">
      <w:bodyDiv w:val="1"/>
      <w:marLeft w:val="0"/>
      <w:marRight w:val="0"/>
      <w:marTop w:val="0"/>
      <w:marBottom w:val="0"/>
      <w:divBdr>
        <w:top w:val="none" w:sz="0" w:space="0" w:color="auto"/>
        <w:left w:val="none" w:sz="0" w:space="0" w:color="auto"/>
        <w:bottom w:val="none" w:sz="0" w:space="0" w:color="auto"/>
        <w:right w:val="none" w:sz="0" w:space="0" w:color="auto"/>
      </w:divBdr>
    </w:div>
    <w:div w:id="1618826245">
      <w:bodyDiv w:val="1"/>
      <w:marLeft w:val="0"/>
      <w:marRight w:val="0"/>
      <w:marTop w:val="0"/>
      <w:marBottom w:val="0"/>
      <w:divBdr>
        <w:top w:val="none" w:sz="0" w:space="0" w:color="auto"/>
        <w:left w:val="none" w:sz="0" w:space="0" w:color="auto"/>
        <w:bottom w:val="none" w:sz="0" w:space="0" w:color="auto"/>
        <w:right w:val="none" w:sz="0" w:space="0" w:color="auto"/>
      </w:divBdr>
    </w:div>
    <w:div w:id="1642153278">
      <w:bodyDiv w:val="1"/>
      <w:marLeft w:val="0"/>
      <w:marRight w:val="0"/>
      <w:marTop w:val="0"/>
      <w:marBottom w:val="0"/>
      <w:divBdr>
        <w:top w:val="none" w:sz="0" w:space="0" w:color="auto"/>
        <w:left w:val="none" w:sz="0" w:space="0" w:color="auto"/>
        <w:bottom w:val="none" w:sz="0" w:space="0" w:color="auto"/>
        <w:right w:val="none" w:sz="0" w:space="0" w:color="auto"/>
      </w:divBdr>
    </w:div>
    <w:div w:id="1673993819">
      <w:bodyDiv w:val="1"/>
      <w:marLeft w:val="0"/>
      <w:marRight w:val="0"/>
      <w:marTop w:val="0"/>
      <w:marBottom w:val="0"/>
      <w:divBdr>
        <w:top w:val="none" w:sz="0" w:space="0" w:color="auto"/>
        <w:left w:val="none" w:sz="0" w:space="0" w:color="auto"/>
        <w:bottom w:val="none" w:sz="0" w:space="0" w:color="auto"/>
        <w:right w:val="none" w:sz="0" w:space="0" w:color="auto"/>
      </w:divBdr>
    </w:div>
    <w:div w:id="1679186348">
      <w:bodyDiv w:val="1"/>
      <w:marLeft w:val="0"/>
      <w:marRight w:val="0"/>
      <w:marTop w:val="0"/>
      <w:marBottom w:val="0"/>
      <w:divBdr>
        <w:top w:val="none" w:sz="0" w:space="0" w:color="auto"/>
        <w:left w:val="none" w:sz="0" w:space="0" w:color="auto"/>
        <w:bottom w:val="none" w:sz="0" w:space="0" w:color="auto"/>
        <w:right w:val="none" w:sz="0" w:space="0" w:color="auto"/>
      </w:divBdr>
    </w:div>
    <w:div w:id="1693872023">
      <w:bodyDiv w:val="1"/>
      <w:marLeft w:val="0"/>
      <w:marRight w:val="0"/>
      <w:marTop w:val="0"/>
      <w:marBottom w:val="0"/>
      <w:divBdr>
        <w:top w:val="none" w:sz="0" w:space="0" w:color="auto"/>
        <w:left w:val="none" w:sz="0" w:space="0" w:color="auto"/>
        <w:bottom w:val="none" w:sz="0" w:space="0" w:color="auto"/>
        <w:right w:val="none" w:sz="0" w:space="0" w:color="auto"/>
      </w:divBdr>
    </w:div>
    <w:div w:id="1696032387">
      <w:bodyDiv w:val="1"/>
      <w:marLeft w:val="0"/>
      <w:marRight w:val="0"/>
      <w:marTop w:val="0"/>
      <w:marBottom w:val="0"/>
      <w:divBdr>
        <w:top w:val="none" w:sz="0" w:space="0" w:color="auto"/>
        <w:left w:val="none" w:sz="0" w:space="0" w:color="auto"/>
        <w:bottom w:val="none" w:sz="0" w:space="0" w:color="auto"/>
        <w:right w:val="none" w:sz="0" w:space="0" w:color="auto"/>
      </w:divBdr>
    </w:div>
    <w:div w:id="1707215139">
      <w:bodyDiv w:val="1"/>
      <w:marLeft w:val="0"/>
      <w:marRight w:val="0"/>
      <w:marTop w:val="0"/>
      <w:marBottom w:val="0"/>
      <w:divBdr>
        <w:top w:val="none" w:sz="0" w:space="0" w:color="auto"/>
        <w:left w:val="none" w:sz="0" w:space="0" w:color="auto"/>
        <w:bottom w:val="none" w:sz="0" w:space="0" w:color="auto"/>
        <w:right w:val="none" w:sz="0" w:space="0" w:color="auto"/>
      </w:divBdr>
    </w:div>
    <w:div w:id="1709186053">
      <w:bodyDiv w:val="1"/>
      <w:marLeft w:val="0"/>
      <w:marRight w:val="0"/>
      <w:marTop w:val="0"/>
      <w:marBottom w:val="0"/>
      <w:divBdr>
        <w:top w:val="none" w:sz="0" w:space="0" w:color="auto"/>
        <w:left w:val="none" w:sz="0" w:space="0" w:color="auto"/>
        <w:bottom w:val="none" w:sz="0" w:space="0" w:color="auto"/>
        <w:right w:val="none" w:sz="0" w:space="0" w:color="auto"/>
      </w:divBdr>
    </w:div>
    <w:div w:id="1711221957">
      <w:bodyDiv w:val="1"/>
      <w:marLeft w:val="0"/>
      <w:marRight w:val="0"/>
      <w:marTop w:val="0"/>
      <w:marBottom w:val="0"/>
      <w:divBdr>
        <w:top w:val="none" w:sz="0" w:space="0" w:color="auto"/>
        <w:left w:val="none" w:sz="0" w:space="0" w:color="auto"/>
        <w:bottom w:val="none" w:sz="0" w:space="0" w:color="auto"/>
        <w:right w:val="none" w:sz="0" w:space="0" w:color="auto"/>
      </w:divBdr>
    </w:div>
    <w:div w:id="1711760795">
      <w:bodyDiv w:val="1"/>
      <w:marLeft w:val="0"/>
      <w:marRight w:val="0"/>
      <w:marTop w:val="0"/>
      <w:marBottom w:val="0"/>
      <w:divBdr>
        <w:top w:val="none" w:sz="0" w:space="0" w:color="auto"/>
        <w:left w:val="none" w:sz="0" w:space="0" w:color="auto"/>
        <w:bottom w:val="none" w:sz="0" w:space="0" w:color="auto"/>
        <w:right w:val="none" w:sz="0" w:space="0" w:color="auto"/>
      </w:divBdr>
    </w:div>
    <w:div w:id="1741974657">
      <w:bodyDiv w:val="1"/>
      <w:marLeft w:val="0"/>
      <w:marRight w:val="0"/>
      <w:marTop w:val="0"/>
      <w:marBottom w:val="0"/>
      <w:divBdr>
        <w:top w:val="none" w:sz="0" w:space="0" w:color="auto"/>
        <w:left w:val="none" w:sz="0" w:space="0" w:color="auto"/>
        <w:bottom w:val="none" w:sz="0" w:space="0" w:color="auto"/>
        <w:right w:val="none" w:sz="0" w:space="0" w:color="auto"/>
      </w:divBdr>
    </w:div>
    <w:div w:id="1747989926">
      <w:bodyDiv w:val="1"/>
      <w:marLeft w:val="0"/>
      <w:marRight w:val="0"/>
      <w:marTop w:val="0"/>
      <w:marBottom w:val="0"/>
      <w:divBdr>
        <w:top w:val="none" w:sz="0" w:space="0" w:color="auto"/>
        <w:left w:val="none" w:sz="0" w:space="0" w:color="auto"/>
        <w:bottom w:val="none" w:sz="0" w:space="0" w:color="auto"/>
        <w:right w:val="none" w:sz="0" w:space="0" w:color="auto"/>
      </w:divBdr>
    </w:div>
    <w:div w:id="1755323487">
      <w:bodyDiv w:val="1"/>
      <w:marLeft w:val="0"/>
      <w:marRight w:val="0"/>
      <w:marTop w:val="0"/>
      <w:marBottom w:val="0"/>
      <w:divBdr>
        <w:top w:val="none" w:sz="0" w:space="0" w:color="auto"/>
        <w:left w:val="none" w:sz="0" w:space="0" w:color="auto"/>
        <w:bottom w:val="none" w:sz="0" w:space="0" w:color="auto"/>
        <w:right w:val="none" w:sz="0" w:space="0" w:color="auto"/>
      </w:divBdr>
    </w:div>
    <w:div w:id="1773088785">
      <w:bodyDiv w:val="1"/>
      <w:marLeft w:val="0"/>
      <w:marRight w:val="0"/>
      <w:marTop w:val="0"/>
      <w:marBottom w:val="0"/>
      <w:divBdr>
        <w:top w:val="none" w:sz="0" w:space="0" w:color="auto"/>
        <w:left w:val="none" w:sz="0" w:space="0" w:color="auto"/>
        <w:bottom w:val="none" w:sz="0" w:space="0" w:color="auto"/>
        <w:right w:val="none" w:sz="0" w:space="0" w:color="auto"/>
      </w:divBdr>
    </w:div>
    <w:div w:id="1784767800">
      <w:bodyDiv w:val="1"/>
      <w:marLeft w:val="0"/>
      <w:marRight w:val="0"/>
      <w:marTop w:val="0"/>
      <w:marBottom w:val="0"/>
      <w:divBdr>
        <w:top w:val="none" w:sz="0" w:space="0" w:color="auto"/>
        <w:left w:val="none" w:sz="0" w:space="0" w:color="auto"/>
        <w:bottom w:val="none" w:sz="0" w:space="0" w:color="auto"/>
        <w:right w:val="none" w:sz="0" w:space="0" w:color="auto"/>
      </w:divBdr>
    </w:div>
    <w:div w:id="1794131950">
      <w:bodyDiv w:val="1"/>
      <w:marLeft w:val="0"/>
      <w:marRight w:val="0"/>
      <w:marTop w:val="0"/>
      <w:marBottom w:val="0"/>
      <w:divBdr>
        <w:top w:val="none" w:sz="0" w:space="0" w:color="auto"/>
        <w:left w:val="none" w:sz="0" w:space="0" w:color="auto"/>
        <w:bottom w:val="none" w:sz="0" w:space="0" w:color="auto"/>
        <w:right w:val="none" w:sz="0" w:space="0" w:color="auto"/>
      </w:divBdr>
    </w:div>
    <w:div w:id="1822693715">
      <w:bodyDiv w:val="1"/>
      <w:marLeft w:val="0"/>
      <w:marRight w:val="0"/>
      <w:marTop w:val="0"/>
      <w:marBottom w:val="0"/>
      <w:divBdr>
        <w:top w:val="none" w:sz="0" w:space="0" w:color="auto"/>
        <w:left w:val="none" w:sz="0" w:space="0" w:color="auto"/>
        <w:bottom w:val="none" w:sz="0" w:space="0" w:color="auto"/>
        <w:right w:val="none" w:sz="0" w:space="0" w:color="auto"/>
      </w:divBdr>
    </w:div>
    <w:div w:id="1830635006">
      <w:bodyDiv w:val="1"/>
      <w:marLeft w:val="0"/>
      <w:marRight w:val="0"/>
      <w:marTop w:val="0"/>
      <w:marBottom w:val="0"/>
      <w:divBdr>
        <w:top w:val="none" w:sz="0" w:space="0" w:color="auto"/>
        <w:left w:val="none" w:sz="0" w:space="0" w:color="auto"/>
        <w:bottom w:val="none" w:sz="0" w:space="0" w:color="auto"/>
        <w:right w:val="none" w:sz="0" w:space="0" w:color="auto"/>
      </w:divBdr>
    </w:div>
    <w:div w:id="1845168608">
      <w:bodyDiv w:val="1"/>
      <w:marLeft w:val="0"/>
      <w:marRight w:val="0"/>
      <w:marTop w:val="0"/>
      <w:marBottom w:val="0"/>
      <w:divBdr>
        <w:top w:val="none" w:sz="0" w:space="0" w:color="auto"/>
        <w:left w:val="none" w:sz="0" w:space="0" w:color="auto"/>
        <w:bottom w:val="none" w:sz="0" w:space="0" w:color="auto"/>
        <w:right w:val="none" w:sz="0" w:space="0" w:color="auto"/>
      </w:divBdr>
    </w:div>
    <w:div w:id="1855344567">
      <w:bodyDiv w:val="1"/>
      <w:marLeft w:val="0"/>
      <w:marRight w:val="0"/>
      <w:marTop w:val="0"/>
      <w:marBottom w:val="0"/>
      <w:divBdr>
        <w:top w:val="none" w:sz="0" w:space="0" w:color="auto"/>
        <w:left w:val="none" w:sz="0" w:space="0" w:color="auto"/>
        <w:bottom w:val="none" w:sz="0" w:space="0" w:color="auto"/>
        <w:right w:val="none" w:sz="0" w:space="0" w:color="auto"/>
      </w:divBdr>
    </w:div>
    <w:div w:id="1855803552">
      <w:bodyDiv w:val="1"/>
      <w:marLeft w:val="0"/>
      <w:marRight w:val="0"/>
      <w:marTop w:val="0"/>
      <w:marBottom w:val="0"/>
      <w:divBdr>
        <w:top w:val="none" w:sz="0" w:space="0" w:color="auto"/>
        <w:left w:val="none" w:sz="0" w:space="0" w:color="auto"/>
        <w:bottom w:val="none" w:sz="0" w:space="0" w:color="auto"/>
        <w:right w:val="none" w:sz="0" w:space="0" w:color="auto"/>
      </w:divBdr>
    </w:div>
    <w:div w:id="1874612855">
      <w:bodyDiv w:val="1"/>
      <w:marLeft w:val="0"/>
      <w:marRight w:val="0"/>
      <w:marTop w:val="0"/>
      <w:marBottom w:val="0"/>
      <w:divBdr>
        <w:top w:val="none" w:sz="0" w:space="0" w:color="auto"/>
        <w:left w:val="none" w:sz="0" w:space="0" w:color="auto"/>
        <w:bottom w:val="none" w:sz="0" w:space="0" w:color="auto"/>
        <w:right w:val="none" w:sz="0" w:space="0" w:color="auto"/>
      </w:divBdr>
    </w:div>
    <w:div w:id="1876430359">
      <w:bodyDiv w:val="1"/>
      <w:marLeft w:val="0"/>
      <w:marRight w:val="0"/>
      <w:marTop w:val="0"/>
      <w:marBottom w:val="0"/>
      <w:divBdr>
        <w:top w:val="none" w:sz="0" w:space="0" w:color="auto"/>
        <w:left w:val="none" w:sz="0" w:space="0" w:color="auto"/>
        <w:bottom w:val="none" w:sz="0" w:space="0" w:color="auto"/>
        <w:right w:val="none" w:sz="0" w:space="0" w:color="auto"/>
      </w:divBdr>
    </w:div>
    <w:div w:id="1881167664">
      <w:bodyDiv w:val="1"/>
      <w:marLeft w:val="0"/>
      <w:marRight w:val="0"/>
      <w:marTop w:val="0"/>
      <w:marBottom w:val="0"/>
      <w:divBdr>
        <w:top w:val="none" w:sz="0" w:space="0" w:color="auto"/>
        <w:left w:val="none" w:sz="0" w:space="0" w:color="auto"/>
        <w:bottom w:val="none" w:sz="0" w:space="0" w:color="auto"/>
        <w:right w:val="none" w:sz="0" w:space="0" w:color="auto"/>
      </w:divBdr>
    </w:div>
    <w:div w:id="1891574752">
      <w:bodyDiv w:val="1"/>
      <w:marLeft w:val="0"/>
      <w:marRight w:val="0"/>
      <w:marTop w:val="0"/>
      <w:marBottom w:val="0"/>
      <w:divBdr>
        <w:top w:val="none" w:sz="0" w:space="0" w:color="auto"/>
        <w:left w:val="none" w:sz="0" w:space="0" w:color="auto"/>
        <w:bottom w:val="none" w:sz="0" w:space="0" w:color="auto"/>
        <w:right w:val="none" w:sz="0" w:space="0" w:color="auto"/>
      </w:divBdr>
    </w:div>
    <w:div w:id="1893881194">
      <w:bodyDiv w:val="1"/>
      <w:marLeft w:val="0"/>
      <w:marRight w:val="0"/>
      <w:marTop w:val="0"/>
      <w:marBottom w:val="0"/>
      <w:divBdr>
        <w:top w:val="none" w:sz="0" w:space="0" w:color="auto"/>
        <w:left w:val="none" w:sz="0" w:space="0" w:color="auto"/>
        <w:bottom w:val="none" w:sz="0" w:space="0" w:color="auto"/>
        <w:right w:val="none" w:sz="0" w:space="0" w:color="auto"/>
      </w:divBdr>
    </w:div>
    <w:div w:id="1918054088">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3373240">
      <w:bodyDiv w:val="1"/>
      <w:marLeft w:val="0"/>
      <w:marRight w:val="0"/>
      <w:marTop w:val="0"/>
      <w:marBottom w:val="0"/>
      <w:divBdr>
        <w:top w:val="none" w:sz="0" w:space="0" w:color="auto"/>
        <w:left w:val="none" w:sz="0" w:space="0" w:color="auto"/>
        <w:bottom w:val="none" w:sz="0" w:space="0" w:color="auto"/>
        <w:right w:val="none" w:sz="0" w:space="0" w:color="auto"/>
      </w:divBdr>
    </w:div>
    <w:div w:id="1924601336">
      <w:bodyDiv w:val="1"/>
      <w:marLeft w:val="0"/>
      <w:marRight w:val="0"/>
      <w:marTop w:val="0"/>
      <w:marBottom w:val="0"/>
      <w:divBdr>
        <w:top w:val="none" w:sz="0" w:space="0" w:color="auto"/>
        <w:left w:val="none" w:sz="0" w:space="0" w:color="auto"/>
        <w:bottom w:val="none" w:sz="0" w:space="0" w:color="auto"/>
        <w:right w:val="none" w:sz="0" w:space="0" w:color="auto"/>
      </w:divBdr>
    </w:div>
    <w:div w:id="1932274383">
      <w:bodyDiv w:val="1"/>
      <w:marLeft w:val="0"/>
      <w:marRight w:val="0"/>
      <w:marTop w:val="0"/>
      <w:marBottom w:val="0"/>
      <w:divBdr>
        <w:top w:val="none" w:sz="0" w:space="0" w:color="auto"/>
        <w:left w:val="none" w:sz="0" w:space="0" w:color="auto"/>
        <w:bottom w:val="none" w:sz="0" w:space="0" w:color="auto"/>
        <w:right w:val="none" w:sz="0" w:space="0" w:color="auto"/>
      </w:divBdr>
    </w:div>
    <w:div w:id="1948348612">
      <w:bodyDiv w:val="1"/>
      <w:marLeft w:val="0"/>
      <w:marRight w:val="0"/>
      <w:marTop w:val="0"/>
      <w:marBottom w:val="0"/>
      <w:divBdr>
        <w:top w:val="none" w:sz="0" w:space="0" w:color="auto"/>
        <w:left w:val="none" w:sz="0" w:space="0" w:color="auto"/>
        <w:bottom w:val="none" w:sz="0" w:space="0" w:color="auto"/>
        <w:right w:val="none" w:sz="0" w:space="0" w:color="auto"/>
      </w:divBdr>
    </w:div>
    <w:div w:id="1956213384">
      <w:bodyDiv w:val="1"/>
      <w:marLeft w:val="0"/>
      <w:marRight w:val="0"/>
      <w:marTop w:val="0"/>
      <w:marBottom w:val="0"/>
      <w:divBdr>
        <w:top w:val="none" w:sz="0" w:space="0" w:color="auto"/>
        <w:left w:val="none" w:sz="0" w:space="0" w:color="auto"/>
        <w:bottom w:val="none" w:sz="0" w:space="0" w:color="auto"/>
        <w:right w:val="none" w:sz="0" w:space="0" w:color="auto"/>
      </w:divBdr>
    </w:div>
    <w:div w:id="1963337136">
      <w:bodyDiv w:val="1"/>
      <w:marLeft w:val="0"/>
      <w:marRight w:val="0"/>
      <w:marTop w:val="0"/>
      <w:marBottom w:val="0"/>
      <w:divBdr>
        <w:top w:val="none" w:sz="0" w:space="0" w:color="auto"/>
        <w:left w:val="none" w:sz="0" w:space="0" w:color="auto"/>
        <w:bottom w:val="none" w:sz="0" w:space="0" w:color="auto"/>
        <w:right w:val="none" w:sz="0" w:space="0" w:color="auto"/>
      </w:divBdr>
    </w:div>
    <w:div w:id="1967466692">
      <w:bodyDiv w:val="1"/>
      <w:marLeft w:val="0"/>
      <w:marRight w:val="0"/>
      <w:marTop w:val="0"/>
      <w:marBottom w:val="0"/>
      <w:divBdr>
        <w:top w:val="none" w:sz="0" w:space="0" w:color="auto"/>
        <w:left w:val="none" w:sz="0" w:space="0" w:color="auto"/>
        <w:bottom w:val="none" w:sz="0" w:space="0" w:color="auto"/>
        <w:right w:val="none" w:sz="0" w:space="0" w:color="auto"/>
      </w:divBdr>
    </w:div>
    <w:div w:id="1990933927">
      <w:bodyDiv w:val="1"/>
      <w:marLeft w:val="0"/>
      <w:marRight w:val="0"/>
      <w:marTop w:val="0"/>
      <w:marBottom w:val="0"/>
      <w:divBdr>
        <w:top w:val="none" w:sz="0" w:space="0" w:color="auto"/>
        <w:left w:val="none" w:sz="0" w:space="0" w:color="auto"/>
        <w:bottom w:val="none" w:sz="0" w:space="0" w:color="auto"/>
        <w:right w:val="none" w:sz="0" w:space="0" w:color="auto"/>
      </w:divBdr>
    </w:div>
    <w:div w:id="2003897456">
      <w:bodyDiv w:val="1"/>
      <w:marLeft w:val="0"/>
      <w:marRight w:val="0"/>
      <w:marTop w:val="0"/>
      <w:marBottom w:val="0"/>
      <w:divBdr>
        <w:top w:val="none" w:sz="0" w:space="0" w:color="auto"/>
        <w:left w:val="none" w:sz="0" w:space="0" w:color="auto"/>
        <w:bottom w:val="none" w:sz="0" w:space="0" w:color="auto"/>
        <w:right w:val="none" w:sz="0" w:space="0" w:color="auto"/>
      </w:divBdr>
    </w:div>
    <w:div w:id="2038308642">
      <w:bodyDiv w:val="1"/>
      <w:marLeft w:val="0"/>
      <w:marRight w:val="0"/>
      <w:marTop w:val="0"/>
      <w:marBottom w:val="0"/>
      <w:divBdr>
        <w:top w:val="none" w:sz="0" w:space="0" w:color="auto"/>
        <w:left w:val="none" w:sz="0" w:space="0" w:color="auto"/>
        <w:bottom w:val="none" w:sz="0" w:space="0" w:color="auto"/>
        <w:right w:val="none" w:sz="0" w:space="0" w:color="auto"/>
      </w:divBdr>
    </w:div>
    <w:div w:id="2063945863">
      <w:bodyDiv w:val="1"/>
      <w:marLeft w:val="0"/>
      <w:marRight w:val="0"/>
      <w:marTop w:val="0"/>
      <w:marBottom w:val="0"/>
      <w:divBdr>
        <w:top w:val="none" w:sz="0" w:space="0" w:color="auto"/>
        <w:left w:val="none" w:sz="0" w:space="0" w:color="auto"/>
        <w:bottom w:val="none" w:sz="0" w:space="0" w:color="auto"/>
        <w:right w:val="none" w:sz="0" w:space="0" w:color="auto"/>
      </w:divBdr>
    </w:div>
    <w:div w:id="2072384304">
      <w:bodyDiv w:val="1"/>
      <w:marLeft w:val="0"/>
      <w:marRight w:val="0"/>
      <w:marTop w:val="0"/>
      <w:marBottom w:val="0"/>
      <w:divBdr>
        <w:top w:val="none" w:sz="0" w:space="0" w:color="auto"/>
        <w:left w:val="none" w:sz="0" w:space="0" w:color="auto"/>
        <w:bottom w:val="none" w:sz="0" w:space="0" w:color="auto"/>
        <w:right w:val="none" w:sz="0" w:space="0" w:color="auto"/>
      </w:divBdr>
    </w:div>
    <w:div w:id="2080908544">
      <w:bodyDiv w:val="1"/>
      <w:marLeft w:val="0"/>
      <w:marRight w:val="0"/>
      <w:marTop w:val="0"/>
      <w:marBottom w:val="0"/>
      <w:divBdr>
        <w:top w:val="none" w:sz="0" w:space="0" w:color="auto"/>
        <w:left w:val="none" w:sz="0" w:space="0" w:color="auto"/>
        <w:bottom w:val="none" w:sz="0" w:space="0" w:color="auto"/>
        <w:right w:val="none" w:sz="0" w:space="0" w:color="auto"/>
      </w:divBdr>
    </w:div>
    <w:div w:id="2085449025">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12313824">
      <w:bodyDiv w:val="1"/>
      <w:marLeft w:val="0"/>
      <w:marRight w:val="0"/>
      <w:marTop w:val="0"/>
      <w:marBottom w:val="0"/>
      <w:divBdr>
        <w:top w:val="none" w:sz="0" w:space="0" w:color="auto"/>
        <w:left w:val="none" w:sz="0" w:space="0" w:color="auto"/>
        <w:bottom w:val="none" w:sz="0" w:space="0" w:color="auto"/>
        <w:right w:val="none" w:sz="0" w:space="0" w:color="auto"/>
      </w:divBdr>
    </w:div>
    <w:div w:id="2114280735">
      <w:bodyDiv w:val="1"/>
      <w:marLeft w:val="0"/>
      <w:marRight w:val="0"/>
      <w:marTop w:val="0"/>
      <w:marBottom w:val="0"/>
      <w:divBdr>
        <w:top w:val="none" w:sz="0" w:space="0" w:color="auto"/>
        <w:left w:val="none" w:sz="0" w:space="0" w:color="auto"/>
        <w:bottom w:val="none" w:sz="0" w:space="0" w:color="auto"/>
        <w:right w:val="none" w:sz="0" w:space="0" w:color="auto"/>
      </w:divBdr>
    </w:div>
    <w:div w:id="2125883323">
      <w:bodyDiv w:val="1"/>
      <w:marLeft w:val="0"/>
      <w:marRight w:val="0"/>
      <w:marTop w:val="0"/>
      <w:marBottom w:val="0"/>
      <w:divBdr>
        <w:top w:val="none" w:sz="0" w:space="0" w:color="auto"/>
        <w:left w:val="none" w:sz="0" w:space="0" w:color="auto"/>
        <w:bottom w:val="none" w:sz="0" w:space="0" w:color="auto"/>
        <w:right w:val="none" w:sz="0" w:space="0" w:color="auto"/>
      </w:divBdr>
    </w:div>
    <w:div w:id="2129545391">
      <w:bodyDiv w:val="1"/>
      <w:marLeft w:val="0"/>
      <w:marRight w:val="0"/>
      <w:marTop w:val="0"/>
      <w:marBottom w:val="0"/>
      <w:divBdr>
        <w:top w:val="none" w:sz="0" w:space="0" w:color="auto"/>
        <w:left w:val="none" w:sz="0" w:space="0" w:color="auto"/>
        <w:bottom w:val="none" w:sz="0" w:space="0" w:color="auto"/>
        <w:right w:val="none" w:sz="0" w:space="0" w:color="auto"/>
      </w:divBdr>
    </w:div>
    <w:div w:id="2133287600">
      <w:bodyDiv w:val="1"/>
      <w:marLeft w:val="0"/>
      <w:marRight w:val="0"/>
      <w:marTop w:val="0"/>
      <w:marBottom w:val="0"/>
      <w:divBdr>
        <w:top w:val="none" w:sz="0" w:space="0" w:color="auto"/>
        <w:left w:val="none" w:sz="0" w:space="0" w:color="auto"/>
        <w:bottom w:val="none" w:sz="0" w:space="0" w:color="auto"/>
        <w:right w:val="none" w:sz="0" w:space="0" w:color="auto"/>
      </w:divBdr>
    </w:div>
    <w:div w:id="2133548769">
      <w:bodyDiv w:val="1"/>
      <w:marLeft w:val="0"/>
      <w:marRight w:val="0"/>
      <w:marTop w:val="0"/>
      <w:marBottom w:val="0"/>
      <w:divBdr>
        <w:top w:val="none" w:sz="0" w:space="0" w:color="auto"/>
        <w:left w:val="none" w:sz="0" w:space="0" w:color="auto"/>
        <w:bottom w:val="none" w:sz="0" w:space="0" w:color="auto"/>
        <w:right w:val="none" w:sz="0" w:space="0" w:color="auto"/>
      </w:divBdr>
    </w:div>
    <w:div w:id="2147163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18" Type="http://schemas.openxmlformats.org/officeDocument/2006/relationships/image" Target="media/image20.png"/><Relationship Id="rId26" Type="http://schemas.openxmlformats.org/officeDocument/2006/relationships/image" Target="media/image29.png"/><Relationship Id="rId3" Type="http://schemas.openxmlformats.org/officeDocument/2006/relationships/image" Target="media/image4.png"/><Relationship Id="rId21" Type="http://schemas.openxmlformats.org/officeDocument/2006/relationships/image" Target="media/image23.png"/><Relationship Id="rId7" Type="http://schemas.openxmlformats.org/officeDocument/2006/relationships/image" Target="media/image9.png"/><Relationship Id="rId12" Type="http://schemas.openxmlformats.org/officeDocument/2006/relationships/image" Target="media/image14.png"/><Relationship Id="rId17" Type="http://schemas.openxmlformats.org/officeDocument/2006/relationships/image" Target="media/image19.png"/><Relationship Id="rId25" Type="http://schemas.openxmlformats.org/officeDocument/2006/relationships/image" Target="media/image28.png"/><Relationship Id="rId2" Type="http://schemas.openxmlformats.org/officeDocument/2006/relationships/hyperlink" Target="https://www.freepik.es/vector-gratis/plantilla-grafico-proceso-cinco-hexagonos-datos-comerciales_2748290.htm" TargetMode="External"/><Relationship Id="rId16" Type="http://schemas.openxmlformats.org/officeDocument/2006/relationships/image" Target="media/image18.png"/><Relationship Id="rId20" Type="http://schemas.openxmlformats.org/officeDocument/2006/relationships/image" Target="media/image22.png"/><Relationship Id="rId1" Type="http://schemas.openxmlformats.org/officeDocument/2006/relationships/image" Target="media/image1.png"/><Relationship Id="rId6" Type="http://schemas.openxmlformats.org/officeDocument/2006/relationships/image" Target="media/image7.png"/><Relationship Id="rId11" Type="http://schemas.openxmlformats.org/officeDocument/2006/relationships/hyperlink" Target="https://www.freepik.es/vector-gratis/diagrama-proceso-infografico-dinero-financiero-mano-sosteniendo-ciclo-circular-circulo-extendiendose-fondo-oscuro-estilo-contorno-brillante-4-puntos_423513288.htm" TargetMode="External"/><Relationship Id="rId24" Type="http://schemas.openxmlformats.org/officeDocument/2006/relationships/image" Target="media/image27.png"/><Relationship Id="rId5" Type="http://schemas.openxmlformats.org/officeDocument/2006/relationships/hyperlink" Target="https://www.freepik.es/vector-gratis/coleccion-pasos-coloridos-infografia-estilo-isometrico_2037251.htm" TargetMode="External"/><Relationship Id="rId15" Type="http://schemas.openxmlformats.org/officeDocument/2006/relationships/image" Target="media/image17.png"/><Relationship Id="rId23" Type="http://schemas.openxmlformats.org/officeDocument/2006/relationships/image" Target="media/image26.png"/><Relationship Id="rId28" Type="http://schemas.openxmlformats.org/officeDocument/2006/relationships/image" Target="media/image31.png"/><Relationship Id="rId10" Type="http://schemas.openxmlformats.org/officeDocument/2006/relationships/image" Target="media/image12.png"/><Relationship Id="rId19" Type="http://schemas.openxmlformats.org/officeDocument/2006/relationships/image" Target="media/image21.png"/><Relationship Id="rId4" Type="http://schemas.openxmlformats.org/officeDocument/2006/relationships/image" Target="media/image5.png"/><Relationship Id="rId9" Type="http://schemas.openxmlformats.org/officeDocument/2006/relationships/image" Target="media/image11.png"/><Relationship Id="rId14" Type="http://schemas.openxmlformats.org/officeDocument/2006/relationships/image" Target="media/image16.png"/><Relationship Id="rId22" Type="http://schemas.openxmlformats.org/officeDocument/2006/relationships/image" Target="media/image25.png"/><Relationship Id="rId27" Type="http://schemas.openxmlformats.org/officeDocument/2006/relationships/image" Target="media/image30.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Data" Target="diagrams/data1.xml"/><Relationship Id="rId26" Type="http://schemas.openxmlformats.org/officeDocument/2006/relationships/diagramLayout" Target="diagrams/layout2.xml"/><Relationship Id="rId39" Type="http://schemas.openxmlformats.org/officeDocument/2006/relationships/header" Target="header1.xml"/><Relationship Id="rId21" Type="http://schemas.openxmlformats.org/officeDocument/2006/relationships/diagramColors" Target="diagrams/colors1.xml"/><Relationship Id="rId34" Type="http://schemas.openxmlformats.org/officeDocument/2006/relationships/diagramColors" Target="diagrams/colors3.xml"/><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QuickStyle" Target="diagrams/quickStyle1.xml"/><Relationship Id="rId29" Type="http://schemas.microsoft.com/office/2007/relationships/diagramDrawing" Target="diagrams/drawing2.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diagramLayout" Target="diagrams/layout3.xml"/><Relationship Id="rId37" Type="http://schemas.openxmlformats.org/officeDocument/2006/relationships/image" Target="media/image32.png"/><Relationship Id="rId40"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diagramColors" Target="diagrams/colors2.xml"/><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diagramLayout" Target="diagrams/layout1.xml"/><Relationship Id="rId31" Type="http://schemas.openxmlformats.org/officeDocument/2006/relationships/diagramData" Target="diagrams/data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07/relationships/diagramDrawing" Target="diagrams/drawing1.xml"/><Relationship Id="rId27" Type="http://schemas.openxmlformats.org/officeDocument/2006/relationships/diagramQuickStyle" Target="diagrams/quickStyle2.xml"/><Relationship Id="rId30" Type="http://schemas.openxmlformats.org/officeDocument/2006/relationships/image" Target="media/image13.png"/><Relationship Id="rId35" Type="http://schemas.microsoft.com/office/2007/relationships/diagramDrawing" Target="diagrams/drawing3.xm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diagramData" Target="diagrams/data2.xml"/><Relationship Id="rId33" Type="http://schemas.openxmlformats.org/officeDocument/2006/relationships/diagramQuickStyle" Target="diagrams/quickStyle3.xml"/><Relationship Id="rId38"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75E4403-ED8B-4CB3-85D4-0C31748DFDB2}" type="doc">
      <dgm:prSet loTypeId="urn:microsoft.com/office/officeart/2005/8/layout/chevron1" loCatId="process" qsTypeId="urn:microsoft.com/office/officeart/2005/8/quickstyle/simple1" qsCatId="simple" csTypeId="urn:microsoft.com/office/officeart/2005/8/colors/colorful2" csCatId="colorful" phldr="1"/>
      <dgm:spPr/>
    </dgm:pt>
    <dgm:pt modelId="{088D96DD-282C-4715-AC24-F8068DF82B81}">
      <dgm:prSet phldrT="[Texto]"/>
      <dgm:spPr/>
      <dgm:t>
        <a:bodyPr/>
        <a:lstStyle/>
        <a:p>
          <a:r>
            <a:rPr lang="es-CO"/>
            <a:t>Cuentas</a:t>
          </a:r>
        </a:p>
      </dgm:t>
    </dgm:pt>
    <dgm:pt modelId="{47DB76B3-46DC-4B1B-8943-A51A99A2A9ED}" type="parTrans" cxnId="{8A78D2F5-B30C-4CE5-8C93-830E2928306F}">
      <dgm:prSet/>
      <dgm:spPr/>
      <dgm:t>
        <a:bodyPr/>
        <a:lstStyle/>
        <a:p>
          <a:endParaRPr lang="es-CO"/>
        </a:p>
      </dgm:t>
    </dgm:pt>
    <dgm:pt modelId="{80186ADD-C06C-4431-8F4E-9052E5A38C8B}" type="sibTrans" cxnId="{8A78D2F5-B30C-4CE5-8C93-830E2928306F}">
      <dgm:prSet/>
      <dgm:spPr/>
      <dgm:t>
        <a:bodyPr/>
        <a:lstStyle/>
        <a:p>
          <a:endParaRPr lang="es-CO"/>
        </a:p>
      </dgm:t>
    </dgm:pt>
    <dgm:pt modelId="{8498771C-D2B0-491E-9826-65A45939137A}">
      <dgm:prSet phldrT="[Texto]"/>
      <dgm:spPr/>
      <dgm:t>
        <a:bodyPr/>
        <a:lstStyle/>
        <a:p>
          <a:r>
            <a:rPr lang="es-CO"/>
            <a:t>Adquisición de productos</a:t>
          </a:r>
        </a:p>
      </dgm:t>
    </dgm:pt>
    <dgm:pt modelId="{039AB110-BE65-40D2-B353-3D4011B44B8B}" type="parTrans" cxnId="{CA6D2750-DFCD-4790-92CC-D9C9EBC40FC2}">
      <dgm:prSet/>
      <dgm:spPr/>
      <dgm:t>
        <a:bodyPr/>
        <a:lstStyle/>
        <a:p>
          <a:endParaRPr lang="es-CO"/>
        </a:p>
      </dgm:t>
    </dgm:pt>
    <dgm:pt modelId="{9D45A848-DFE1-4A41-BB7B-117AC6056919}" type="sibTrans" cxnId="{CA6D2750-DFCD-4790-92CC-D9C9EBC40FC2}">
      <dgm:prSet/>
      <dgm:spPr/>
      <dgm:t>
        <a:bodyPr/>
        <a:lstStyle/>
        <a:p>
          <a:endParaRPr lang="es-CO"/>
        </a:p>
      </dgm:t>
    </dgm:pt>
    <dgm:pt modelId="{76907621-078D-4EF6-AB49-3E555F6AB1EC}">
      <dgm:prSet phldrT="[Texto]"/>
      <dgm:spPr/>
      <dgm:t>
        <a:bodyPr/>
        <a:lstStyle/>
        <a:p>
          <a:r>
            <a:rPr lang="es-CO"/>
            <a:t>Realización de operaciones</a:t>
          </a:r>
        </a:p>
      </dgm:t>
    </dgm:pt>
    <dgm:pt modelId="{872BCF5A-E658-433A-9B2A-794FA0E7EC25}" type="parTrans" cxnId="{5DB960CA-E37B-437A-9E34-C06EC33CEA0A}">
      <dgm:prSet/>
      <dgm:spPr/>
      <dgm:t>
        <a:bodyPr/>
        <a:lstStyle/>
        <a:p>
          <a:endParaRPr lang="es-CO"/>
        </a:p>
      </dgm:t>
    </dgm:pt>
    <dgm:pt modelId="{BD223737-C67A-4489-A677-EE7F2EF29084}" type="sibTrans" cxnId="{5DB960CA-E37B-437A-9E34-C06EC33CEA0A}">
      <dgm:prSet/>
      <dgm:spPr/>
      <dgm:t>
        <a:bodyPr/>
        <a:lstStyle/>
        <a:p>
          <a:endParaRPr lang="es-CO"/>
        </a:p>
      </dgm:t>
    </dgm:pt>
    <dgm:pt modelId="{7C0B5458-3549-44D9-98B3-9C544D00A508}" type="pres">
      <dgm:prSet presAssocID="{475E4403-ED8B-4CB3-85D4-0C31748DFDB2}" presName="Name0" presStyleCnt="0">
        <dgm:presLayoutVars>
          <dgm:dir/>
          <dgm:animLvl val="lvl"/>
          <dgm:resizeHandles val="exact"/>
        </dgm:presLayoutVars>
      </dgm:prSet>
      <dgm:spPr/>
    </dgm:pt>
    <dgm:pt modelId="{9F7A63E1-8C7E-4F15-BB4B-4825D4B28791}" type="pres">
      <dgm:prSet presAssocID="{088D96DD-282C-4715-AC24-F8068DF82B81}" presName="parTxOnly" presStyleLbl="node1" presStyleIdx="0" presStyleCnt="3">
        <dgm:presLayoutVars>
          <dgm:chMax val="0"/>
          <dgm:chPref val="0"/>
          <dgm:bulletEnabled val="1"/>
        </dgm:presLayoutVars>
      </dgm:prSet>
      <dgm:spPr/>
    </dgm:pt>
    <dgm:pt modelId="{B3DD54C8-2F16-4999-B075-7D84147E303D}" type="pres">
      <dgm:prSet presAssocID="{80186ADD-C06C-4431-8F4E-9052E5A38C8B}" presName="parTxOnlySpace" presStyleCnt="0"/>
      <dgm:spPr/>
    </dgm:pt>
    <dgm:pt modelId="{B7816423-604D-4ABC-8C13-9AC79C7E33F9}" type="pres">
      <dgm:prSet presAssocID="{8498771C-D2B0-491E-9826-65A45939137A}" presName="parTxOnly" presStyleLbl="node1" presStyleIdx="1" presStyleCnt="3">
        <dgm:presLayoutVars>
          <dgm:chMax val="0"/>
          <dgm:chPref val="0"/>
          <dgm:bulletEnabled val="1"/>
        </dgm:presLayoutVars>
      </dgm:prSet>
      <dgm:spPr/>
    </dgm:pt>
    <dgm:pt modelId="{C30BB3A1-3095-4C3D-AABE-24122E0B47AD}" type="pres">
      <dgm:prSet presAssocID="{9D45A848-DFE1-4A41-BB7B-117AC6056919}" presName="parTxOnlySpace" presStyleCnt="0"/>
      <dgm:spPr/>
    </dgm:pt>
    <dgm:pt modelId="{15E4A234-EF9F-47CB-A4E5-2436524A63B2}" type="pres">
      <dgm:prSet presAssocID="{76907621-078D-4EF6-AB49-3E555F6AB1EC}" presName="parTxOnly" presStyleLbl="node1" presStyleIdx="2" presStyleCnt="3">
        <dgm:presLayoutVars>
          <dgm:chMax val="0"/>
          <dgm:chPref val="0"/>
          <dgm:bulletEnabled val="1"/>
        </dgm:presLayoutVars>
      </dgm:prSet>
      <dgm:spPr/>
    </dgm:pt>
  </dgm:ptLst>
  <dgm:cxnLst>
    <dgm:cxn modelId="{4921665D-8B93-4B6B-86EF-19DE63E8D1FE}" type="presOf" srcId="{76907621-078D-4EF6-AB49-3E555F6AB1EC}" destId="{15E4A234-EF9F-47CB-A4E5-2436524A63B2}" srcOrd="0" destOrd="0" presId="urn:microsoft.com/office/officeart/2005/8/layout/chevron1"/>
    <dgm:cxn modelId="{CA6D2750-DFCD-4790-92CC-D9C9EBC40FC2}" srcId="{475E4403-ED8B-4CB3-85D4-0C31748DFDB2}" destId="{8498771C-D2B0-491E-9826-65A45939137A}" srcOrd="1" destOrd="0" parTransId="{039AB110-BE65-40D2-B353-3D4011B44B8B}" sibTransId="{9D45A848-DFE1-4A41-BB7B-117AC6056919}"/>
    <dgm:cxn modelId="{D26D5EAE-426F-4445-B9FE-F8D331E824F6}" type="presOf" srcId="{475E4403-ED8B-4CB3-85D4-0C31748DFDB2}" destId="{7C0B5458-3549-44D9-98B3-9C544D00A508}" srcOrd="0" destOrd="0" presId="urn:microsoft.com/office/officeart/2005/8/layout/chevron1"/>
    <dgm:cxn modelId="{5DB960CA-E37B-437A-9E34-C06EC33CEA0A}" srcId="{475E4403-ED8B-4CB3-85D4-0C31748DFDB2}" destId="{76907621-078D-4EF6-AB49-3E555F6AB1EC}" srcOrd="2" destOrd="0" parTransId="{872BCF5A-E658-433A-9B2A-794FA0E7EC25}" sibTransId="{BD223737-C67A-4489-A677-EE7F2EF29084}"/>
    <dgm:cxn modelId="{7BA2A9CB-2975-4C43-9CDF-A06C75566965}" type="presOf" srcId="{8498771C-D2B0-491E-9826-65A45939137A}" destId="{B7816423-604D-4ABC-8C13-9AC79C7E33F9}" srcOrd="0" destOrd="0" presId="urn:microsoft.com/office/officeart/2005/8/layout/chevron1"/>
    <dgm:cxn modelId="{5330BBCD-3C53-446A-8E81-2742FFD01C60}" type="presOf" srcId="{088D96DD-282C-4715-AC24-F8068DF82B81}" destId="{9F7A63E1-8C7E-4F15-BB4B-4825D4B28791}" srcOrd="0" destOrd="0" presId="urn:microsoft.com/office/officeart/2005/8/layout/chevron1"/>
    <dgm:cxn modelId="{8A78D2F5-B30C-4CE5-8C93-830E2928306F}" srcId="{475E4403-ED8B-4CB3-85D4-0C31748DFDB2}" destId="{088D96DD-282C-4715-AC24-F8068DF82B81}" srcOrd="0" destOrd="0" parTransId="{47DB76B3-46DC-4B1B-8943-A51A99A2A9ED}" sibTransId="{80186ADD-C06C-4431-8F4E-9052E5A38C8B}"/>
    <dgm:cxn modelId="{003B21A7-C654-49C8-8FDE-218DEA6C3777}" type="presParOf" srcId="{7C0B5458-3549-44D9-98B3-9C544D00A508}" destId="{9F7A63E1-8C7E-4F15-BB4B-4825D4B28791}" srcOrd="0" destOrd="0" presId="urn:microsoft.com/office/officeart/2005/8/layout/chevron1"/>
    <dgm:cxn modelId="{0FAD8F23-82FC-411A-9014-F7712772CBF8}" type="presParOf" srcId="{7C0B5458-3549-44D9-98B3-9C544D00A508}" destId="{B3DD54C8-2F16-4999-B075-7D84147E303D}" srcOrd="1" destOrd="0" presId="urn:microsoft.com/office/officeart/2005/8/layout/chevron1"/>
    <dgm:cxn modelId="{97228432-2547-424A-8BD6-6B0E4A3B3947}" type="presParOf" srcId="{7C0B5458-3549-44D9-98B3-9C544D00A508}" destId="{B7816423-604D-4ABC-8C13-9AC79C7E33F9}" srcOrd="2" destOrd="0" presId="urn:microsoft.com/office/officeart/2005/8/layout/chevron1"/>
    <dgm:cxn modelId="{701A66AD-32FA-43E9-AE97-5C3FB887E0C0}" type="presParOf" srcId="{7C0B5458-3549-44D9-98B3-9C544D00A508}" destId="{C30BB3A1-3095-4C3D-AABE-24122E0B47AD}" srcOrd="3" destOrd="0" presId="urn:microsoft.com/office/officeart/2005/8/layout/chevron1"/>
    <dgm:cxn modelId="{96637ECE-04EC-4226-A6BE-606BBFD5AB95}" type="presParOf" srcId="{7C0B5458-3549-44D9-98B3-9C544D00A508}" destId="{15E4A234-EF9F-47CB-A4E5-2436524A63B2}" srcOrd="4" destOrd="0" presId="urn:microsoft.com/office/officeart/2005/8/layout/chevron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43D88AA-0FE6-4C0A-9927-97A8DE7DA61D}"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s-CO"/>
        </a:p>
      </dgm:t>
    </dgm:pt>
    <dgm:pt modelId="{941488E3-4195-4AB5-88C5-691B59FFC469}">
      <dgm:prSet phldrT="[Texto]"/>
      <dgm:spPr/>
      <dgm:t>
        <a:bodyPr/>
        <a:lstStyle/>
        <a:p>
          <a:r>
            <a:rPr lang="es-CO"/>
            <a:t>Movimientos inusuales</a:t>
          </a:r>
        </a:p>
      </dgm:t>
    </dgm:pt>
    <dgm:pt modelId="{35FA349A-95E2-4F21-B17B-A865835D0E8D}" type="parTrans" cxnId="{52A4718C-1BBE-4683-9033-70821C98144D}">
      <dgm:prSet/>
      <dgm:spPr/>
      <dgm:t>
        <a:bodyPr/>
        <a:lstStyle/>
        <a:p>
          <a:endParaRPr lang="es-CO"/>
        </a:p>
      </dgm:t>
    </dgm:pt>
    <dgm:pt modelId="{5DA6D9B4-43E5-4724-B32D-E155BF0A93E9}" type="sibTrans" cxnId="{52A4718C-1BBE-4683-9033-70821C98144D}">
      <dgm:prSet/>
      <dgm:spPr/>
      <dgm:t>
        <a:bodyPr/>
        <a:lstStyle/>
        <a:p>
          <a:endParaRPr lang="es-CO"/>
        </a:p>
      </dgm:t>
    </dgm:pt>
    <dgm:pt modelId="{BE4F3598-B6AA-4A1A-8206-A83B365AA78B}">
      <dgm:prSet phldrT="[Texto]"/>
      <dgm:spPr/>
      <dgm:t>
        <a:bodyPr/>
        <a:lstStyle/>
        <a:p>
          <a:r>
            <a:rPr lang="es-CO"/>
            <a:t>Operaciones sospechosas</a:t>
          </a:r>
        </a:p>
      </dgm:t>
    </dgm:pt>
    <dgm:pt modelId="{BB1F74F0-D2CC-4D4C-960B-BC596DD9EC2C}" type="parTrans" cxnId="{D57BA0B9-5307-4758-B082-8F56F3254B71}">
      <dgm:prSet/>
      <dgm:spPr/>
      <dgm:t>
        <a:bodyPr/>
        <a:lstStyle/>
        <a:p>
          <a:endParaRPr lang="es-CO"/>
        </a:p>
      </dgm:t>
    </dgm:pt>
    <dgm:pt modelId="{590F4E7C-60B0-471E-819E-3FB327471420}" type="sibTrans" cxnId="{D57BA0B9-5307-4758-B082-8F56F3254B71}">
      <dgm:prSet/>
      <dgm:spPr/>
      <dgm:t>
        <a:bodyPr/>
        <a:lstStyle/>
        <a:p>
          <a:endParaRPr lang="es-CO"/>
        </a:p>
      </dgm:t>
    </dgm:pt>
    <dgm:pt modelId="{805386F8-3197-4CB7-9DB5-A0915A63197F}">
      <dgm:prSet phldrT="[Texto]"/>
      <dgm:spPr/>
      <dgm:t>
        <a:bodyPr/>
        <a:lstStyle/>
        <a:p>
          <a:r>
            <a:rPr lang="es-CO"/>
            <a:t>Riesgos financieros</a:t>
          </a:r>
        </a:p>
      </dgm:t>
    </dgm:pt>
    <dgm:pt modelId="{91F3975D-3BBF-45E9-9EB6-A0CC8BB6D4A9}" type="parTrans" cxnId="{84889BBE-42E4-4282-8165-04DC748F5214}">
      <dgm:prSet/>
      <dgm:spPr/>
      <dgm:t>
        <a:bodyPr/>
        <a:lstStyle/>
        <a:p>
          <a:endParaRPr lang="es-CO"/>
        </a:p>
      </dgm:t>
    </dgm:pt>
    <dgm:pt modelId="{7EF7DA91-BB68-4A9C-9C5E-C1194FC40383}" type="sibTrans" cxnId="{84889BBE-42E4-4282-8165-04DC748F5214}">
      <dgm:prSet/>
      <dgm:spPr/>
      <dgm:t>
        <a:bodyPr/>
        <a:lstStyle/>
        <a:p>
          <a:endParaRPr lang="es-CO"/>
        </a:p>
      </dgm:t>
    </dgm:pt>
    <dgm:pt modelId="{3DB79300-11E5-4905-9320-E732131AA9C9}">
      <dgm:prSet phldrT="[Texto]"/>
      <dgm:spPr/>
      <dgm:t>
        <a:bodyPr/>
        <a:lstStyle/>
        <a:p>
          <a:r>
            <a:rPr lang="es-CO"/>
            <a:t>Lavado de activos</a:t>
          </a:r>
        </a:p>
      </dgm:t>
    </dgm:pt>
    <dgm:pt modelId="{6F641D2E-6AC0-4CE9-9EFA-8B4A220867F1}" type="parTrans" cxnId="{C842D2A1-C3D0-4B77-86F5-D799E5A242D5}">
      <dgm:prSet/>
      <dgm:spPr/>
      <dgm:t>
        <a:bodyPr/>
        <a:lstStyle/>
        <a:p>
          <a:endParaRPr lang="es-CO"/>
        </a:p>
      </dgm:t>
    </dgm:pt>
    <dgm:pt modelId="{5CEE6373-1BFC-4AD6-89D8-CFE98C6B84ED}" type="sibTrans" cxnId="{C842D2A1-C3D0-4B77-86F5-D799E5A242D5}">
      <dgm:prSet/>
      <dgm:spPr/>
      <dgm:t>
        <a:bodyPr/>
        <a:lstStyle/>
        <a:p>
          <a:endParaRPr lang="es-CO"/>
        </a:p>
      </dgm:t>
    </dgm:pt>
    <dgm:pt modelId="{B68205C1-0EBC-4828-9C5C-27AEF5A31DB0}">
      <dgm:prSet phldrT="[Texto]"/>
      <dgm:spPr/>
      <dgm:t>
        <a:bodyPr/>
        <a:lstStyle/>
        <a:p>
          <a:r>
            <a:rPr lang="es-CO"/>
            <a:t>Financición del terrorismo</a:t>
          </a:r>
        </a:p>
      </dgm:t>
    </dgm:pt>
    <dgm:pt modelId="{2846FE53-239F-486C-AF23-4445F3FC0EFF}" type="parTrans" cxnId="{569011DA-01BF-4C51-8ED9-DE69B7B2D50F}">
      <dgm:prSet/>
      <dgm:spPr/>
      <dgm:t>
        <a:bodyPr/>
        <a:lstStyle/>
        <a:p>
          <a:endParaRPr lang="es-CO"/>
        </a:p>
      </dgm:t>
    </dgm:pt>
    <dgm:pt modelId="{CA1BFBC7-A9F7-4539-92B0-D7BF1AB0D334}" type="sibTrans" cxnId="{569011DA-01BF-4C51-8ED9-DE69B7B2D50F}">
      <dgm:prSet/>
      <dgm:spPr/>
      <dgm:t>
        <a:bodyPr/>
        <a:lstStyle/>
        <a:p>
          <a:endParaRPr lang="es-CO"/>
        </a:p>
      </dgm:t>
    </dgm:pt>
    <dgm:pt modelId="{FD70ED69-9583-4BA4-94AA-9A215B7B4B62}" type="pres">
      <dgm:prSet presAssocID="{A43D88AA-0FE6-4C0A-9927-97A8DE7DA61D}" presName="diagram" presStyleCnt="0">
        <dgm:presLayoutVars>
          <dgm:dir/>
          <dgm:resizeHandles val="exact"/>
        </dgm:presLayoutVars>
      </dgm:prSet>
      <dgm:spPr/>
    </dgm:pt>
    <dgm:pt modelId="{52E2A7DD-3982-4C39-8A56-AA1678A99574}" type="pres">
      <dgm:prSet presAssocID="{941488E3-4195-4AB5-88C5-691B59FFC469}" presName="node" presStyleLbl="node1" presStyleIdx="0" presStyleCnt="5">
        <dgm:presLayoutVars>
          <dgm:bulletEnabled val="1"/>
        </dgm:presLayoutVars>
      </dgm:prSet>
      <dgm:spPr/>
    </dgm:pt>
    <dgm:pt modelId="{6CB23431-AA80-40BD-A0E9-21247CAEC3E9}" type="pres">
      <dgm:prSet presAssocID="{5DA6D9B4-43E5-4724-B32D-E155BF0A93E9}" presName="sibTrans" presStyleCnt="0"/>
      <dgm:spPr/>
    </dgm:pt>
    <dgm:pt modelId="{B236937D-6434-4A0B-8A19-F8CE24D77E33}" type="pres">
      <dgm:prSet presAssocID="{BE4F3598-B6AA-4A1A-8206-A83B365AA78B}" presName="node" presStyleLbl="node1" presStyleIdx="1" presStyleCnt="5">
        <dgm:presLayoutVars>
          <dgm:bulletEnabled val="1"/>
        </dgm:presLayoutVars>
      </dgm:prSet>
      <dgm:spPr/>
    </dgm:pt>
    <dgm:pt modelId="{86F6A436-9E5F-47C7-BBA8-C2AE8E85A486}" type="pres">
      <dgm:prSet presAssocID="{590F4E7C-60B0-471E-819E-3FB327471420}" presName="sibTrans" presStyleCnt="0"/>
      <dgm:spPr/>
    </dgm:pt>
    <dgm:pt modelId="{3268D7AC-F07C-4102-A65B-779DE3620B34}" type="pres">
      <dgm:prSet presAssocID="{805386F8-3197-4CB7-9DB5-A0915A63197F}" presName="node" presStyleLbl="node1" presStyleIdx="2" presStyleCnt="5">
        <dgm:presLayoutVars>
          <dgm:bulletEnabled val="1"/>
        </dgm:presLayoutVars>
      </dgm:prSet>
      <dgm:spPr/>
    </dgm:pt>
    <dgm:pt modelId="{246914A7-64B5-4E35-BF6A-4C845C3AD161}" type="pres">
      <dgm:prSet presAssocID="{7EF7DA91-BB68-4A9C-9C5E-C1194FC40383}" presName="sibTrans" presStyleCnt="0"/>
      <dgm:spPr/>
    </dgm:pt>
    <dgm:pt modelId="{4A9C1FF7-7C5F-42A8-8D02-8FA3CC39C741}" type="pres">
      <dgm:prSet presAssocID="{3DB79300-11E5-4905-9320-E732131AA9C9}" presName="node" presStyleLbl="node1" presStyleIdx="3" presStyleCnt="5">
        <dgm:presLayoutVars>
          <dgm:bulletEnabled val="1"/>
        </dgm:presLayoutVars>
      </dgm:prSet>
      <dgm:spPr/>
    </dgm:pt>
    <dgm:pt modelId="{7226F766-DAEF-461E-9C32-0CBDCA56100B}" type="pres">
      <dgm:prSet presAssocID="{5CEE6373-1BFC-4AD6-89D8-CFE98C6B84ED}" presName="sibTrans" presStyleCnt="0"/>
      <dgm:spPr/>
    </dgm:pt>
    <dgm:pt modelId="{C182DEEC-DD1A-4710-84CF-324AE3B54A72}" type="pres">
      <dgm:prSet presAssocID="{B68205C1-0EBC-4828-9C5C-27AEF5A31DB0}" presName="node" presStyleLbl="node1" presStyleIdx="4" presStyleCnt="5">
        <dgm:presLayoutVars>
          <dgm:bulletEnabled val="1"/>
        </dgm:presLayoutVars>
      </dgm:prSet>
      <dgm:spPr/>
    </dgm:pt>
  </dgm:ptLst>
  <dgm:cxnLst>
    <dgm:cxn modelId="{B08D7663-739F-41E9-B87B-DA335CE168E8}" type="presOf" srcId="{941488E3-4195-4AB5-88C5-691B59FFC469}" destId="{52E2A7DD-3982-4C39-8A56-AA1678A99574}" srcOrd="0" destOrd="0" presId="urn:microsoft.com/office/officeart/2005/8/layout/default"/>
    <dgm:cxn modelId="{0A4CE678-DF41-4A4C-A6B3-AD29F2C8EBF8}" type="presOf" srcId="{3DB79300-11E5-4905-9320-E732131AA9C9}" destId="{4A9C1FF7-7C5F-42A8-8D02-8FA3CC39C741}" srcOrd="0" destOrd="0" presId="urn:microsoft.com/office/officeart/2005/8/layout/default"/>
    <dgm:cxn modelId="{3E160881-3E60-4C7D-96F1-2219A62550CB}" type="presOf" srcId="{805386F8-3197-4CB7-9DB5-A0915A63197F}" destId="{3268D7AC-F07C-4102-A65B-779DE3620B34}" srcOrd="0" destOrd="0" presId="urn:microsoft.com/office/officeart/2005/8/layout/default"/>
    <dgm:cxn modelId="{8B88BF83-6BC1-4332-8B66-015694E01E64}" type="presOf" srcId="{BE4F3598-B6AA-4A1A-8206-A83B365AA78B}" destId="{B236937D-6434-4A0B-8A19-F8CE24D77E33}" srcOrd="0" destOrd="0" presId="urn:microsoft.com/office/officeart/2005/8/layout/default"/>
    <dgm:cxn modelId="{52A4718C-1BBE-4683-9033-70821C98144D}" srcId="{A43D88AA-0FE6-4C0A-9927-97A8DE7DA61D}" destId="{941488E3-4195-4AB5-88C5-691B59FFC469}" srcOrd="0" destOrd="0" parTransId="{35FA349A-95E2-4F21-B17B-A865835D0E8D}" sibTransId="{5DA6D9B4-43E5-4724-B32D-E155BF0A93E9}"/>
    <dgm:cxn modelId="{C842D2A1-C3D0-4B77-86F5-D799E5A242D5}" srcId="{A43D88AA-0FE6-4C0A-9927-97A8DE7DA61D}" destId="{3DB79300-11E5-4905-9320-E732131AA9C9}" srcOrd="3" destOrd="0" parTransId="{6F641D2E-6AC0-4CE9-9EFA-8B4A220867F1}" sibTransId="{5CEE6373-1BFC-4AD6-89D8-CFE98C6B84ED}"/>
    <dgm:cxn modelId="{D57BA0B9-5307-4758-B082-8F56F3254B71}" srcId="{A43D88AA-0FE6-4C0A-9927-97A8DE7DA61D}" destId="{BE4F3598-B6AA-4A1A-8206-A83B365AA78B}" srcOrd="1" destOrd="0" parTransId="{BB1F74F0-D2CC-4D4C-960B-BC596DD9EC2C}" sibTransId="{590F4E7C-60B0-471E-819E-3FB327471420}"/>
    <dgm:cxn modelId="{84889BBE-42E4-4282-8165-04DC748F5214}" srcId="{A43D88AA-0FE6-4C0A-9927-97A8DE7DA61D}" destId="{805386F8-3197-4CB7-9DB5-A0915A63197F}" srcOrd="2" destOrd="0" parTransId="{91F3975D-3BBF-45E9-9EB6-A0CC8BB6D4A9}" sibTransId="{7EF7DA91-BB68-4A9C-9C5E-C1194FC40383}"/>
    <dgm:cxn modelId="{7637DEC2-9B2D-4A07-A47A-3B288C96BC34}" type="presOf" srcId="{B68205C1-0EBC-4828-9C5C-27AEF5A31DB0}" destId="{C182DEEC-DD1A-4710-84CF-324AE3B54A72}" srcOrd="0" destOrd="0" presId="urn:microsoft.com/office/officeart/2005/8/layout/default"/>
    <dgm:cxn modelId="{569011DA-01BF-4C51-8ED9-DE69B7B2D50F}" srcId="{A43D88AA-0FE6-4C0A-9927-97A8DE7DA61D}" destId="{B68205C1-0EBC-4828-9C5C-27AEF5A31DB0}" srcOrd="4" destOrd="0" parTransId="{2846FE53-239F-486C-AF23-4445F3FC0EFF}" sibTransId="{CA1BFBC7-A9F7-4539-92B0-D7BF1AB0D334}"/>
    <dgm:cxn modelId="{6B885BED-A7D1-4209-93AC-7561C786F667}" type="presOf" srcId="{A43D88AA-0FE6-4C0A-9927-97A8DE7DA61D}" destId="{FD70ED69-9583-4BA4-94AA-9A215B7B4B62}" srcOrd="0" destOrd="0" presId="urn:microsoft.com/office/officeart/2005/8/layout/default"/>
    <dgm:cxn modelId="{A918CF0F-0E5D-4424-8349-CB7A5E567C0F}" type="presParOf" srcId="{FD70ED69-9583-4BA4-94AA-9A215B7B4B62}" destId="{52E2A7DD-3982-4C39-8A56-AA1678A99574}" srcOrd="0" destOrd="0" presId="urn:microsoft.com/office/officeart/2005/8/layout/default"/>
    <dgm:cxn modelId="{7363C2D2-9E59-4C35-A6C4-DF89121E8A6F}" type="presParOf" srcId="{FD70ED69-9583-4BA4-94AA-9A215B7B4B62}" destId="{6CB23431-AA80-40BD-A0E9-21247CAEC3E9}" srcOrd="1" destOrd="0" presId="urn:microsoft.com/office/officeart/2005/8/layout/default"/>
    <dgm:cxn modelId="{D873A0C2-96CA-4968-9BCE-935A4085F8E3}" type="presParOf" srcId="{FD70ED69-9583-4BA4-94AA-9A215B7B4B62}" destId="{B236937D-6434-4A0B-8A19-F8CE24D77E33}" srcOrd="2" destOrd="0" presId="urn:microsoft.com/office/officeart/2005/8/layout/default"/>
    <dgm:cxn modelId="{C979CCC2-42A4-4D98-830B-F49B753BE289}" type="presParOf" srcId="{FD70ED69-9583-4BA4-94AA-9A215B7B4B62}" destId="{86F6A436-9E5F-47C7-BBA8-C2AE8E85A486}" srcOrd="3" destOrd="0" presId="urn:microsoft.com/office/officeart/2005/8/layout/default"/>
    <dgm:cxn modelId="{B85C5715-0DCE-4339-B08D-2FC8E7B1371E}" type="presParOf" srcId="{FD70ED69-9583-4BA4-94AA-9A215B7B4B62}" destId="{3268D7AC-F07C-4102-A65B-779DE3620B34}" srcOrd="4" destOrd="0" presId="urn:microsoft.com/office/officeart/2005/8/layout/default"/>
    <dgm:cxn modelId="{B03D3FA6-19C2-4624-BC46-49490C7EA5B4}" type="presParOf" srcId="{FD70ED69-9583-4BA4-94AA-9A215B7B4B62}" destId="{246914A7-64B5-4E35-BF6A-4C845C3AD161}" srcOrd="5" destOrd="0" presId="urn:microsoft.com/office/officeart/2005/8/layout/default"/>
    <dgm:cxn modelId="{3C3F849F-F224-453E-8FC8-3266E256D4AA}" type="presParOf" srcId="{FD70ED69-9583-4BA4-94AA-9A215B7B4B62}" destId="{4A9C1FF7-7C5F-42A8-8D02-8FA3CC39C741}" srcOrd="6" destOrd="0" presId="urn:microsoft.com/office/officeart/2005/8/layout/default"/>
    <dgm:cxn modelId="{F073526C-7DB4-4CF1-896C-760F35200A03}" type="presParOf" srcId="{FD70ED69-9583-4BA4-94AA-9A215B7B4B62}" destId="{7226F766-DAEF-461E-9C32-0CBDCA56100B}" srcOrd="7" destOrd="0" presId="urn:microsoft.com/office/officeart/2005/8/layout/default"/>
    <dgm:cxn modelId="{E3BC9324-097B-42BF-A0E1-D349A5F0130E}" type="presParOf" srcId="{FD70ED69-9583-4BA4-94AA-9A215B7B4B62}" destId="{C182DEEC-DD1A-4710-84CF-324AE3B54A72}" srcOrd="8" destOrd="0" presId="urn:microsoft.com/office/officeart/2005/8/layout/default"/>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BE87C89-0BA7-47E1-83E8-2435E7710515}"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s-CO"/>
        </a:p>
      </dgm:t>
    </dgm:pt>
    <dgm:pt modelId="{3561CAD8-968F-4AF2-9DA2-07DEABE005C9}">
      <dgm:prSet phldrT="[Texto]"/>
      <dgm:spPr/>
      <dgm:t>
        <a:bodyPr/>
        <a:lstStyle/>
        <a:p>
          <a:r>
            <a:rPr lang="es-CO"/>
            <a:t>Penas privativas</a:t>
          </a:r>
        </a:p>
      </dgm:t>
    </dgm:pt>
    <dgm:pt modelId="{426B4ACD-C174-4D25-BD37-4EE264BB47A4}" type="parTrans" cxnId="{3E68DEBA-C14A-46D5-8625-CB75A92E16B7}">
      <dgm:prSet/>
      <dgm:spPr/>
      <dgm:t>
        <a:bodyPr/>
        <a:lstStyle/>
        <a:p>
          <a:endParaRPr lang="es-CO"/>
        </a:p>
      </dgm:t>
    </dgm:pt>
    <dgm:pt modelId="{2FD38199-4FAB-4E5B-A145-1DBB9A8BED54}" type="sibTrans" cxnId="{3E68DEBA-C14A-46D5-8625-CB75A92E16B7}">
      <dgm:prSet/>
      <dgm:spPr/>
      <dgm:t>
        <a:bodyPr/>
        <a:lstStyle/>
        <a:p>
          <a:endParaRPr lang="es-CO"/>
        </a:p>
      </dgm:t>
    </dgm:pt>
    <dgm:pt modelId="{2D61D99B-9A00-435B-9A14-D1798AF03A58}">
      <dgm:prSet phldrT="[Texto]"/>
      <dgm:spPr/>
      <dgm:t>
        <a:bodyPr/>
        <a:lstStyle/>
        <a:p>
          <a:r>
            <a:rPr lang="es-CO"/>
            <a:t>Multas ecónomicas</a:t>
          </a:r>
        </a:p>
      </dgm:t>
    </dgm:pt>
    <dgm:pt modelId="{AD0455A1-2DD3-40BD-98A9-0533B584BAB5}" type="parTrans" cxnId="{6159995A-F4B3-41E9-B9F9-279DCFF3BEB7}">
      <dgm:prSet/>
      <dgm:spPr/>
      <dgm:t>
        <a:bodyPr/>
        <a:lstStyle/>
        <a:p>
          <a:endParaRPr lang="es-CO"/>
        </a:p>
      </dgm:t>
    </dgm:pt>
    <dgm:pt modelId="{4BDC6C27-40E0-4E3A-A72E-72082183F4B6}" type="sibTrans" cxnId="{6159995A-F4B3-41E9-B9F9-279DCFF3BEB7}">
      <dgm:prSet/>
      <dgm:spPr/>
      <dgm:t>
        <a:bodyPr/>
        <a:lstStyle/>
        <a:p>
          <a:endParaRPr lang="es-CO"/>
        </a:p>
      </dgm:t>
    </dgm:pt>
    <dgm:pt modelId="{853D9BD0-ADFA-48B2-B38B-143ABF0F569E}">
      <dgm:prSet phldrT="[Texto]"/>
      <dgm:spPr/>
      <dgm:t>
        <a:bodyPr/>
        <a:lstStyle/>
        <a:p>
          <a:r>
            <a:rPr lang="es-CO"/>
            <a:t>Medidas judiciales</a:t>
          </a:r>
        </a:p>
      </dgm:t>
    </dgm:pt>
    <dgm:pt modelId="{3FF40CC9-9A9A-4C01-B915-6F311FD53F33}" type="parTrans" cxnId="{E08C628B-9B96-47A6-94D9-EAD96E0FF014}">
      <dgm:prSet/>
      <dgm:spPr/>
      <dgm:t>
        <a:bodyPr/>
        <a:lstStyle/>
        <a:p>
          <a:endParaRPr lang="es-CO"/>
        </a:p>
      </dgm:t>
    </dgm:pt>
    <dgm:pt modelId="{3349CDA1-4241-4311-92B8-CE07F3460CE8}" type="sibTrans" cxnId="{E08C628B-9B96-47A6-94D9-EAD96E0FF014}">
      <dgm:prSet/>
      <dgm:spPr/>
      <dgm:t>
        <a:bodyPr/>
        <a:lstStyle/>
        <a:p>
          <a:endParaRPr lang="es-CO"/>
        </a:p>
      </dgm:t>
    </dgm:pt>
    <dgm:pt modelId="{820DAB7F-4C65-449B-A722-2A45EB057E19}" type="pres">
      <dgm:prSet presAssocID="{6BE87C89-0BA7-47E1-83E8-2435E7710515}" presName="diagram" presStyleCnt="0">
        <dgm:presLayoutVars>
          <dgm:dir/>
          <dgm:resizeHandles val="exact"/>
        </dgm:presLayoutVars>
      </dgm:prSet>
      <dgm:spPr/>
    </dgm:pt>
    <dgm:pt modelId="{4935128E-B741-42B8-B41D-EA86DB21470E}" type="pres">
      <dgm:prSet presAssocID="{3561CAD8-968F-4AF2-9DA2-07DEABE005C9}" presName="node" presStyleLbl="node1" presStyleIdx="0" presStyleCnt="3">
        <dgm:presLayoutVars>
          <dgm:bulletEnabled val="1"/>
        </dgm:presLayoutVars>
      </dgm:prSet>
      <dgm:spPr/>
    </dgm:pt>
    <dgm:pt modelId="{689D563E-90F8-4E5C-B8E8-82FD25816772}" type="pres">
      <dgm:prSet presAssocID="{2FD38199-4FAB-4E5B-A145-1DBB9A8BED54}" presName="sibTrans" presStyleCnt="0"/>
      <dgm:spPr/>
    </dgm:pt>
    <dgm:pt modelId="{37D4ADAA-EBCF-48E1-8D91-6D9881098E80}" type="pres">
      <dgm:prSet presAssocID="{2D61D99B-9A00-435B-9A14-D1798AF03A58}" presName="node" presStyleLbl="node1" presStyleIdx="1" presStyleCnt="3">
        <dgm:presLayoutVars>
          <dgm:bulletEnabled val="1"/>
        </dgm:presLayoutVars>
      </dgm:prSet>
      <dgm:spPr/>
    </dgm:pt>
    <dgm:pt modelId="{DF71D0EF-337F-4BFE-9C75-BBFCCC235EAC}" type="pres">
      <dgm:prSet presAssocID="{4BDC6C27-40E0-4E3A-A72E-72082183F4B6}" presName="sibTrans" presStyleCnt="0"/>
      <dgm:spPr/>
    </dgm:pt>
    <dgm:pt modelId="{D903B4F0-24A5-4049-B35F-E82136D1D2E5}" type="pres">
      <dgm:prSet presAssocID="{853D9BD0-ADFA-48B2-B38B-143ABF0F569E}" presName="node" presStyleLbl="node1" presStyleIdx="2" presStyleCnt="3">
        <dgm:presLayoutVars>
          <dgm:bulletEnabled val="1"/>
        </dgm:presLayoutVars>
      </dgm:prSet>
      <dgm:spPr/>
    </dgm:pt>
  </dgm:ptLst>
  <dgm:cxnLst>
    <dgm:cxn modelId="{ABBB5C20-E103-4823-A297-E0F521C67AC9}" type="presOf" srcId="{853D9BD0-ADFA-48B2-B38B-143ABF0F569E}" destId="{D903B4F0-24A5-4049-B35F-E82136D1D2E5}" srcOrd="0" destOrd="0" presId="urn:microsoft.com/office/officeart/2005/8/layout/default"/>
    <dgm:cxn modelId="{6159995A-F4B3-41E9-B9F9-279DCFF3BEB7}" srcId="{6BE87C89-0BA7-47E1-83E8-2435E7710515}" destId="{2D61D99B-9A00-435B-9A14-D1798AF03A58}" srcOrd="1" destOrd="0" parTransId="{AD0455A1-2DD3-40BD-98A9-0533B584BAB5}" sibTransId="{4BDC6C27-40E0-4E3A-A72E-72082183F4B6}"/>
    <dgm:cxn modelId="{E08C628B-9B96-47A6-94D9-EAD96E0FF014}" srcId="{6BE87C89-0BA7-47E1-83E8-2435E7710515}" destId="{853D9BD0-ADFA-48B2-B38B-143ABF0F569E}" srcOrd="2" destOrd="0" parTransId="{3FF40CC9-9A9A-4C01-B915-6F311FD53F33}" sibTransId="{3349CDA1-4241-4311-92B8-CE07F3460CE8}"/>
    <dgm:cxn modelId="{615CB49F-17B3-48E6-BEE6-51944D7D83F1}" type="presOf" srcId="{3561CAD8-968F-4AF2-9DA2-07DEABE005C9}" destId="{4935128E-B741-42B8-B41D-EA86DB21470E}" srcOrd="0" destOrd="0" presId="urn:microsoft.com/office/officeart/2005/8/layout/default"/>
    <dgm:cxn modelId="{E226E4B7-EEC6-40F4-9954-A25143543EA8}" type="presOf" srcId="{2D61D99B-9A00-435B-9A14-D1798AF03A58}" destId="{37D4ADAA-EBCF-48E1-8D91-6D9881098E80}" srcOrd="0" destOrd="0" presId="urn:microsoft.com/office/officeart/2005/8/layout/default"/>
    <dgm:cxn modelId="{3E68DEBA-C14A-46D5-8625-CB75A92E16B7}" srcId="{6BE87C89-0BA7-47E1-83E8-2435E7710515}" destId="{3561CAD8-968F-4AF2-9DA2-07DEABE005C9}" srcOrd="0" destOrd="0" parTransId="{426B4ACD-C174-4D25-BD37-4EE264BB47A4}" sibTransId="{2FD38199-4FAB-4E5B-A145-1DBB9A8BED54}"/>
    <dgm:cxn modelId="{B55CCEEB-5DD7-4A3B-92A6-1A55C105F740}" type="presOf" srcId="{6BE87C89-0BA7-47E1-83E8-2435E7710515}" destId="{820DAB7F-4C65-449B-A722-2A45EB057E19}" srcOrd="0" destOrd="0" presId="urn:microsoft.com/office/officeart/2005/8/layout/default"/>
    <dgm:cxn modelId="{F48D7731-5513-4A1B-90C7-90D3D8A094EC}" type="presParOf" srcId="{820DAB7F-4C65-449B-A722-2A45EB057E19}" destId="{4935128E-B741-42B8-B41D-EA86DB21470E}" srcOrd="0" destOrd="0" presId="urn:microsoft.com/office/officeart/2005/8/layout/default"/>
    <dgm:cxn modelId="{03AAEBF9-A759-4F3F-892D-DCD45D2273D5}" type="presParOf" srcId="{820DAB7F-4C65-449B-A722-2A45EB057E19}" destId="{689D563E-90F8-4E5C-B8E8-82FD25816772}" srcOrd="1" destOrd="0" presId="urn:microsoft.com/office/officeart/2005/8/layout/default"/>
    <dgm:cxn modelId="{D25F2C84-E0A4-41F4-84A0-BDFE498D569C}" type="presParOf" srcId="{820DAB7F-4C65-449B-A722-2A45EB057E19}" destId="{37D4ADAA-EBCF-48E1-8D91-6D9881098E80}" srcOrd="2" destOrd="0" presId="urn:microsoft.com/office/officeart/2005/8/layout/default"/>
    <dgm:cxn modelId="{0C31F67F-1264-498E-850D-0C7F319C59D7}" type="presParOf" srcId="{820DAB7F-4C65-449B-A722-2A45EB057E19}" destId="{DF71D0EF-337F-4BFE-9C75-BBFCCC235EAC}" srcOrd="3" destOrd="0" presId="urn:microsoft.com/office/officeart/2005/8/layout/default"/>
    <dgm:cxn modelId="{07D3F1C1-C7BC-4A52-B83C-4CF08B0E526D}" type="presParOf" srcId="{820DAB7F-4C65-449B-A722-2A45EB057E19}" destId="{D903B4F0-24A5-4049-B35F-E82136D1D2E5}" srcOrd="4" destOrd="0" presId="urn:microsoft.com/office/officeart/2005/8/layout/default"/>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7A63E1-8C7E-4F15-BB4B-4825D4B28791}">
      <dsp:nvSpPr>
        <dsp:cNvPr id="0" name=""/>
        <dsp:cNvSpPr/>
      </dsp:nvSpPr>
      <dsp:spPr>
        <a:xfrm>
          <a:off x="1148" y="435100"/>
          <a:ext cx="1399412" cy="559764"/>
        </a:xfrm>
        <a:prstGeom prst="chevron">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s-CO" sz="1100" kern="1200"/>
            <a:t>Cuentas</a:t>
          </a:r>
        </a:p>
      </dsp:txBody>
      <dsp:txXfrm>
        <a:off x="281030" y="435100"/>
        <a:ext cx="839648" cy="559764"/>
      </dsp:txXfrm>
    </dsp:sp>
    <dsp:sp modelId="{B7816423-604D-4ABC-8C13-9AC79C7E33F9}">
      <dsp:nvSpPr>
        <dsp:cNvPr id="0" name=""/>
        <dsp:cNvSpPr/>
      </dsp:nvSpPr>
      <dsp:spPr>
        <a:xfrm>
          <a:off x="1260619" y="435100"/>
          <a:ext cx="1399412" cy="559764"/>
        </a:xfrm>
        <a:prstGeom prst="chevron">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s-CO" sz="1100" kern="1200"/>
            <a:t>Adquisición de productos</a:t>
          </a:r>
        </a:p>
      </dsp:txBody>
      <dsp:txXfrm>
        <a:off x="1540501" y="435100"/>
        <a:ext cx="839648" cy="559764"/>
      </dsp:txXfrm>
    </dsp:sp>
    <dsp:sp modelId="{15E4A234-EF9F-47CB-A4E5-2436524A63B2}">
      <dsp:nvSpPr>
        <dsp:cNvPr id="0" name=""/>
        <dsp:cNvSpPr/>
      </dsp:nvSpPr>
      <dsp:spPr>
        <a:xfrm>
          <a:off x="2520090" y="435100"/>
          <a:ext cx="1399412" cy="559764"/>
        </a:xfrm>
        <a:prstGeom prst="chevron">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s-CO" sz="1100" kern="1200"/>
            <a:t>Realización de operaciones</a:t>
          </a:r>
        </a:p>
      </dsp:txBody>
      <dsp:txXfrm>
        <a:off x="2799972" y="435100"/>
        <a:ext cx="839648" cy="55976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E2A7DD-3982-4C39-8A56-AA1678A99574}">
      <dsp:nvSpPr>
        <dsp:cNvPr id="0" name=""/>
        <dsp:cNvSpPr/>
      </dsp:nvSpPr>
      <dsp:spPr>
        <a:xfrm>
          <a:off x="0" y="247599"/>
          <a:ext cx="1504747" cy="90284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Movimientos inusuales</a:t>
          </a:r>
        </a:p>
      </dsp:txBody>
      <dsp:txXfrm>
        <a:off x="0" y="247599"/>
        <a:ext cx="1504747" cy="902848"/>
      </dsp:txXfrm>
    </dsp:sp>
    <dsp:sp modelId="{B236937D-6434-4A0B-8A19-F8CE24D77E33}">
      <dsp:nvSpPr>
        <dsp:cNvPr id="0" name=""/>
        <dsp:cNvSpPr/>
      </dsp:nvSpPr>
      <dsp:spPr>
        <a:xfrm>
          <a:off x="1655221" y="247599"/>
          <a:ext cx="1504747" cy="902848"/>
        </a:xfrm>
        <a:prstGeom prst="rect">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Operaciones sospechosas</a:t>
          </a:r>
        </a:p>
      </dsp:txBody>
      <dsp:txXfrm>
        <a:off x="1655221" y="247599"/>
        <a:ext cx="1504747" cy="902848"/>
      </dsp:txXfrm>
    </dsp:sp>
    <dsp:sp modelId="{3268D7AC-F07C-4102-A65B-779DE3620B34}">
      <dsp:nvSpPr>
        <dsp:cNvPr id="0" name=""/>
        <dsp:cNvSpPr/>
      </dsp:nvSpPr>
      <dsp:spPr>
        <a:xfrm>
          <a:off x="3310443" y="247599"/>
          <a:ext cx="1504747" cy="902848"/>
        </a:xfrm>
        <a:prstGeom prst="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Riesgos financieros</a:t>
          </a:r>
        </a:p>
      </dsp:txBody>
      <dsp:txXfrm>
        <a:off x="3310443" y="247599"/>
        <a:ext cx="1504747" cy="902848"/>
      </dsp:txXfrm>
    </dsp:sp>
    <dsp:sp modelId="{4A9C1FF7-7C5F-42A8-8D02-8FA3CC39C741}">
      <dsp:nvSpPr>
        <dsp:cNvPr id="0" name=""/>
        <dsp:cNvSpPr/>
      </dsp:nvSpPr>
      <dsp:spPr>
        <a:xfrm>
          <a:off x="827610" y="1300922"/>
          <a:ext cx="1504747" cy="902848"/>
        </a:xfrm>
        <a:prstGeom prst="rect">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Lavado de activos</a:t>
          </a:r>
        </a:p>
      </dsp:txBody>
      <dsp:txXfrm>
        <a:off x="827610" y="1300922"/>
        <a:ext cx="1504747" cy="902848"/>
      </dsp:txXfrm>
    </dsp:sp>
    <dsp:sp modelId="{C182DEEC-DD1A-4710-84CF-324AE3B54A72}">
      <dsp:nvSpPr>
        <dsp:cNvPr id="0" name=""/>
        <dsp:cNvSpPr/>
      </dsp:nvSpPr>
      <dsp:spPr>
        <a:xfrm>
          <a:off x="2482832" y="1300922"/>
          <a:ext cx="1504747" cy="902848"/>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Financición del terrorismo</a:t>
          </a:r>
        </a:p>
      </dsp:txBody>
      <dsp:txXfrm>
        <a:off x="2482832" y="1300922"/>
        <a:ext cx="1504747" cy="90284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35128E-B741-42B8-B41D-EA86DB21470E}">
      <dsp:nvSpPr>
        <dsp:cNvPr id="0" name=""/>
        <dsp:cNvSpPr/>
      </dsp:nvSpPr>
      <dsp:spPr>
        <a:xfrm>
          <a:off x="289759" y="1135"/>
          <a:ext cx="1551881" cy="931129"/>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Penas privativas</a:t>
          </a:r>
        </a:p>
      </dsp:txBody>
      <dsp:txXfrm>
        <a:off x="289759" y="1135"/>
        <a:ext cx="1551881" cy="931129"/>
      </dsp:txXfrm>
    </dsp:sp>
    <dsp:sp modelId="{37D4ADAA-EBCF-48E1-8D91-6D9881098E80}">
      <dsp:nvSpPr>
        <dsp:cNvPr id="0" name=""/>
        <dsp:cNvSpPr/>
      </dsp:nvSpPr>
      <dsp:spPr>
        <a:xfrm>
          <a:off x="1996829" y="1135"/>
          <a:ext cx="1551881" cy="93112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Multas ecónomicas</a:t>
          </a:r>
        </a:p>
      </dsp:txBody>
      <dsp:txXfrm>
        <a:off x="1996829" y="1135"/>
        <a:ext cx="1551881" cy="931129"/>
      </dsp:txXfrm>
    </dsp:sp>
    <dsp:sp modelId="{D903B4F0-24A5-4049-B35F-E82136D1D2E5}">
      <dsp:nvSpPr>
        <dsp:cNvPr id="0" name=""/>
        <dsp:cNvSpPr/>
      </dsp:nvSpPr>
      <dsp:spPr>
        <a:xfrm>
          <a:off x="1143294" y="1087453"/>
          <a:ext cx="1551881" cy="93112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Medidas judiciales</a:t>
          </a:r>
        </a:p>
      </dsp:txBody>
      <dsp:txXfrm>
        <a:off x="1143294" y="1087453"/>
        <a:ext cx="1551881" cy="931129"/>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FAED7817-D56C-4906-BAAE-8DE4330304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43</Pages>
  <Words>16409</Words>
  <Characters>100753</Characters>
  <Application>Microsoft Office Word</Application>
  <DocSecurity>0</DocSecurity>
  <Lines>1737</Lines>
  <Paragraphs>751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116411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Gloria Alzate</cp:lastModifiedBy>
  <cp:revision>370</cp:revision>
  <cp:lastPrinted>2026-04-25T14:58:00Z</cp:lastPrinted>
  <dcterms:created xsi:type="dcterms:W3CDTF">2026-03-16T16:51:00Z</dcterms:created>
  <dcterms:modified xsi:type="dcterms:W3CDTF">2026-04-26T14:31:00Z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