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16B60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116B6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16B60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116B6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116B60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116B6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116B6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116B60" w:rsidRPr="00116B6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116B6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463B2F44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A03FE2" w:rsidRPr="005B08CD">
              <w:rPr>
                <w:rFonts w:eastAsia="Calibri"/>
                <w:b/>
                <w:bCs/>
                <w:color w:val="auto"/>
                <w:sz w:val="20"/>
                <w:szCs w:val="20"/>
              </w:rPr>
              <w:t>Contabilidad y normatividad financiera aplicada a la cartera</w:t>
            </w:r>
            <w:r w:rsidR="005B08CD">
              <w:rPr>
                <w:rFonts w:eastAsia="Calibri"/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116B6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116B60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072A4B" w:rsidRPr="00116B60" w14:paraId="749E10AF" w14:textId="77777777" w:rsidTr="00B10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072A4B" w:rsidRPr="00116B60" w:rsidRDefault="00072A4B" w:rsidP="00072A4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7D6881E6" w:rsidR="00072A4B" w:rsidRPr="005B08CD" w:rsidRDefault="00072A4B" w:rsidP="00072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61D1B">
              <w:rPr>
                <w:color w:val="000000" w:themeColor="text1"/>
                <w:sz w:val="20"/>
                <w:szCs w:val="20"/>
              </w:rPr>
              <w:t xml:space="preserve">Contabilidad y normatividad financiera: demuestra tu dominio en </w:t>
            </w:r>
            <w:r>
              <w:rPr>
                <w:color w:val="000000" w:themeColor="text1"/>
                <w:sz w:val="20"/>
                <w:szCs w:val="20"/>
              </w:rPr>
              <w:t xml:space="preserve">la </w:t>
            </w:r>
            <w:r w:rsidRPr="00A61D1B">
              <w:rPr>
                <w:color w:val="000000" w:themeColor="text1"/>
                <w:sz w:val="20"/>
                <w:szCs w:val="20"/>
              </w:rPr>
              <w:t>gestión de cartera.</w:t>
            </w:r>
          </w:p>
        </w:tc>
      </w:tr>
      <w:tr w:rsidR="00116B60" w:rsidRPr="00116B6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0E6DF28F" w:rsidR="005B08CD" w:rsidRPr="005B08CD" w:rsidRDefault="00072A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072A4B">
              <w:rPr>
                <w:color w:val="000000" w:themeColor="text1"/>
                <w:sz w:val="20"/>
                <w:szCs w:val="20"/>
                <w:lang w:val="es-CO"/>
              </w:rPr>
              <w:t>Evaluar el nivel de apropiación de los conceptos contables y normativos fundamentales para la gestión de cartera en el sistema financiero colombiano.</w:t>
            </w:r>
          </w:p>
        </w:tc>
      </w:tr>
      <w:tr w:rsidR="00116B60" w:rsidRPr="00116B60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16B60" w:rsidRDefault="00F70AE9" w:rsidP="00F70AE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116B60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16B60" w:rsidRPr="00116B60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16B60" w:rsidRDefault="006F219D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16B60" w:rsidRPr="00116B60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116B6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138DF321" w:rsidR="00C57B0F" w:rsidRPr="00AF1842" w:rsidRDefault="00C57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F184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fundamental de la contabilidad en las entidades financieras colombianas?</w:t>
            </w:r>
          </w:p>
        </w:tc>
        <w:tc>
          <w:tcPr>
            <w:tcW w:w="2160" w:type="dxa"/>
          </w:tcPr>
          <w:p w14:paraId="7F132666" w14:textId="6E5AF750" w:rsidR="00C57B0F" w:rsidRPr="00116B60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2A4B" w:rsidRPr="00116B60" w14:paraId="20634E81" w14:textId="77777777" w:rsidTr="00ED7C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072A4B" w:rsidRPr="00116B60" w:rsidRDefault="00072A4B" w:rsidP="00072A4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763DB98" w14:textId="7F13D8E3" w:rsidR="00072A4B" w:rsidRPr="00116B60" w:rsidRDefault="00072A4B" w:rsidP="00072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únicamente los ingresos por intereses generados por la cartera de créditos.</w:t>
            </w:r>
          </w:p>
        </w:tc>
        <w:tc>
          <w:tcPr>
            <w:tcW w:w="2160" w:type="dxa"/>
            <w:shd w:val="clear" w:color="auto" w:fill="FFFFFF"/>
          </w:tcPr>
          <w:p w14:paraId="4CEC4D6E" w14:textId="69AE1F8D" w:rsidR="00072A4B" w:rsidRPr="00116B60" w:rsidRDefault="00072A4B" w:rsidP="00072A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2A4B" w:rsidRPr="00116B60" w14:paraId="63B8C195" w14:textId="77777777" w:rsidTr="00ED7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072A4B" w:rsidRPr="00116B60" w:rsidRDefault="00072A4B" w:rsidP="00072A4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7D41D45" w14:textId="0CF905C3" w:rsidR="00072A4B" w:rsidRPr="00116B60" w:rsidRDefault="00072A4B" w:rsidP="00072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Registrar fielmente todas las transacciones económicas y generar información confiable para la toma de decisiones.</w:t>
            </w:r>
          </w:p>
        </w:tc>
        <w:tc>
          <w:tcPr>
            <w:tcW w:w="2160" w:type="dxa"/>
            <w:shd w:val="clear" w:color="auto" w:fill="FFFFFF"/>
          </w:tcPr>
          <w:p w14:paraId="0F73ACCC" w14:textId="09B60266" w:rsidR="00072A4B" w:rsidRPr="00B87B49" w:rsidRDefault="00072A4B" w:rsidP="00072A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87B49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072A4B" w:rsidRPr="00116B60" w14:paraId="5ABFE12C" w14:textId="77777777" w:rsidTr="00ED7C1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072A4B" w:rsidRPr="00116B60" w:rsidRDefault="00072A4B" w:rsidP="00072A4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B607DAE" w14:textId="7715ACA3" w:rsidR="00072A4B" w:rsidRPr="00116B60" w:rsidRDefault="00072A4B" w:rsidP="00072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Calcular el monto de los impuestos que debe pagar la entidad al final del período fiscal.</w:t>
            </w:r>
          </w:p>
        </w:tc>
        <w:tc>
          <w:tcPr>
            <w:tcW w:w="2160" w:type="dxa"/>
            <w:shd w:val="clear" w:color="auto" w:fill="FFFFFF"/>
          </w:tcPr>
          <w:p w14:paraId="7FC24437" w14:textId="634F7BAA" w:rsidR="00072A4B" w:rsidRPr="00116B60" w:rsidRDefault="00072A4B" w:rsidP="00072A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2A4B" w:rsidRPr="00116B60" w14:paraId="13C5F9AD" w14:textId="77777777" w:rsidTr="00ED7C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072A4B" w:rsidRPr="00116B60" w:rsidRDefault="00072A4B" w:rsidP="00072A4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E1208FC" w14:textId="56EF818E" w:rsidR="00072A4B" w:rsidRPr="00116B60" w:rsidRDefault="00072A4B" w:rsidP="00072A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Controlar el cumplimiento de los horarios del personal del área de cartera.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072A4B" w:rsidRPr="00116B60" w:rsidRDefault="00072A4B" w:rsidP="00072A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8B7D716" w:rsidR="00B71F16" w:rsidRPr="00B71F16" w:rsidRDefault="00B71F16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B71F16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 contabilidad registra fielmente todas las transacciones económicas para apoyar la toma de decisiones y el cumplimiento de las obligaciones de reporte ante la Superintendencia Financiera.</w:t>
            </w:r>
          </w:p>
        </w:tc>
      </w:tr>
      <w:tr w:rsidR="00116B60" w:rsidRPr="00116B6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116B60" w:rsidRDefault="00F436F5" w:rsidP="00F436F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5646D58" w:rsidR="00F436F5" w:rsidRPr="00AF1842" w:rsidRDefault="00F436F5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AF1842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plan contable deben aplicar obligatoriamente las entidades vigiladas por la Superintendencia Financiera de Colombia?</w:t>
            </w:r>
          </w:p>
        </w:tc>
      </w:tr>
      <w:tr w:rsidR="00116B60" w:rsidRPr="00116B6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67C4C8C7" w:rsidR="00E60A51" w:rsidRPr="00116B60" w:rsidRDefault="00E60A51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Las Normas Internacionales de Información Financiera (NIIF) estándar sin ninguna modificación.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71330EF7" w:rsidR="00E60A51" w:rsidRPr="00116B60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Plan Único de Cuentas para el sector real definido por la DIAN.</w:t>
            </w:r>
          </w:p>
        </w:tc>
        <w:tc>
          <w:tcPr>
            <w:tcW w:w="2160" w:type="dxa"/>
          </w:tcPr>
          <w:p w14:paraId="1D0925B8" w14:textId="77777777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9BD9F16" w:rsidR="00E60A51" w:rsidRPr="00AF1842" w:rsidRDefault="00AF1842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F1842">
              <w:rPr>
                <w:rFonts w:eastAsia="Calibri"/>
                <w:color w:val="auto"/>
                <w:sz w:val="20"/>
                <w:szCs w:val="20"/>
                <w:lang w:val="es-CO"/>
              </w:rPr>
              <w:t>El Plan Único de Cuentas para el Sistema Financiero (PUC), con las instrucciones técnicas de la Superintendencia Financiera.</w:t>
            </w:r>
          </w:p>
        </w:tc>
        <w:tc>
          <w:tcPr>
            <w:tcW w:w="2160" w:type="dxa"/>
            <w:shd w:val="clear" w:color="auto" w:fill="auto"/>
          </w:tcPr>
          <w:p w14:paraId="2173A4A8" w14:textId="4ED1FDAF" w:rsidR="00E60A51" w:rsidRPr="00116B60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116B60" w:rsidRDefault="00E60A51" w:rsidP="00E60A5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68FE0866" w:rsidR="00E60A51" w:rsidRPr="00116B60" w:rsidRDefault="00E60A51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plan contable que libremente defina cada entidad según sus necesidades operativas.</w:t>
            </w:r>
          </w:p>
        </w:tc>
        <w:tc>
          <w:tcPr>
            <w:tcW w:w="2160" w:type="dxa"/>
          </w:tcPr>
          <w:p w14:paraId="20A71059" w14:textId="52B24930" w:rsidR="00E60A51" w:rsidRPr="00116B60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46ED3EC2" w:rsidR="00AF1842" w:rsidRPr="00AF1842" w:rsidRDefault="00AF1842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F184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Las entidades vigiladas aplican el PUC para el Sistema Financiero, conforme a las instrucciones técnicas de la Circular Básica Contable y Financiera de la Superintendencia Financiera.</w:t>
            </w:r>
          </w:p>
        </w:tc>
      </w:tr>
      <w:tr w:rsidR="00116B60" w:rsidRPr="00116B6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4CD3375" w:rsidR="00B65D10" w:rsidRPr="00116B60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4432C02" w:rsidR="00B65D10" w:rsidRPr="005B4E3A" w:rsidRDefault="005B4E3A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principio contable obliga a las entidades financieras a reconocer las pérdidas potenciales de la cartera mediante provisiones, antes de que se materialicen?</w:t>
            </w:r>
          </w:p>
        </w:tc>
      </w:tr>
      <w:tr w:rsidR="00116B60" w:rsidRPr="00116B6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7EF4BFE" w:rsidR="00B65D10" w:rsidRPr="00B73645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73645">
              <w:rPr>
                <w:rFonts w:eastAsia="Calibri"/>
                <w:color w:val="auto"/>
                <w:sz w:val="20"/>
                <w:szCs w:val="20"/>
              </w:rPr>
              <w:t>Principio de realización.</w:t>
            </w:r>
          </w:p>
        </w:tc>
        <w:tc>
          <w:tcPr>
            <w:tcW w:w="2160" w:type="dxa"/>
          </w:tcPr>
          <w:p w14:paraId="2DEA1E69" w14:textId="74952B7C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72430F2F" w:rsidR="00B65D10" w:rsidRPr="00A57072" w:rsidRDefault="00B65D10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color w:val="auto"/>
                <w:sz w:val="20"/>
                <w:szCs w:val="20"/>
              </w:rPr>
              <w:t>Principio de prudencia o conservadurismo.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7777777" w:rsidR="00B65D10" w:rsidRPr="00B73645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73645">
              <w:rPr>
                <w:rFonts w:eastAsia="Calibri"/>
                <w:color w:val="auto"/>
                <w:sz w:val="20"/>
                <w:szCs w:val="20"/>
              </w:rPr>
              <w:t>Principio de revelación suficiente.</w:t>
            </w:r>
          </w:p>
        </w:tc>
        <w:tc>
          <w:tcPr>
            <w:tcW w:w="2160" w:type="dxa"/>
          </w:tcPr>
          <w:p w14:paraId="2B39C562" w14:textId="77777777" w:rsidR="00B65D10" w:rsidRPr="00116B60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201A114" w:rsidR="00B65D10" w:rsidRPr="00B73645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73645">
              <w:rPr>
                <w:rFonts w:eastAsia="Calibri"/>
                <w:color w:val="auto"/>
                <w:sz w:val="20"/>
                <w:szCs w:val="20"/>
              </w:rPr>
              <w:t>Principio de continuidad del negocio.</w:t>
            </w:r>
          </w:p>
        </w:tc>
        <w:tc>
          <w:tcPr>
            <w:tcW w:w="2160" w:type="dxa"/>
            <w:shd w:val="clear" w:color="auto" w:fill="auto"/>
          </w:tcPr>
          <w:p w14:paraId="60456E1B" w14:textId="77777777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16B60" w:rsidRPr="00116B6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B65D10" w:rsidRPr="005B4E3A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2834FE6C" w:rsidR="00B65D10" w:rsidRPr="005B4E3A" w:rsidRDefault="005B4E3A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principio de prudencia exige reconocer las pérdidas en el momento en que se identifican, sin esperar a que se materialicen. Este principio fundamenta el sistema de provisiones de la cartera.</w:t>
            </w:r>
          </w:p>
        </w:tc>
      </w:tr>
      <w:tr w:rsidR="00116B60" w:rsidRPr="00116B6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B65D10" w:rsidRPr="005B4E3A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F1FB568" w:rsidR="00B65D10" w:rsidRPr="005B4E3A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B65D10" w:rsidRPr="005B4E3A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1AA7BF5" w:rsidR="00B65D10" w:rsidRPr="005B4E3A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B4E3A">
              <w:rPr>
                <w:rFonts w:eastAsia="Calibri"/>
                <w:color w:val="auto"/>
                <w:sz w:val="20"/>
                <w:szCs w:val="20"/>
              </w:rPr>
              <w:t>En el balance general de una entidad financiera, ¿cómo se presenta el valor neto de la cartera de créditos?</w:t>
            </w:r>
          </w:p>
        </w:tc>
      </w:tr>
      <w:tr w:rsidR="00116B60" w:rsidRPr="00116B6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B65D10" w:rsidRPr="00A57072" w:rsidRDefault="00B65D10" w:rsidP="00B65D10">
            <w:pPr>
              <w:rPr>
                <w:rFonts w:eastAsia="Calibri"/>
                <w:b w:val="0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 w:val="0"/>
                <w:bCs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76257CD8" w:rsidR="00B65D10" w:rsidRPr="00A5707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Cs/>
                <w:color w:val="auto"/>
                <w:sz w:val="20"/>
                <w:szCs w:val="20"/>
              </w:rPr>
              <w:t>Al valor bruto de todos los créditos otorgados sin ningún descuento.</w:t>
            </w:r>
          </w:p>
        </w:tc>
        <w:tc>
          <w:tcPr>
            <w:tcW w:w="2160" w:type="dxa"/>
            <w:shd w:val="clear" w:color="auto" w:fill="FFFFFF"/>
          </w:tcPr>
          <w:p w14:paraId="67A2608D" w14:textId="2B6FABFB" w:rsidR="00B65D10" w:rsidRPr="005B4E3A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16B60" w:rsidRPr="00116B6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B65D10" w:rsidRPr="00A57072" w:rsidRDefault="00B65D10" w:rsidP="00B65D10">
            <w:pPr>
              <w:rPr>
                <w:rFonts w:eastAsia="Calibri"/>
                <w:b w:val="0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 w:val="0"/>
                <w:bCs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733614F" w:rsidR="00B65D10" w:rsidRPr="00A5707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Cs/>
                <w:color w:val="auto"/>
                <w:sz w:val="20"/>
                <w:szCs w:val="20"/>
              </w:rPr>
              <w:t>Al saldo bruto de cartera menos la provisión acumulada constituida.</w:t>
            </w:r>
          </w:p>
        </w:tc>
        <w:tc>
          <w:tcPr>
            <w:tcW w:w="2160" w:type="dxa"/>
            <w:shd w:val="clear" w:color="auto" w:fill="FFFFFF"/>
          </w:tcPr>
          <w:p w14:paraId="4363353C" w14:textId="06B1453C" w:rsidR="00B65D10" w:rsidRPr="00A57072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B65D10" w:rsidRPr="00A57072" w:rsidRDefault="00B65D10" w:rsidP="00B65D10">
            <w:pPr>
              <w:rPr>
                <w:rFonts w:eastAsia="Calibri"/>
                <w:b w:val="0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 w:val="0"/>
                <w:bCs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77777777" w:rsidR="00B65D10" w:rsidRPr="00A57072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Cs/>
                <w:color w:val="auto"/>
                <w:sz w:val="20"/>
                <w:szCs w:val="20"/>
              </w:rPr>
              <w:t>Al valor de mercado de los créditos según la cotización del sistema financiero.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B65D10" w:rsidRPr="005B4E3A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16B60" w:rsidRPr="00116B6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B65D10" w:rsidRPr="00A57072" w:rsidRDefault="00B65D10" w:rsidP="00B65D10">
            <w:pPr>
              <w:rPr>
                <w:rFonts w:eastAsia="Calibri"/>
                <w:b w:val="0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 w:val="0"/>
                <w:bCs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77777777" w:rsidR="00B65D10" w:rsidRPr="00A57072" w:rsidRDefault="00B65D10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Cs/>
                <w:color w:val="auto"/>
                <w:sz w:val="20"/>
                <w:szCs w:val="20"/>
              </w:rPr>
              <w:t>Al valor presente de los flujos futuros esperados descontados a tasa libre de riesgo.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B65D10" w:rsidRPr="005B4E3A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16B60" w:rsidRPr="00116B6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B65D10" w:rsidRPr="00A5707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03E9CF8" w:rsidR="00B65D10" w:rsidRPr="00A57072" w:rsidRDefault="00A57072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cartera se presenta en el balance por su valor neto: saldo bruto menos provisión acumulada constituida.</w:t>
            </w:r>
          </w:p>
        </w:tc>
      </w:tr>
      <w:tr w:rsidR="00116B60" w:rsidRPr="00116B6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B65D10" w:rsidRPr="00A57072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01D5DA10" w:rsidR="00B65D10" w:rsidRPr="00A57072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57072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B65D10" w:rsidRPr="00183D9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54849E4" w:rsidR="00B65D10" w:rsidRPr="00183D9F" w:rsidRDefault="00183D9F" w:rsidP="000F53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efecto produce el incremento del gasto por provisiones sobre el estado de resultados de una entidad financiera?</w:t>
            </w:r>
          </w:p>
        </w:tc>
      </w:tr>
      <w:tr w:rsidR="00116B60" w:rsidRPr="00116B6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41F17E91" w:rsidR="00B65D10" w:rsidRPr="00183D9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color w:val="auto"/>
                <w:sz w:val="20"/>
                <w:szCs w:val="20"/>
              </w:rPr>
              <w:t>Aumenta la utilidad neta del período al reducir el riesgo de cartera.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B65D10" w:rsidRPr="005B4E3A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16B60" w:rsidRPr="00116B6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8CC2856" w:rsidR="00B65D10" w:rsidRPr="00183D9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color w:val="auto"/>
                <w:sz w:val="20"/>
                <w:szCs w:val="20"/>
              </w:rPr>
              <w:t>No tiene ningún efecto sobre el estado de resultados, solo afecta el balance.</w:t>
            </w:r>
          </w:p>
        </w:tc>
        <w:tc>
          <w:tcPr>
            <w:tcW w:w="2160" w:type="dxa"/>
            <w:shd w:val="clear" w:color="auto" w:fill="FFFFFF"/>
          </w:tcPr>
          <w:p w14:paraId="6CAA8A0E" w14:textId="59B9CF02" w:rsidR="00B65D10" w:rsidRPr="005B4E3A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16B60" w:rsidRPr="00116B6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77777777" w:rsidR="00B65D10" w:rsidRPr="00183D9F" w:rsidRDefault="00B65D10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color w:val="auto"/>
                <w:sz w:val="20"/>
                <w:szCs w:val="20"/>
              </w:rPr>
              <w:t>Reduce directamente la utilidad antes de impuestos del período.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B65D10" w:rsidRPr="00B87B49" w:rsidRDefault="00B65D10" w:rsidP="00B65D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EE0000"/>
                <w:sz w:val="20"/>
                <w:szCs w:val="20"/>
              </w:rPr>
            </w:pPr>
            <w:r w:rsidRPr="00B87B49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116B60" w:rsidRPr="00116B6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7777777" w:rsidR="00B65D10" w:rsidRPr="00183D9F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color w:val="auto"/>
                <w:sz w:val="20"/>
                <w:szCs w:val="20"/>
              </w:rPr>
              <w:t>Incrementa los ingresos operacionales por el mayor nivel de protección del activo.</w:t>
            </w:r>
          </w:p>
        </w:tc>
        <w:tc>
          <w:tcPr>
            <w:tcW w:w="2160" w:type="dxa"/>
            <w:shd w:val="clear" w:color="auto" w:fill="FFFFFF"/>
          </w:tcPr>
          <w:p w14:paraId="7B160C08" w14:textId="3C3BFB29" w:rsidR="00B65D10" w:rsidRPr="005B4E3A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16B60" w:rsidRPr="00116B6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B65D10" w:rsidRPr="00183D9F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1EB781D" w:rsidR="00B65D10" w:rsidRPr="00183D9F" w:rsidRDefault="00183D9F" w:rsidP="00B65D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83D9F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gasto por provisiones reduce directamente la utilidad antes de impuestos. Por eso el deterioro de la cartera tiene un doble efecto negativo: menos ingresos reconocibles y más gastos.</w:t>
            </w:r>
          </w:p>
        </w:tc>
      </w:tr>
      <w:tr w:rsidR="00116B60" w:rsidRPr="00116B6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1346BC" w:rsidR="00B65D10" w:rsidRPr="00116B60" w:rsidRDefault="00B65D10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  <w:r w:rsidR="001304F1">
              <w:rPr>
                <w:rFonts w:eastAsia="Calibri"/>
                <w:color w:val="auto"/>
                <w:sz w:val="20"/>
                <w:szCs w:val="20"/>
              </w:rPr>
              <w:t xml:space="preserve">  </w:t>
            </w:r>
          </w:p>
        </w:tc>
      </w:tr>
      <w:tr w:rsidR="00116B60" w:rsidRPr="00116B6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094B4E9" w:rsidR="00B65D10" w:rsidRPr="007012C9" w:rsidRDefault="007012C9" w:rsidP="000F5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012C9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la modalidad de amortización de crédito en la que la cuota tiene el mismo valor total durante toda la vigencia del crédito?</w:t>
            </w:r>
          </w:p>
        </w:tc>
      </w:tr>
      <w:tr w:rsidR="00116B60" w:rsidRPr="00116B6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B65D10" w:rsidRPr="00116B60" w:rsidRDefault="00B65D10" w:rsidP="00B65D1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728AE2B8" w:rsidR="00B65D10" w:rsidRPr="00116B60" w:rsidRDefault="001304F1" w:rsidP="00B65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7012C9">
              <w:rPr>
                <w:rFonts w:eastAsia="Calibri"/>
                <w:i/>
                <w:iCs/>
                <w:color w:val="auto"/>
                <w:sz w:val="20"/>
                <w:szCs w:val="20"/>
              </w:rPr>
              <w:t>Bullet</w:t>
            </w:r>
            <w:proofErr w:type="spellEnd"/>
            <w:r w:rsidRPr="007012C9">
              <w:rPr>
                <w:rFonts w:eastAsia="Calibri"/>
                <w:i/>
                <w:i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/>
                <w:color w:val="auto"/>
                <w:sz w:val="20"/>
                <w:szCs w:val="20"/>
              </w:rPr>
              <w:t>o pago único al vencimiento.</w:t>
            </w:r>
          </w:p>
        </w:tc>
        <w:tc>
          <w:tcPr>
            <w:tcW w:w="2160" w:type="dxa"/>
            <w:shd w:val="clear" w:color="auto" w:fill="FFFFFF"/>
          </w:tcPr>
          <w:p w14:paraId="7144C3D7" w14:textId="62E47C8C" w:rsidR="00B65D10" w:rsidRPr="00116B60" w:rsidRDefault="00B65D10" w:rsidP="00B65D1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304F1" w:rsidRPr="00116B6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1304F1" w:rsidRPr="00116B60" w:rsidRDefault="001304F1" w:rsidP="001304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7D4EC80" w:rsidR="001304F1" w:rsidRPr="007012C9" w:rsidRDefault="001304F1" w:rsidP="00130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012C9">
              <w:rPr>
                <w:rFonts w:eastAsia="Calibri"/>
                <w:color w:val="auto"/>
                <w:sz w:val="20"/>
                <w:szCs w:val="20"/>
              </w:rPr>
              <w:t>Cuota fija o sistema francés.</w:t>
            </w:r>
          </w:p>
        </w:tc>
        <w:tc>
          <w:tcPr>
            <w:tcW w:w="2160" w:type="dxa"/>
            <w:shd w:val="clear" w:color="auto" w:fill="FFFFFF"/>
          </w:tcPr>
          <w:p w14:paraId="14B5DA92" w14:textId="5DE95FDF" w:rsidR="001304F1" w:rsidRPr="00B87B49" w:rsidRDefault="00183D9F" w:rsidP="001304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87B49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1304F1" w:rsidRPr="00116B6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1304F1" w:rsidRPr="00116B60" w:rsidRDefault="001304F1" w:rsidP="001304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A1D3DA7" w:rsidR="001304F1" w:rsidRPr="007012C9" w:rsidRDefault="001304F1" w:rsidP="00130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012C9">
              <w:rPr>
                <w:rFonts w:eastAsia="Calibri"/>
                <w:color w:val="auto"/>
                <w:sz w:val="20"/>
                <w:szCs w:val="20"/>
              </w:rPr>
              <w:t>Amortización irregular o flexible.</w:t>
            </w:r>
          </w:p>
        </w:tc>
        <w:tc>
          <w:tcPr>
            <w:tcW w:w="2160" w:type="dxa"/>
            <w:shd w:val="clear" w:color="auto" w:fill="FFFFFF"/>
          </w:tcPr>
          <w:p w14:paraId="12384884" w14:textId="50FB02F5" w:rsidR="001304F1" w:rsidRPr="00116B60" w:rsidRDefault="001304F1" w:rsidP="001304F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304F1" w:rsidRPr="00116B6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1304F1" w:rsidRPr="00116B60" w:rsidRDefault="001304F1" w:rsidP="001304F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090A09D6" w:rsidR="001304F1" w:rsidRPr="00116B60" w:rsidRDefault="001304F1" w:rsidP="001304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Cuota variable o capital fijo.</w:t>
            </w:r>
          </w:p>
        </w:tc>
        <w:tc>
          <w:tcPr>
            <w:tcW w:w="2160" w:type="dxa"/>
            <w:shd w:val="clear" w:color="auto" w:fill="FFFFFF"/>
          </w:tcPr>
          <w:p w14:paraId="0F224258" w14:textId="13DCC588" w:rsidR="001304F1" w:rsidRPr="00116B60" w:rsidRDefault="001304F1" w:rsidP="001304F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1EEB5212" w14:textId="77777777" w:rsidTr="001761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32BB5D3" w14:textId="748180A6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¡Correcto! En el sistema francés la cuota es constante durante toda la vigencia</w:t>
            </w:r>
            <w:r w:rsidR="00F07FFD">
              <w:rPr>
                <w:color w:val="000000"/>
                <w:sz w:val="20"/>
                <w:szCs w:val="20"/>
              </w:rPr>
              <w:t xml:space="preserve">, </w:t>
            </w:r>
            <w:r>
              <w:rPr>
                <w:color w:val="000000"/>
                <w:sz w:val="20"/>
                <w:szCs w:val="20"/>
              </w:rPr>
              <w:t>al inicio predominan los intereses y hacia el final el abono a capital.</w:t>
            </w:r>
          </w:p>
        </w:tc>
      </w:tr>
      <w:tr w:rsidR="007012C9" w:rsidRPr="00116B6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390B49E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012C9" w:rsidRPr="00116B6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2D5BD0AB" w:rsidR="007012C9" w:rsidRPr="00F07FFD" w:rsidRDefault="00F07FFD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07FFD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norma colombiana regula específicamente los créditos hipotecarios para financiación de vivienda y establece condiciones diferenciales para su gestión?</w:t>
            </w:r>
          </w:p>
        </w:tc>
      </w:tr>
      <w:tr w:rsidR="007012C9" w:rsidRPr="00116B6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353D4399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Decreto 663 de 1993.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7012C9" w:rsidRPr="00116B60" w:rsidRDefault="007012C9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A5722B3" w:rsidR="007012C9" w:rsidRPr="00B02274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02274">
              <w:rPr>
                <w:rFonts w:eastAsia="Calibri"/>
                <w:color w:val="auto"/>
                <w:sz w:val="20"/>
                <w:szCs w:val="20"/>
              </w:rPr>
              <w:t>Ley 546 de 1999.</w:t>
            </w:r>
          </w:p>
        </w:tc>
        <w:tc>
          <w:tcPr>
            <w:tcW w:w="2160" w:type="dxa"/>
            <w:shd w:val="clear" w:color="auto" w:fill="FFFFFF"/>
          </w:tcPr>
          <w:p w14:paraId="67FEF3BA" w14:textId="3E8265A5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012C9" w:rsidRPr="00116B6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38D8F8B7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Circular </w:t>
            </w:r>
            <w:r w:rsidR="00B02274">
              <w:rPr>
                <w:rFonts w:eastAsia="Calibri"/>
                <w:color w:val="auto"/>
                <w:sz w:val="20"/>
                <w:szCs w:val="20"/>
              </w:rPr>
              <w:t>b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ásica </w:t>
            </w:r>
            <w:r w:rsidR="00B02274">
              <w:rPr>
                <w:rFonts w:eastAsia="Calibri"/>
                <w:color w:val="auto"/>
                <w:sz w:val="20"/>
                <w:szCs w:val="20"/>
              </w:rPr>
              <w:t>c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ontable y </w:t>
            </w:r>
            <w:r w:rsidR="00B02274">
              <w:rPr>
                <w:rFonts w:eastAsia="Calibri"/>
                <w:color w:val="auto"/>
                <w:sz w:val="20"/>
                <w:szCs w:val="20"/>
              </w:rPr>
              <w:t>f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inanciera de la SFC. </w:t>
            </w:r>
          </w:p>
        </w:tc>
        <w:tc>
          <w:tcPr>
            <w:tcW w:w="2160" w:type="dxa"/>
            <w:shd w:val="clear" w:color="auto" w:fill="FFFFFF"/>
          </w:tcPr>
          <w:p w14:paraId="7F26B264" w14:textId="1B7D4932" w:rsidR="007012C9" w:rsidRPr="00116B60" w:rsidRDefault="007012C9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50411DA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Ley 1328 de 2009.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38067FF" w:rsidR="007012C9" w:rsidRPr="00116B60" w:rsidRDefault="00B02274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B02274">
              <w:rPr>
                <w:rFonts w:eastAsia="Calibri"/>
                <w:bCs/>
                <w:color w:val="auto"/>
                <w:sz w:val="20"/>
                <w:szCs w:val="20"/>
              </w:rPr>
              <w:t>¡Correcto! La Ley 546 de 1999 regula los créditos hipotecarios de vivienda y establece condiciones especiales en tasas, plazos y garantías para este segmento.</w:t>
            </w:r>
          </w:p>
        </w:tc>
      </w:tr>
      <w:tr w:rsidR="007012C9" w:rsidRPr="00116B6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7186C26F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7012C9" w:rsidRPr="00116B6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0D72E3" w14:textId="2224C600" w:rsidR="007012C9" w:rsidRDefault="00C140C0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C140C0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es la tasa de usura y qué entidad la certifica en Colombia?</w:t>
            </w:r>
          </w:p>
          <w:p w14:paraId="08018C5E" w14:textId="306DB79D" w:rsidR="00C140C0" w:rsidRPr="00C140C0" w:rsidRDefault="00C140C0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7012C9" w:rsidRPr="00116B6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2D14FAD" w:rsidR="007012C9" w:rsidRPr="00E20119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20119">
              <w:rPr>
                <w:rFonts w:eastAsia="Calibri"/>
                <w:color w:val="auto"/>
                <w:sz w:val="20"/>
                <w:szCs w:val="20"/>
              </w:rPr>
              <w:t>Es el límite máximo legal para el cobro de intereses; la certifica trimestralmente la Superintendencia Financiera de Colombia.</w:t>
            </w:r>
          </w:p>
        </w:tc>
        <w:tc>
          <w:tcPr>
            <w:tcW w:w="2160" w:type="dxa"/>
            <w:shd w:val="clear" w:color="auto" w:fill="FFFFFF"/>
          </w:tcPr>
          <w:p w14:paraId="3D3D3203" w14:textId="5C94C339" w:rsidR="007012C9" w:rsidRPr="00B87B49" w:rsidRDefault="00E2011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87B49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012C9" w:rsidRPr="00116B6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2B131634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Es la tasa de interés promedio del sistema financiero; la certifica mensualmente el DANE.</w:t>
            </w:r>
          </w:p>
        </w:tc>
        <w:tc>
          <w:tcPr>
            <w:tcW w:w="2160" w:type="dxa"/>
            <w:shd w:val="clear" w:color="auto" w:fill="FFFFFF"/>
          </w:tcPr>
          <w:p w14:paraId="51A6F50B" w14:textId="1558E3BF" w:rsidR="007012C9" w:rsidRPr="00116B60" w:rsidRDefault="007012C9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967E458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Es la tasa de interés mínima que deben cobrar las entidades financieras; la fija el Banco de la República.</w:t>
            </w:r>
          </w:p>
        </w:tc>
        <w:tc>
          <w:tcPr>
            <w:tcW w:w="2160" w:type="dxa"/>
            <w:shd w:val="clear" w:color="auto" w:fill="FFFFFF"/>
          </w:tcPr>
          <w:p w14:paraId="3B5915C7" w14:textId="0687F20A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8FA3D43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Es la tasa de interés que el Banco de la República cobra a los bancos comerciales; la certifica el Ministerio de Hacienda.</w:t>
            </w:r>
          </w:p>
        </w:tc>
        <w:tc>
          <w:tcPr>
            <w:tcW w:w="2160" w:type="dxa"/>
            <w:shd w:val="clear" w:color="auto" w:fill="FFFFFF"/>
          </w:tcPr>
          <w:p w14:paraId="41107FE9" w14:textId="22E67757" w:rsidR="007012C9" w:rsidRPr="00116B60" w:rsidRDefault="007012C9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FDD1A64" w:rsidR="00E20119" w:rsidRPr="00116B60" w:rsidRDefault="00E2011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E20119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tasa de usura es el límite máximo legal para el cobro de intereses. Superarla constituye el delito de usura, con consecuencias penales y administrativas.</w:t>
            </w:r>
          </w:p>
        </w:tc>
      </w:tr>
      <w:tr w:rsidR="007012C9" w:rsidRPr="00116B6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562574C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7012C9" w:rsidRPr="00116B6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EB8AB44" w14:textId="78BBBA06" w:rsidR="007012C9" w:rsidRPr="00B87B49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 w:rsidRPr="00B87B49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documento normativo de la Superintendencia Financiera que regula la clasificación, calificación y provisionamiento de la cartera de créditos?</w:t>
            </w:r>
          </w:p>
          <w:p w14:paraId="71B24040" w14:textId="2EC1EA38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</w:p>
        </w:tc>
      </w:tr>
      <w:tr w:rsidR="007012C9" w:rsidRPr="00116B6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2EFCFDF" w:rsidR="007012C9" w:rsidRPr="003B621E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B621E">
              <w:rPr>
                <w:rFonts w:eastAsia="Calibri"/>
                <w:color w:val="auto"/>
                <w:sz w:val="20"/>
                <w:szCs w:val="20"/>
              </w:rPr>
              <w:t xml:space="preserve">La Circular Básica Contable y Financiera (CBCF), especialmente </w:t>
            </w:r>
            <w:r w:rsidR="003B621E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3B621E">
              <w:rPr>
                <w:rFonts w:eastAsia="Calibri"/>
                <w:color w:val="auto"/>
                <w:sz w:val="20"/>
                <w:szCs w:val="20"/>
              </w:rPr>
              <w:t>Capítulo II.</w:t>
            </w:r>
          </w:p>
        </w:tc>
        <w:tc>
          <w:tcPr>
            <w:tcW w:w="2160" w:type="dxa"/>
            <w:shd w:val="clear" w:color="auto" w:fill="FFFFFF"/>
          </w:tcPr>
          <w:p w14:paraId="047B674B" w14:textId="4DFA777B" w:rsidR="007012C9" w:rsidRPr="007C4816" w:rsidRDefault="007C4816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C4816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012C9" w:rsidRPr="00116B6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285D2BDF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El Estatuto Orgánico del Sistema Financiero (Decreto 663 de 1993).</w:t>
            </w:r>
          </w:p>
        </w:tc>
        <w:tc>
          <w:tcPr>
            <w:tcW w:w="2160" w:type="dxa"/>
            <w:shd w:val="clear" w:color="auto" w:fill="FFFFFF"/>
          </w:tcPr>
          <w:p w14:paraId="7307B3E7" w14:textId="7F27F3B4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E7D11EE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La Ley 1328 de 2009 o Estatuto del Consumidor Financiero.</w:t>
            </w:r>
          </w:p>
        </w:tc>
        <w:tc>
          <w:tcPr>
            <w:tcW w:w="2160" w:type="dxa"/>
            <w:shd w:val="clear" w:color="auto" w:fill="FFFFFF"/>
          </w:tcPr>
          <w:p w14:paraId="577228B3" w14:textId="32A2266D" w:rsidR="007012C9" w:rsidRPr="00116B60" w:rsidRDefault="007012C9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1533AF76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La Ley 795 de 2003 sobre ajustes al sistema financiero.</w:t>
            </w:r>
          </w:p>
        </w:tc>
        <w:tc>
          <w:tcPr>
            <w:tcW w:w="2160" w:type="dxa"/>
            <w:shd w:val="clear" w:color="auto" w:fill="FFFFFF"/>
          </w:tcPr>
          <w:p w14:paraId="5921DDBC" w14:textId="173F1337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4D578C25" w:rsidR="007012C9" w:rsidRPr="00116B60" w:rsidRDefault="003B621E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B621E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El Capítulo II de la CBCF establece las categorías de riesgo A </w:t>
            </w:r>
            <w:proofErr w:type="spellStart"/>
            <w:r w:rsidRPr="003B621E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a</w:t>
            </w:r>
            <w:proofErr w:type="spellEnd"/>
            <w:r w:rsidRPr="003B621E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E, los porcentajes de provisión individual y las reglas de clasificación y reclasificación de la cartera.</w:t>
            </w:r>
          </w:p>
        </w:tc>
      </w:tr>
      <w:tr w:rsidR="007012C9" w:rsidRPr="00116B6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368A6518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  <w:r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7012C9" w:rsidRPr="00116B6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C25E317" w:rsidR="007012C9" w:rsidRPr="007C4816" w:rsidRDefault="007C4816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C4816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¿Cuáles son los componentes fundamentales que debe tener el Sistema de Administración del Riesgo Crediticio (SARC) según la Superintendencia Financiera de Colombia?</w:t>
            </w:r>
          </w:p>
        </w:tc>
      </w:tr>
      <w:tr w:rsidR="007012C9" w:rsidRPr="00116B6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0F69C5E1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Los reportes mensuales de cartera que se envían a la Superintendencia Financiera.</w:t>
            </w:r>
          </w:p>
        </w:tc>
        <w:tc>
          <w:tcPr>
            <w:tcW w:w="2160" w:type="dxa"/>
            <w:shd w:val="clear" w:color="auto" w:fill="FFFFFF"/>
          </w:tcPr>
          <w:p w14:paraId="719B547A" w14:textId="2D665B12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6413158" w:rsidR="007012C9" w:rsidRPr="007C4816" w:rsidRDefault="007C4816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C4816">
              <w:rPr>
                <w:rFonts w:eastAsia="Calibri"/>
                <w:color w:val="auto"/>
                <w:sz w:val="20"/>
                <w:szCs w:val="20"/>
                <w:lang w:val="es-CO"/>
              </w:rPr>
              <w:t>Políticas, procesos, modelos de calificación y sistemas de control interno.</w:t>
            </w:r>
          </w:p>
        </w:tc>
        <w:tc>
          <w:tcPr>
            <w:tcW w:w="2160" w:type="dxa"/>
            <w:shd w:val="clear" w:color="auto" w:fill="FFFFFF"/>
          </w:tcPr>
          <w:p w14:paraId="798FCBA2" w14:textId="06BF51BA" w:rsidR="007012C9" w:rsidRPr="007C4816" w:rsidRDefault="007C4816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C4816">
              <w:rPr>
                <w:rFonts w:eastAsia="Calibri"/>
                <w:b/>
                <w:bCs/>
                <w:color w:val="auto"/>
                <w:sz w:val="20"/>
                <w:szCs w:val="20"/>
              </w:rPr>
              <w:t>X</w:t>
            </w:r>
          </w:p>
        </w:tc>
      </w:tr>
      <w:tr w:rsidR="007012C9" w:rsidRPr="00116B6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9D0DCF3" w:rsidR="007012C9" w:rsidRPr="00116B60" w:rsidRDefault="007012C9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Únicamente los modelos estadísticos de probabilidad de incumplimiento de los deudores.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7012C9" w:rsidRPr="00116B60" w:rsidRDefault="007012C9" w:rsidP="007012C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ABD44F0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Solo las políticas de otorgamiento de crédito aprobadas por la junta directiva.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7012C9" w:rsidRPr="00116B60" w:rsidRDefault="007012C9" w:rsidP="007012C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7012C9" w:rsidRPr="00116B6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6F5159CF" w:rsidR="007012C9" w:rsidRPr="00116B60" w:rsidRDefault="007C4816" w:rsidP="007012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C4816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SARC comprende cuatro componentes: políticas, procesos, modelos internos de calificación y sistemas de control interno.</w:t>
            </w:r>
          </w:p>
        </w:tc>
      </w:tr>
      <w:tr w:rsidR="007012C9" w:rsidRPr="00116B6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012C9" w:rsidRPr="00116B60" w:rsidRDefault="007012C9" w:rsidP="007012C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3016E61F" w:rsidR="007012C9" w:rsidRPr="00116B60" w:rsidRDefault="007012C9" w:rsidP="007012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16B60" w:rsidRPr="00116B6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116B60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53B46A71" w:rsidR="009921BA" w:rsidRPr="007C4816" w:rsidRDefault="009921BA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C4816">
              <w:rPr>
                <w:rFonts w:eastAsia="Calibri"/>
                <w:b/>
                <w:bCs/>
                <w:sz w:val="20"/>
                <w:szCs w:val="20"/>
              </w:rPr>
              <w:t>¿Cuál es el porcentaje de provisión general que deben constituir las entidades financieras sobre el saldo total bruto de la cartera?</w:t>
            </w:r>
          </w:p>
        </w:tc>
      </w:tr>
      <w:tr w:rsidR="00116B60" w:rsidRPr="00116B6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8B61A19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0.5</w:t>
            </w:r>
            <w:r w:rsidR="007C48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% del saldo total bruto de la cartera.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3AC1D285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3.2</w:t>
            </w:r>
            <w:r w:rsidR="007C48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% del saldo total bruto de la cartera.</w:t>
            </w:r>
          </w:p>
        </w:tc>
        <w:tc>
          <w:tcPr>
            <w:tcW w:w="2160" w:type="dxa"/>
            <w:shd w:val="clear" w:color="auto" w:fill="FFFFFF"/>
          </w:tcPr>
          <w:p w14:paraId="490B5B39" w14:textId="4AC07E4E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6078D3B" w:rsidR="00597DCD" w:rsidRPr="007C4816" w:rsidRDefault="00597DCD" w:rsidP="00597DCD">
            <w:pPr>
              <w:rPr>
                <w:rFonts w:eastAsia="Calibri"/>
                <w:sz w:val="20"/>
                <w:szCs w:val="20"/>
              </w:rPr>
            </w:pPr>
            <w:r w:rsidRPr="007C4816">
              <w:rPr>
                <w:rFonts w:eastAsia="Calibri"/>
                <w:sz w:val="20"/>
                <w:szCs w:val="20"/>
              </w:rPr>
              <w:t>1</w:t>
            </w:r>
            <w:r w:rsidR="007C4816">
              <w:rPr>
                <w:rFonts w:eastAsia="Calibri"/>
                <w:sz w:val="20"/>
                <w:szCs w:val="20"/>
              </w:rPr>
              <w:t xml:space="preserve"> </w:t>
            </w:r>
            <w:r w:rsidRPr="007C4816">
              <w:rPr>
                <w:rFonts w:eastAsia="Calibri"/>
                <w:sz w:val="20"/>
                <w:szCs w:val="20"/>
              </w:rPr>
              <w:t>% del saldo total bruto de la cartera.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116B60" w:rsidRPr="00116B6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597DCD" w:rsidRPr="00116B60" w:rsidRDefault="00597DCD" w:rsidP="00597DC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39B4089" w:rsidR="00597DCD" w:rsidRPr="00116B60" w:rsidRDefault="00597DCD" w:rsidP="00597DC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20</w:t>
            </w:r>
            <w:r w:rsidR="007C4816">
              <w:rPr>
                <w:rFonts w:eastAsia="Calibri"/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% del saldo total bruto de la cartera.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597DCD" w:rsidRPr="00116B60" w:rsidRDefault="00597DCD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3B9D624" w:rsidR="0051374E" w:rsidRPr="00116B60" w:rsidRDefault="007C481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C4816">
              <w:rPr>
                <w:rFonts w:eastAsia="Calibri"/>
                <w:bCs/>
                <w:sz w:val="20"/>
                <w:szCs w:val="20"/>
                <w:lang w:val="es-CO"/>
              </w:rPr>
              <w:t>¡Correcto! La provisión general es el 1 % del saldo bruto total de la cartera y debe constituirse independientemente de la calidad de las obligaciones.</w:t>
            </w:r>
          </w:p>
        </w:tc>
      </w:tr>
      <w:tr w:rsidR="00116B60" w:rsidRPr="00116B6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057CBB62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707EDCE" w:rsidR="0051374E" w:rsidRPr="00F86284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F86284">
              <w:rPr>
                <w:rFonts w:eastAsia="Calibri"/>
                <w:b/>
                <w:bCs/>
                <w:sz w:val="20"/>
                <w:szCs w:val="20"/>
              </w:rPr>
              <w:t>¿Qué ocurre con los intereses causados de un crédito cuando entra en mora avanzada y es reclasificado a categorías de mayor riesgo?</w:t>
            </w:r>
          </w:p>
        </w:tc>
      </w:tr>
      <w:tr w:rsidR="00116B60" w:rsidRPr="00116B6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08BC112A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siguen reconociendo como ingresos en el estado de resultados hasta que el crédito sea castigado.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55BA5C16" w:rsidR="0051374E" w:rsidRPr="003C2D86" w:rsidRDefault="0051374E" w:rsidP="0051374E">
            <w:pPr>
              <w:rPr>
                <w:rFonts w:eastAsia="Calibri"/>
                <w:sz w:val="20"/>
                <w:szCs w:val="20"/>
              </w:rPr>
            </w:pPr>
            <w:r w:rsidRPr="003C2D86">
              <w:rPr>
                <w:rFonts w:eastAsia="Calibri"/>
                <w:sz w:val="20"/>
                <w:szCs w:val="20"/>
              </w:rPr>
              <w:t>Se contabilizan en cuentas de orden y no se reconocen como ingresos hasta que sean efectivamente pagados.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116B60" w:rsidRPr="00116B6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77777777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condonan automáticamente como parte del proceso de clasificación de la cartera.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629D7DD2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Se transfieren a una cuenta de patrimonio para proteger la solvencia de la entidad.</w:t>
            </w:r>
          </w:p>
        </w:tc>
        <w:tc>
          <w:tcPr>
            <w:tcW w:w="2160" w:type="dxa"/>
            <w:shd w:val="clear" w:color="auto" w:fill="FFFFFF"/>
          </w:tcPr>
          <w:p w14:paraId="254B085E" w14:textId="696BAB74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93F1BCA" w:rsidR="0051374E" w:rsidRPr="00116B60" w:rsidRDefault="003C2D8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3C2D86">
              <w:rPr>
                <w:rFonts w:eastAsia="Calibri"/>
                <w:bCs/>
                <w:sz w:val="20"/>
                <w:szCs w:val="20"/>
                <w:lang w:val="es-CO"/>
              </w:rPr>
              <w:t>¡Correcto! En cuentas de orden los intereses esperan hasta ser efectivamente pagados. El principio de realización impide reconocer ingresos cuya percepción no es certera.</w:t>
            </w:r>
          </w:p>
        </w:tc>
      </w:tr>
      <w:tr w:rsidR="00116B60" w:rsidRPr="00116B6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94EFB8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8746312" w:rsidR="0051374E" w:rsidRPr="00A871F9" w:rsidRDefault="00A871F9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871F9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función principal de la Superintendencia Financiera de Colombia en relación con la gestión de cartera de las entidades vigiladas?</w:t>
            </w:r>
          </w:p>
        </w:tc>
      </w:tr>
      <w:tr w:rsidR="00A871F9" w:rsidRPr="00116B60" w14:paraId="66F869E2" w14:textId="77777777" w:rsidTr="002F4889">
        <w:trPr>
          <w:trHeight w:val="220"/>
        </w:trPr>
        <w:tc>
          <w:tcPr>
            <w:tcW w:w="1267" w:type="dxa"/>
          </w:tcPr>
          <w:p w14:paraId="6AC70E6D" w14:textId="1277629E" w:rsidR="00A871F9" w:rsidRPr="00116B60" w:rsidRDefault="00A871F9" w:rsidP="00A871F9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1814AD4" w14:textId="3C0CB0A1" w:rsidR="00A871F9" w:rsidRPr="00116B60" w:rsidRDefault="00A871F9" w:rsidP="00A871F9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Otorgar créditos de emergencia a las entidades financieras en dificultades.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A871F9" w:rsidRPr="00116B60" w:rsidRDefault="00A871F9" w:rsidP="00A871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871F9" w:rsidRPr="00116B60" w14:paraId="09EAF596" w14:textId="77777777" w:rsidTr="002F4889">
        <w:trPr>
          <w:trHeight w:val="220"/>
        </w:trPr>
        <w:tc>
          <w:tcPr>
            <w:tcW w:w="1267" w:type="dxa"/>
          </w:tcPr>
          <w:p w14:paraId="6302EF25" w14:textId="229AE86E" w:rsidR="00A871F9" w:rsidRPr="00116B60" w:rsidRDefault="00A871F9" w:rsidP="00A871F9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29D5BCD" w14:textId="49FD3981" w:rsidR="00A871F9" w:rsidRPr="00116B60" w:rsidRDefault="00A871F9" w:rsidP="00A871F9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Fijar las tasas de interés activas que deben cobrar los bancos comerciales.</w:t>
            </w:r>
          </w:p>
        </w:tc>
        <w:tc>
          <w:tcPr>
            <w:tcW w:w="2160" w:type="dxa"/>
            <w:shd w:val="clear" w:color="auto" w:fill="FFFFFF"/>
          </w:tcPr>
          <w:p w14:paraId="69D77687" w14:textId="05B7A21C" w:rsidR="00A871F9" w:rsidRPr="00116B60" w:rsidRDefault="00A871F9" w:rsidP="00A871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871F9" w:rsidRPr="00116B60" w14:paraId="491457E0" w14:textId="77777777" w:rsidTr="002F4889">
        <w:trPr>
          <w:trHeight w:val="220"/>
        </w:trPr>
        <w:tc>
          <w:tcPr>
            <w:tcW w:w="1267" w:type="dxa"/>
          </w:tcPr>
          <w:p w14:paraId="54828E76" w14:textId="2BD39B07" w:rsidR="00A871F9" w:rsidRPr="00116B60" w:rsidRDefault="00A871F9" w:rsidP="00A871F9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FA03616" w14:textId="4F53D966" w:rsidR="00A871F9" w:rsidRPr="00116B60" w:rsidRDefault="00A871F9" w:rsidP="00A871F9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Ejercer la inspección, vigilancia y control de las entidades del sector financiero y emitir las normas técnicas que regulan la gestión de cartera.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A871F9" w:rsidRPr="00116B60" w:rsidRDefault="00A871F9" w:rsidP="00A871F9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A871F9" w:rsidRPr="00116B60" w14:paraId="46CB9FA3" w14:textId="77777777" w:rsidTr="002F4889">
        <w:trPr>
          <w:trHeight w:val="220"/>
        </w:trPr>
        <w:tc>
          <w:tcPr>
            <w:tcW w:w="1267" w:type="dxa"/>
          </w:tcPr>
          <w:p w14:paraId="7468C2F9" w14:textId="6FEF37ED" w:rsidR="00A871F9" w:rsidRPr="00116B60" w:rsidRDefault="00A871F9" w:rsidP="00A871F9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20CCB42" w14:textId="374A4BB4" w:rsidR="00A871F9" w:rsidRPr="00116B60" w:rsidRDefault="00A871F9" w:rsidP="00A871F9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Administrar los recursos del Fondo de Garantías de Instituciones Financieras.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A871F9" w:rsidRPr="00116B60" w:rsidRDefault="00A871F9" w:rsidP="00A871F9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AFE2EEC" w:rsidR="0051374E" w:rsidRPr="00116B60" w:rsidRDefault="00A871F9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A871F9">
              <w:rPr>
                <w:rFonts w:eastAsia="Calibri"/>
                <w:bCs/>
                <w:sz w:val="20"/>
                <w:szCs w:val="20"/>
                <w:lang w:val="es-CO"/>
              </w:rPr>
              <w:t>¡Correcto! La SFC ejerce la inspección, vigilancia y control del sector financiero y emite las normas técnicas que regulan la clasificación de cartera, el provisionamiento y las prácticas de cobranza.</w:t>
            </w:r>
          </w:p>
        </w:tc>
      </w:tr>
      <w:tr w:rsidR="00116B60" w:rsidRPr="00116B6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0E8B8CA3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AD9CD55" w:rsidR="0051374E" w:rsidRPr="00B4360E" w:rsidRDefault="00B4360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B4360E">
              <w:rPr>
                <w:rFonts w:eastAsia="Calibri"/>
                <w:b/>
                <w:bCs/>
                <w:sz w:val="20"/>
                <w:szCs w:val="20"/>
                <w:lang w:val="es-CO"/>
              </w:rPr>
              <w:t>¿A través de qué mecanismo el Banco de la República influye sobre las condiciones de la cartera de créditos de las entidades financieras?</w:t>
            </w:r>
          </w:p>
        </w:tc>
      </w:tr>
      <w:tr w:rsidR="00116B60" w:rsidRPr="00116B6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10D837B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Supervisa directamente la calidad de la cartera de cada entidad financiera vigilada.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51DD88FF" w:rsidR="0051374E" w:rsidRPr="00116B60" w:rsidRDefault="0051374E" w:rsidP="0051374E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Otorga créditos de cartera comercial a las empresas del sector real de la economía.</w:t>
            </w:r>
          </w:p>
        </w:tc>
        <w:tc>
          <w:tcPr>
            <w:tcW w:w="2160" w:type="dxa"/>
            <w:shd w:val="clear" w:color="auto" w:fill="FFFFFF"/>
          </w:tcPr>
          <w:p w14:paraId="7F6D2731" w14:textId="70D2C8C9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7777777" w:rsidR="0051374E" w:rsidRPr="00B4360E" w:rsidRDefault="0051374E" w:rsidP="000F5394">
            <w:pPr>
              <w:rPr>
                <w:rFonts w:eastAsia="Calibri"/>
                <w:sz w:val="20"/>
                <w:szCs w:val="20"/>
              </w:rPr>
            </w:pPr>
            <w:r w:rsidRPr="00B4360E">
              <w:rPr>
                <w:rFonts w:eastAsia="Calibri"/>
                <w:sz w:val="20"/>
                <w:szCs w:val="20"/>
              </w:rPr>
              <w:t>A través de su tasa de intervención, influye sobre las tasas activas del mercado y el costo del crédito para los deudores.</w:t>
            </w:r>
          </w:p>
        </w:tc>
        <w:tc>
          <w:tcPr>
            <w:tcW w:w="2160" w:type="dxa"/>
            <w:shd w:val="clear" w:color="auto" w:fill="FFFFFF"/>
          </w:tcPr>
          <w:p w14:paraId="44CBDD2E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116B60" w:rsidRPr="00116B6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7777777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Establece los criterios de provisionamiento que deben aplicar las entidades financieras.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8A7E1D7" w:rsidR="0051374E" w:rsidRPr="00116B60" w:rsidRDefault="00B4360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B4360E">
              <w:rPr>
                <w:rFonts w:eastAsia="Calibri"/>
                <w:bCs/>
                <w:sz w:val="20"/>
                <w:szCs w:val="20"/>
                <w:lang w:val="es-CO"/>
              </w:rPr>
              <w:t>¡Correcto! La tasa de intervención del Banco incide en las tasas activas del mercado. Cuando sube, aumenta el costo del crédito para los deudores con créditos a tasa variable</w:t>
            </w:r>
            <w:r w:rsidR="0076735C">
              <w:rPr>
                <w:rFonts w:eastAsia="Calibri"/>
                <w:bCs/>
                <w:sz w:val="20"/>
                <w:szCs w:val="20"/>
                <w:lang w:val="es-CO"/>
              </w:rPr>
              <w:t>.</w:t>
            </w:r>
          </w:p>
        </w:tc>
      </w:tr>
      <w:tr w:rsidR="00116B60" w:rsidRPr="00116B6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35DAFEF9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1F91FE6" w:rsidR="0051374E" w:rsidRPr="0076735C" w:rsidRDefault="0076735C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6735C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la función principal del Fondo de Garantías de Instituciones Financieras (FOGAFIN) en el sistema financiero colombiano?</w:t>
            </w:r>
          </w:p>
        </w:tc>
      </w:tr>
      <w:tr w:rsidR="0076735C" w:rsidRPr="00116B60" w14:paraId="194EF9E6" w14:textId="77777777" w:rsidTr="00307DA9">
        <w:trPr>
          <w:trHeight w:val="220"/>
        </w:trPr>
        <w:tc>
          <w:tcPr>
            <w:tcW w:w="1267" w:type="dxa"/>
          </w:tcPr>
          <w:p w14:paraId="6AB07DA2" w14:textId="66361C5F" w:rsidR="0076735C" w:rsidRPr="00116B60" w:rsidRDefault="0076735C" w:rsidP="0076735C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FD09083" w14:textId="14C23638" w:rsidR="0076735C" w:rsidRPr="00116B60" w:rsidRDefault="0076735C" w:rsidP="007673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Supervisar directamente las prácticas de cobranza de las entidades vigiladas.</w:t>
            </w:r>
          </w:p>
        </w:tc>
        <w:tc>
          <w:tcPr>
            <w:tcW w:w="2160" w:type="dxa"/>
            <w:shd w:val="clear" w:color="auto" w:fill="FFFFFF"/>
          </w:tcPr>
          <w:p w14:paraId="4F44B134" w14:textId="34BA10EA" w:rsidR="0076735C" w:rsidRPr="00116B60" w:rsidRDefault="0076735C" w:rsidP="007673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6735C" w:rsidRPr="00116B60" w14:paraId="7C6598A8" w14:textId="77777777" w:rsidTr="00307DA9">
        <w:trPr>
          <w:trHeight w:val="220"/>
        </w:trPr>
        <w:tc>
          <w:tcPr>
            <w:tcW w:w="1267" w:type="dxa"/>
          </w:tcPr>
          <w:p w14:paraId="05D5B683" w14:textId="1176FBB2" w:rsidR="0076735C" w:rsidRPr="00116B60" w:rsidRDefault="0076735C" w:rsidP="0076735C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2C77DC7" w14:textId="7C061631" w:rsidR="0076735C" w:rsidRPr="00116B60" w:rsidRDefault="0076735C" w:rsidP="007673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Proteger los ahorros del público depositados en las instituciones financieras mediante el </w:t>
            </w:r>
            <w:r w:rsidR="000E150D">
              <w:rPr>
                <w:color w:val="000000"/>
                <w:sz w:val="20"/>
                <w:szCs w:val="20"/>
              </w:rPr>
              <w:t>S</w:t>
            </w:r>
            <w:r>
              <w:rPr>
                <w:color w:val="000000"/>
                <w:sz w:val="20"/>
                <w:szCs w:val="20"/>
              </w:rPr>
              <w:t>eguro de Depósitos.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76735C" w:rsidRPr="00116B60" w:rsidRDefault="0076735C" w:rsidP="0076735C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76735C" w:rsidRPr="00116B60" w14:paraId="7DBBF727" w14:textId="77777777" w:rsidTr="00307DA9">
        <w:trPr>
          <w:trHeight w:val="220"/>
        </w:trPr>
        <w:tc>
          <w:tcPr>
            <w:tcW w:w="1267" w:type="dxa"/>
          </w:tcPr>
          <w:p w14:paraId="20D86162" w14:textId="1CA2A0D3" w:rsidR="0076735C" w:rsidRPr="00116B60" w:rsidRDefault="0076735C" w:rsidP="0076735C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281CC1F2" w14:textId="1E838F4E" w:rsidR="0076735C" w:rsidRPr="00116B60" w:rsidRDefault="0076735C" w:rsidP="007673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Fijar los límites máximos para el cobro de intereses en las operaciones de crédito.</w:t>
            </w:r>
          </w:p>
        </w:tc>
        <w:tc>
          <w:tcPr>
            <w:tcW w:w="2160" w:type="dxa"/>
            <w:shd w:val="clear" w:color="auto" w:fill="FFFFFF"/>
          </w:tcPr>
          <w:p w14:paraId="7249367B" w14:textId="616DC532" w:rsidR="0076735C" w:rsidRPr="00116B60" w:rsidRDefault="0076735C" w:rsidP="007673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76735C" w:rsidRPr="00116B60" w14:paraId="44FD41D1" w14:textId="77777777" w:rsidTr="00307DA9">
        <w:trPr>
          <w:trHeight w:val="220"/>
        </w:trPr>
        <w:tc>
          <w:tcPr>
            <w:tcW w:w="1267" w:type="dxa"/>
          </w:tcPr>
          <w:p w14:paraId="4B3EAD81" w14:textId="26008B3B" w:rsidR="0076735C" w:rsidRPr="00116B60" w:rsidRDefault="0076735C" w:rsidP="0076735C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E93139E" w14:textId="588CBBC0" w:rsidR="0076735C" w:rsidRPr="00116B60" w:rsidRDefault="0076735C" w:rsidP="0076735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Representar los intereses gremiales de los bancos comerciales ante el Gobierno.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76735C" w:rsidRPr="00116B60" w:rsidRDefault="0076735C" w:rsidP="0076735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318C9BF" w:rsidR="0051374E" w:rsidRPr="00116B60" w:rsidRDefault="0076735C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76735C">
              <w:rPr>
                <w:rFonts w:eastAsia="Calibri"/>
                <w:bCs/>
                <w:sz w:val="20"/>
                <w:szCs w:val="20"/>
                <w:lang w:val="es-CO"/>
              </w:rPr>
              <w:t>¡Correcto! El FOGAFIN protege los ahorros del público mediante el Seguro de Depósitos, que garantiza una compensación a los depositantes en caso de liquidación de la entidad.</w:t>
            </w:r>
          </w:p>
        </w:tc>
      </w:tr>
      <w:tr w:rsidR="00116B60" w:rsidRPr="00116B6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0E4F3AE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B5DE967" w:rsidR="0051374E" w:rsidRPr="000E150D" w:rsidRDefault="000E150D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E150D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debe hacer el gestor de cartera al detectar que los intereses de mora cobrados a un deudor superan la tasa de usura vigente?</w:t>
            </w:r>
          </w:p>
        </w:tc>
      </w:tr>
      <w:tr w:rsidR="000E150D" w:rsidRPr="00116B60" w14:paraId="56C426A3" w14:textId="77777777" w:rsidTr="003073A9">
        <w:trPr>
          <w:trHeight w:val="220"/>
        </w:trPr>
        <w:tc>
          <w:tcPr>
            <w:tcW w:w="1267" w:type="dxa"/>
          </w:tcPr>
          <w:p w14:paraId="488060F5" w14:textId="65E57149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01469E1" w14:textId="6230E3BD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Continuar el cobro, ya que el exceso de intereses es un beneficio legítimo de la entidad.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E150D" w:rsidRPr="00116B60" w14:paraId="2B70C3E1" w14:textId="77777777" w:rsidTr="003073A9">
        <w:trPr>
          <w:trHeight w:val="220"/>
        </w:trPr>
        <w:tc>
          <w:tcPr>
            <w:tcW w:w="1267" w:type="dxa"/>
          </w:tcPr>
          <w:p w14:paraId="3E0B1A99" w14:textId="30EE8358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B084230" w14:textId="23372FEF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Informar al deudor que el exceso será capitalizado en el siguiente período.</w:t>
            </w:r>
          </w:p>
        </w:tc>
        <w:tc>
          <w:tcPr>
            <w:tcW w:w="2160" w:type="dxa"/>
            <w:shd w:val="clear" w:color="auto" w:fill="FFFFFF"/>
          </w:tcPr>
          <w:p w14:paraId="16E006C7" w14:textId="4B330ADF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E150D" w:rsidRPr="00116B60" w14:paraId="54543239" w14:textId="77777777" w:rsidTr="003073A9">
        <w:trPr>
          <w:trHeight w:val="220"/>
        </w:trPr>
        <w:tc>
          <w:tcPr>
            <w:tcW w:w="1267" w:type="dxa"/>
          </w:tcPr>
          <w:p w14:paraId="5FB5E0A2" w14:textId="49318A41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F77827D" w14:textId="242EF875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Reversar el cobro indebido, ajustar el estado de cuenta del deudor y reportar el error internamente.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0E150D" w:rsidRPr="00116B60" w14:paraId="3A906863" w14:textId="77777777" w:rsidTr="003073A9">
        <w:trPr>
          <w:trHeight w:val="220"/>
        </w:trPr>
        <w:tc>
          <w:tcPr>
            <w:tcW w:w="1267" w:type="dxa"/>
          </w:tcPr>
          <w:p w14:paraId="3548EA1C" w14:textId="0C91BDCD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949F3DC" w14:textId="12BCF545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Escalar el caso al área jurídica para que defienda la posición de la entidad.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0A0E587A" w:rsidR="0051374E" w:rsidRPr="00116B60" w:rsidRDefault="000E150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E150D">
              <w:rPr>
                <w:rFonts w:eastAsia="Calibri"/>
                <w:bCs/>
                <w:sz w:val="20"/>
                <w:szCs w:val="20"/>
                <w:lang w:val="es-CO"/>
              </w:rPr>
              <w:t>¡Correcto! El cobro por encima de la usura debe reversarse y reintegrarse al consumidor. Los intereses excedentes se reducen automáticamente a la tasa máxima permitida.</w:t>
            </w:r>
          </w:p>
        </w:tc>
      </w:tr>
      <w:tr w:rsidR="00116B60" w:rsidRPr="00116B6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64B49BC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F8DB6F9" w:rsidR="0051374E" w:rsidRPr="00116B60" w:rsidRDefault="000E150D" w:rsidP="000F5394">
            <w:pPr>
              <w:rPr>
                <w:rFonts w:eastAsia="Calibri"/>
                <w:sz w:val="20"/>
                <w:szCs w:val="20"/>
              </w:rPr>
            </w:pPr>
            <w:r w:rsidRPr="000E150D">
              <w:rPr>
                <w:rFonts w:eastAsia="Calibri"/>
                <w:sz w:val="20"/>
                <w:szCs w:val="20"/>
                <w:lang w:val="es-CO"/>
              </w:rPr>
              <w:t>Según la Ley 1328 de 2009, ¿cuál es el plazo máximo que tiene la entidad financiera para responder una queja del consumidor financiero radicada directamente ante ella?</w:t>
            </w:r>
          </w:p>
        </w:tc>
      </w:tr>
      <w:tr w:rsidR="000E150D" w:rsidRPr="00116B60" w14:paraId="71E0805B" w14:textId="77777777" w:rsidTr="0060393A">
        <w:trPr>
          <w:trHeight w:val="220"/>
        </w:trPr>
        <w:tc>
          <w:tcPr>
            <w:tcW w:w="1267" w:type="dxa"/>
          </w:tcPr>
          <w:p w14:paraId="007D9B78" w14:textId="78B6CD66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6DC200FD" w14:textId="73CA18B1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Cinco días hábiles.</w:t>
            </w:r>
          </w:p>
        </w:tc>
        <w:tc>
          <w:tcPr>
            <w:tcW w:w="2160" w:type="dxa"/>
            <w:shd w:val="clear" w:color="auto" w:fill="FFFFFF"/>
          </w:tcPr>
          <w:p w14:paraId="46ACE52B" w14:textId="07E5323E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E150D" w:rsidRPr="00116B60" w14:paraId="79A5F800" w14:textId="77777777" w:rsidTr="0060393A">
        <w:trPr>
          <w:trHeight w:val="220"/>
        </w:trPr>
        <w:tc>
          <w:tcPr>
            <w:tcW w:w="1267" w:type="dxa"/>
          </w:tcPr>
          <w:p w14:paraId="4CA905D0" w14:textId="57D6A6EE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B50E5FD" w14:textId="587792A1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Treinta días calendario.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0E150D" w:rsidRPr="00116B60" w14:paraId="2AF7F61F" w14:textId="77777777" w:rsidTr="0060393A">
        <w:trPr>
          <w:trHeight w:val="220"/>
        </w:trPr>
        <w:tc>
          <w:tcPr>
            <w:tcW w:w="1267" w:type="dxa"/>
          </w:tcPr>
          <w:p w14:paraId="22B67B0C" w14:textId="60CECD21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D9B337B" w14:textId="23A28A66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Quince días hábiles.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0E150D" w:rsidRPr="00116B60" w14:paraId="11D76E84" w14:textId="77777777" w:rsidTr="0060393A">
        <w:trPr>
          <w:trHeight w:val="220"/>
        </w:trPr>
        <w:tc>
          <w:tcPr>
            <w:tcW w:w="1267" w:type="dxa"/>
          </w:tcPr>
          <w:p w14:paraId="08F56D3E" w14:textId="78A04E91" w:rsidR="000E150D" w:rsidRPr="00116B60" w:rsidRDefault="000E150D" w:rsidP="000E150D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4A6C9114" w14:textId="0FD76F2E" w:rsidR="000E150D" w:rsidRPr="00116B60" w:rsidRDefault="000E150D" w:rsidP="000E150D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Ocho días hábiles.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0E150D" w:rsidRPr="00116B60" w:rsidRDefault="000E150D" w:rsidP="000E150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3F29BD30" w:rsidR="0051374E" w:rsidRPr="00116B60" w:rsidRDefault="000E150D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0E150D">
              <w:rPr>
                <w:rFonts w:eastAsia="Calibri"/>
                <w:bCs/>
                <w:sz w:val="20"/>
                <w:szCs w:val="20"/>
                <w:lang w:val="es-CO"/>
              </w:rPr>
              <w:t>¡Correcto! La Ley 1328 de 2009 establece 15 días hábiles para que la entidad responda. Si el consumidor no queda satisfecho, puede escalar al Defensor del Consumidor Financiero.</w:t>
            </w:r>
          </w:p>
        </w:tc>
      </w:tr>
      <w:tr w:rsidR="00116B60" w:rsidRPr="00116B6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7782398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8717992" w:rsidR="0051374E" w:rsidRPr="00111D76" w:rsidRDefault="00111D76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111D76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implica, en términos de calificación de riesgo, la reestructuración de un crédito en mora durante los primeros meses de cumplimiento de las nuevas condiciones?</w:t>
            </w:r>
          </w:p>
        </w:tc>
      </w:tr>
      <w:tr w:rsidR="00111D76" w:rsidRPr="00116B60" w14:paraId="24A2C86E" w14:textId="77777777" w:rsidTr="00D11069">
        <w:trPr>
          <w:trHeight w:val="220"/>
        </w:trPr>
        <w:tc>
          <w:tcPr>
            <w:tcW w:w="1267" w:type="dxa"/>
          </w:tcPr>
          <w:p w14:paraId="70D1B1EB" w14:textId="5E139507" w:rsidR="00111D76" w:rsidRPr="00116B60" w:rsidRDefault="00111D76" w:rsidP="00111D76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7A37776" w14:textId="22741897" w:rsidR="00111D76" w:rsidRPr="00116B60" w:rsidRDefault="00111D76" w:rsidP="00111D7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obligación reestructurada mejora automáticamente a categoría A desde la firma del acuerdo.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111D76" w:rsidRPr="00116B60" w:rsidRDefault="00111D76" w:rsidP="00111D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1D76" w:rsidRPr="00116B60" w14:paraId="57B20FA5" w14:textId="77777777" w:rsidTr="00D11069">
        <w:trPr>
          <w:trHeight w:val="220"/>
        </w:trPr>
        <w:tc>
          <w:tcPr>
            <w:tcW w:w="1267" w:type="dxa"/>
          </w:tcPr>
          <w:p w14:paraId="13EFD6FD" w14:textId="7DC99F77" w:rsidR="00111D76" w:rsidRPr="00116B60" w:rsidRDefault="00111D76" w:rsidP="00111D76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3177622" w14:textId="606E28BD" w:rsidR="00111D76" w:rsidRPr="00116B60" w:rsidRDefault="00111D76" w:rsidP="00111D7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obligación reestructurada mantiene la calificación de riesgo que tenía en el momento de la reestructuración hasta que el deudor demuestre comportamiento de pago sostenido.</w:t>
            </w:r>
          </w:p>
        </w:tc>
        <w:tc>
          <w:tcPr>
            <w:tcW w:w="2160" w:type="dxa"/>
            <w:shd w:val="clear" w:color="auto" w:fill="FFFFFF"/>
          </w:tcPr>
          <w:p w14:paraId="661BE877" w14:textId="7EC52C45" w:rsidR="00111D76" w:rsidRPr="00116B60" w:rsidRDefault="00111D76" w:rsidP="00111D76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111D76" w:rsidRPr="00116B60" w14:paraId="4F81A7ED" w14:textId="77777777" w:rsidTr="00D11069">
        <w:trPr>
          <w:trHeight w:val="220"/>
        </w:trPr>
        <w:tc>
          <w:tcPr>
            <w:tcW w:w="1267" w:type="dxa"/>
          </w:tcPr>
          <w:p w14:paraId="11E5CF98" w14:textId="3AF7A5FF" w:rsidR="00111D76" w:rsidRPr="00116B60" w:rsidRDefault="00111D76" w:rsidP="00111D76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3859AC1F" w14:textId="7A6B4419" w:rsidR="00111D76" w:rsidRPr="00116B60" w:rsidRDefault="00111D76" w:rsidP="00111D7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obligación reestructurada pasa automáticamente a categoría E hasta que se complete el plazo pactado.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111D76" w:rsidRPr="00116B60" w:rsidRDefault="00111D76" w:rsidP="00111D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1D76" w:rsidRPr="00116B60" w14:paraId="2FA0DFA6" w14:textId="77777777" w:rsidTr="00D11069">
        <w:trPr>
          <w:trHeight w:val="220"/>
        </w:trPr>
        <w:tc>
          <w:tcPr>
            <w:tcW w:w="1267" w:type="dxa"/>
          </w:tcPr>
          <w:p w14:paraId="023D04B9" w14:textId="49A7F496" w:rsidR="00111D76" w:rsidRPr="00116B60" w:rsidRDefault="00111D76" w:rsidP="00111D76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9EAF031" w14:textId="74393433" w:rsidR="00111D76" w:rsidRPr="00116B60" w:rsidRDefault="00111D76" w:rsidP="00111D7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calificación se suspende durante el período de gracia y se recalcula al vencimiento del crédito.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111D76" w:rsidRPr="00116B60" w:rsidRDefault="00111D76" w:rsidP="00111D7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D2DAE5F" w:rsidR="0051374E" w:rsidRPr="00116B60" w:rsidRDefault="00111D76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1D76">
              <w:rPr>
                <w:rFonts w:eastAsia="Calibri"/>
                <w:bCs/>
                <w:sz w:val="20"/>
                <w:szCs w:val="20"/>
                <w:lang w:val="es-CO"/>
              </w:rPr>
              <w:t>¡Correcto! La calificación se mantiene hasta que el deudor demuestre comportamiento de pago sostenido con las nuevas condiciones durante varios meses verificables.</w:t>
            </w:r>
          </w:p>
        </w:tc>
      </w:tr>
      <w:tr w:rsidR="00116B60" w:rsidRPr="00116B6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F36FAE7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49028D3" w:rsidR="0051374E" w:rsidRPr="00900C6B" w:rsidRDefault="0051374E" w:rsidP="000F5394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0C6B">
              <w:rPr>
                <w:rFonts w:eastAsia="Calibri"/>
                <w:b/>
                <w:bCs/>
                <w:sz w:val="20"/>
                <w:szCs w:val="20"/>
              </w:rPr>
              <w:t>En el caso de una queja de un consumidor financiero que alega cobros indebidos, ¿cuál es el primer paso que debe seguir el gestor de cartera?</w:t>
            </w:r>
          </w:p>
        </w:tc>
      </w:tr>
      <w:tr w:rsidR="00116B60" w:rsidRPr="00116B6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0AE94053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Informar al deudor que el cobro es correcto y exigir el pago del saldo pendiente.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1556DBF" w:rsidR="0051374E" w:rsidRPr="00116B60" w:rsidRDefault="0051374E" w:rsidP="000F5394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Escalar inmediatamente la queja a la Superintendencia Financiera sin revisar la información.</w:t>
            </w:r>
          </w:p>
        </w:tc>
        <w:tc>
          <w:tcPr>
            <w:tcW w:w="2160" w:type="dxa"/>
            <w:shd w:val="clear" w:color="auto" w:fill="FFFFFF"/>
          </w:tcPr>
          <w:p w14:paraId="21463C5E" w14:textId="4CFD62AE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77777777" w:rsidR="0051374E" w:rsidRPr="00900C6B" w:rsidRDefault="0051374E" w:rsidP="000F5394">
            <w:pPr>
              <w:rPr>
                <w:rFonts w:eastAsia="Calibri"/>
                <w:sz w:val="20"/>
                <w:szCs w:val="20"/>
              </w:rPr>
            </w:pPr>
            <w:r w:rsidRPr="00900C6B">
              <w:rPr>
                <w:rFonts w:eastAsia="Calibri"/>
                <w:sz w:val="20"/>
                <w:szCs w:val="20"/>
              </w:rPr>
              <w:t>Consultar el historial de la obligación en el sistema para verificar si el cobro fue correcto.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116B60" w:rsidRPr="00116B6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77777777" w:rsidR="0051374E" w:rsidRPr="00900C6B" w:rsidRDefault="0051374E" w:rsidP="000F5394">
            <w:pPr>
              <w:rPr>
                <w:rFonts w:eastAsia="Calibri"/>
                <w:sz w:val="20"/>
                <w:szCs w:val="20"/>
              </w:rPr>
            </w:pPr>
            <w:r w:rsidRPr="00900C6B">
              <w:rPr>
                <w:rFonts w:eastAsia="Calibri"/>
                <w:sz w:val="20"/>
                <w:szCs w:val="20"/>
              </w:rPr>
              <w:t>Enviar al deudor a la Defensoría del Consumidor Financiero sin atender la queja internamente.</w:t>
            </w:r>
          </w:p>
        </w:tc>
        <w:tc>
          <w:tcPr>
            <w:tcW w:w="2160" w:type="dxa"/>
            <w:shd w:val="clear" w:color="auto" w:fill="FFFFFF"/>
          </w:tcPr>
          <w:p w14:paraId="7A42579D" w14:textId="6D4040AD" w:rsidR="0051374E" w:rsidRPr="00116B60" w:rsidRDefault="0051374E" w:rsidP="005137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7FEB6B5" w:rsidR="0051374E" w:rsidRPr="00116B60" w:rsidRDefault="00900C6B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900C6B">
              <w:rPr>
                <w:rFonts w:eastAsia="Calibri"/>
                <w:bCs/>
                <w:sz w:val="20"/>
                <w:szCs w:val="20"/>
                <w:lang w:val="es-CO"/>
              </w:rPr>
              <w:t>¡Correcto! Verificar primero los registros del sistema es indispensable para dar una respuesta técnicamente fundamentada y determinar si procede un ajuste o reintegro.</w:t>
            </w:r>
          </w:p>
        </w:tc>
      </w:tr>
      <w:tr w:rsidR="00116B60" w:rsidRPr="00116B6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ABF58C6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16B60" w:rsidRPr="00116B6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lastRenderedPageBreak/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C154C96" w:rsidR="0051374E" w:rsidRPr="00900C6B" w:rsidRDefault="00900C6B" w:rsidP="0051374E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00C6B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registro contable se realiza cuando una entidad financiera decide castigar (dar de baja) una obligación clasificada en categoría E con provisión del 100 %?</w:t>
            </w:r>
          </w:p>
        </w:tc>
      </w:tr>
      <w:tr w:rsidR="00900C6B" w:rsidRPr="00116B60" w14:paraId="6D9EEA78" w14:textId="77777777" w:rsidTr="00AE59AC">
        <w:trPr>
          <w:trHeight w:val="220"/>
        </w:trPr>
        <w:tc>
          <w:tcPr>
            <w:tcW w:w="1267" w:type="dxa"/>
          </w:tcPr>
          <w:p w14:paraId="32E32C36" w14:textId="0C34D066" w:rsidR="00900C6B" w:rsidRPr="00116B60" w:rsidRDefault="00900C6B" w:rsidP="00900C6B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023CF7C" w14:textId="66803A2B" w:rsidR="00900C6B" w:rsidRPr="00116B60" w:rsidRDefault="00900C6B" w:rsidP="00900C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debita la cartera y se acredita el gasto por provisión del período.</w:t>
            </w:r>
          </w:p>
        </w:tc>
        <w:tc>
          <w:tcPr>
            <w:tcW w:w="2160" w:type="dxa"/>
            <w:shd w:val="clear" w:color="auto" w:fill="FFFFFF"/>
          </w:tcPr>
          <w:p w14:paraId="08DBA6E9" w14:textId="324D48ED" w:rsidR="00900C6B" w:rsidRPr="00116B60" w:rsidRDefault="00900C6B" w:rsidP="00900C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0C6B" w:rsidRPr="00116B60" w14:paraId="79A10AE3" w14:textId="77777777" w:rsidTr="00AE59AC">
        <w:trPr>
          <w:trHeight w:val="220"/>
        </w:trPr>
        <w:tc>
          <w:tcPr>
            <w:tcW w:w="1267" w:type="dxa"/>
          </w:tcPr>
          <w:p w14:paraId="0495F5C8" w14:textId="5CB2C67C" w:rsidR="00900C6B" w:rsidRPr="00116B60" w:rsidRDefault="00900C6B" w:rsidP="00900C6B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0802BA9F" w14:textId="3F204BB9" w:rsidR="00900C6B" w:rsidRPr="00116B60" w:rsidRDefault="00900C6B" w:rsidP="00900C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debita la provisión acumulada y se acredita la cartera, eliminando la obligación del balance general.</w:t>
            </w:r>
          </w:p>
        </w:tc>
        <w:tc>
          <w:tcPr>
            <w:tcW w:w="2160" w:type="dxa"/>
            <w:shd w:val="clear" w:color="auto" w:fill="FFFFFF"/>
          </w:tcPr>
          <w:p w14:paraId="6BBE2BBE" w14:textId="6F1177B8" w:rsidR="00900C6B" w:rsidRPr="00116B60" w:rsidRDefault="00900C6B" w:rsidP="00900C6B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b/>
                <w:bCs/>
                <w:sz w:val="20"/>
                <w:szCs w:val="20"/>
              </w:rPr>
              <w:t>X</w:t>
            </w:r>
          </w:p>
        </w:tc>
      </w:tr>
      <w:tr w:rsidR="00900C6B" w:rsidRPr="00116B60" w14:paraId="521CE7C5" w14:textId="77777777" w:rsidTr="00AE59AC">
        <w:trPr>
          <w:trHeight w:val="220"/>
        </w:trPr>
        <w:tc>
          <w:tcPr>
            <w:tcW w:w="1267" w:type="dxa"/>
          </w:tcPr>
          <w:p w14:paraId="07B8C1AA" w14:textId="51756D72" w:rsidR="00900C6B" w:rsidRPr="00116B60" w:rsidRDefault="00900C6B" w:rsidP="00900C6B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55EA53F9" w14:textId="5946FFD3" w:rsidR="00900C6B" w:rsidRPr="00116B60" w:rsidRDefault="00900C6B" w:rsidP="00900C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debita el patrimonio y se acredita la cartera como reconocimiento de la pérdida definitiva.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900C6B" w:rsidRPr="00116B60" w:rsidRDefault="00900C6B" w:rsidP="00900C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00C6B" w:rsidRPr="00116B60" w14:paraId="771ADFE0" w14:textId="77777777" w:rsidTr="00AE59AC">
        <w:trPr>
          <w:trHeight w:val="220"/>
        </w:trPr>
        <w:tc>
          <w:tcPr>
            <w:tcW w:w="1267" w:type="dxa"/>
          </w:tcPr>
          <w:p w14:paraId="1861D841" w14:textId="20F4858F" w:rsidR="00900C6B" w:rsidRPr="00116B60" w:rsidRDefault="00900C6B" w:rsidP="00900C6B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vAlign w:val="center"/>
          </w:tcPr>
          <w:p w14:paraId="7CB1FFCA" w14:textId="5C6E1086" w:rsidR="00900C6B" w:rsidRPr="00116B60" w:rsidRDefault="00900C6B" w:rsidP="00900C6B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debita el gasto por cartera castigada y se acredita la provisión acumulada del período.</w:t>
            </w:r>
          </w:p>
        </w:tc>
        <w:tc>
          <w:tcPr>
            <w:tcW w:w="2160" w:type="dxa"/>
            <w:shd w:val="clear" w:color="auto" w:fill="FFFFFF"/>
          </w:tcPr>
          <w:p w14:paraId="53AEE1D7" w14:textId="77777777" w:rsidR="00900C6B" w:rsidRPr="00116B60" w:rsidRDefault="00900C6B" w:rsidP="00900C6B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16B60" w:rsidRPr="00116B6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4161BBFB" w:rsidR="0051374E" w:rsidRPr="00116B60" w:rsidRDefault="00900C6B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900C6B">
              <w:rPr>
                <w:rFonts w:eastAsia="Calibri"/>
                <w:bCs/>
                <w:sz w:val="20"/>
                <w:szCs w:val="20"/>
                <w:lang w:val="es-CO"/>
              </w:rPr>
              <w:t>¡Correcto! Se debita la provisión acumulada y se acredita la cartera, eliminando la obligación del balance. El castigo contable no extingue la obligación jurídica del deudor.</w:t>
            </w:r>
          </w:p>
        </w:tc>
      </w:tr>
      <w:tr w:rsidR="00116B60" w:rsidRPr="00116B6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51374E" w:rsidRPr="00116B60" w:rsidRDefault="0051374E" w:rsidP="0051374E">
            <w:pPr>
              <w:rPr>
                <w:rFonts w:eastAsia="Calibri"/>
                <w:b/>
                <w:sz w:val="20"/>
                <w:szCs w:val="20"/>
              </w:rPr>
            </w:pPr>
            <w:r w:rsidRPr="00116B6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51374E" w:rsidRPr="00116B60" w:rsidRDefault="0051374E" w:rsidP="0051374E">
            <w:pPr>
              <w:rPr>
                <w:rFonts w:eastAsia="Calibri"/>
                <w:bCs/>
                <w:sz w:val="20"/>
                <w:szCs w:val="20"/>
              </w:rPr>
            </w:pPr>
            <w:r w:rsidRPr="00116B6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16B60" w:rsidRPr="00116B6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116B60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16B60" w:rsidRPr="00116B6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116B60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116B60" w:rsidRPr="00116B6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116B6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116B60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16B6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116B60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116B60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16B60" w:rsidRPr="00B01224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B01224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CONTROL DE REVISIÓN</w:t>
            </w:r>
          </w:p>
        </w:tc>
      </w:tr>
      <w:tr w:rsidR="00116B60" w:rsidRPr="00B01224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B01224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B01224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B01224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Fecha</w:t>
            </w:r>
          </w:p>
        </w:tc>
      </w:tr>
      <w:tr w:rsidR="00116B60" w:rsidRPr="00B01224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B01224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 xml:space="preserve">Revisión </w:t>
            </w:r>
            <w:r w:rsidR="00C85661"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Evaluador</w:t>
            </w:r>
            <w:r w:rsidR="008E1685"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a</w:t>
            </w:r>
            <w:r w:rsidR="00C85661"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 xml:space="preserve"> i</w:t>
            </w:r>
            <w:r w:rsidR="005D6C01"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3CDC139" w:rsidR="00C0495F" w:rsidRPr="00B01224" w:rsidRDefault="00B01224" w:rsidP="00736566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FB6C8D3" w:rsidR="00C0495F" w:rsidRPr="00B01224" w:rsidRDefault="00B01224" w:rsidP="00736566">
            <w:pPr>
              <w:widowControl w:val="0"/>
              <w:spacing w:line="240" w:lineRule="auto"/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</w:pPr>
            <w:r w:rsidRPr="00B01224">
              <w:rPr>
                <w:rFonts w:eastAsia="Calibri"/>
                <w:b/>
                <w:color w:val="595959" w:themeColor="text1" w:themeTint="A6"/>
                <w:sz w:val="20"/>
                <w:szCs w:val="20"/>
              </w:rPr>
              <w:t>Mayo de 2026</w:t>
            </w:r>
          </w:p>
        </w:tc>
      </w:tr>
    </w:tbl>
    <w:p w14:paraId="12496B24" w14:textId="77777777" w:rsidR="00C57B0F" w:rsidRPr="00116B60" w:rsidRDefault="00C57B0F">
      <w:pPr>
        <w:rPr>
          <w:sz w:val="20"/>
          <w:szCs w:val="20"/>
        </w:rPr>
      </w:pPr>
    </w:p>
    <w:sectPr w:rsidR="00C57B0F" w:rsidRPr="00116B6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0A34" w14:textId="77777777" w:rsidR="00865C77" w:rsidRDefault="00865C77">
      <w:pPr>
        <w:spacing w:line="240" w:lineRule="auto"/>
      </w:pPr>
      <w:r>
        <w:separator/>
      </w:r>
    </w:p>
  </w:endnote>
  <w:endnote w:type="continuationSeparator" w:id="0">
    <w:p w14:paraId="6F2A45CF" w14:textId="77777777" w:rsidR="00865C77" w:rsidRDefault="00865C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09042" w14:textId="77777777" w:rsidR="00865C77" w:rsidRDefault="00865C77">
      <w:pPr>
        <w:spacing w:line="240" w:lineRule="auto"/>
      </w:pPr>
      <w:r>
        <w:separator/>
      </w:r>
    </w:p>
  </w:footnote>
  <w:footnote w:type="continuationSeparator" w:id="0">
    <w:p w14:paraId="4ECDD05F" w14:textId="77777777" w:rsidR="00865C77" w:rsidRDefault="00865C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21922738">
    <w:abstractNumId w:val="1"/>
  </w:num>
  <w:num w:numId="2" w16cid:durableId="1396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713AC"/>
    <w:rsid w:val="00072A4B"/>
    <w:rsid w:val="00075BDE"/>
    <w:rsid w:val="0009090B"/>
    <w:rsid w:val="000C68FF"/>
    <w:rsid w:val="000D382B"/>
    <w:rsid w:val="000D6787"/>
    <w:rsid w:val="000E150D"/>
    <w:rsid w:val="000E3ADC"/>
    <w:rsid w:val="000F0EFA"/>
    <w:rsid w:val="000F2C06"/>
    <w:rsid w:val="000F39CD"/>
    <w:rsid w:val="000F4AE3"/>
    <w:rsid w:val="000F5394"/>
    <w:rsid w:val="00111D76"/>
    <w:rsid w:val="00116B60"/>
    <w:rsid w:val="001304F1"/>
    <w:rsid w:val="0018141D"/>
    <w:rsid w:val="00183D9F"/>
    <w:rsid w:val="0018472E"/>
    <w:rsid w:val="001B5182"/>
    <w:rsid w:val="001B5CD5"/>
    <w:rsid w:val="001C06DB"/>
    <w:rsid w:val="001C2159"/>
    <w:rsid w:val="001D65D0"/>
    <w:rsid w:val="001F0B68"/>
    <w:rsid w:val="00230CDA"/>
    <w:rsid w:val="00237367"/>
    <w:rsid w:val="002703E5"/>
    <w:rsid w:val="00280A13"/>
    <w:rsid w:val="002A54B4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B1B3E"/>
    <w:rsid w:val="003B621E"/>
    <w:rsid w:val="003C2D86"/>
    <w:rsid w:val="00407479"/>
    <w:rsid w:val="00432EA8"/>
    <w:rsid w:val="004441F0"/>
    <w:rsid w:val="00446CD8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1374E"/>
    <w:rsid w:val="005241C7"/>
    <w:rsid w:val="0057369A"/>
    <w:rsid w:val="0058457B"/>
    <w:rsid w:val="005861AB"/>
    <w:rsid w:val="00597DCD"/>
    <w:rsid w:val="005B08CD"/>
    <w:rsid w:val="005B4E3A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A28C2"/>
    <w:rsid w:val="006B1407"/>
    <w:rsid w:val="006C52FA"/>
    <w:rsid w:val="006F219D"/>
    <w:rsid w:val="007012C9"/>
    <w:rsid w:val="00701B54"/>
    <w:rsid w:val="00717201"/>
    <w:rsid w:val="007259E8"/>
    <w:rsid w:val="00725E57"/>
    <w:rsid w:val="00736566"/>
    <w:rsid w:val="0074353D"/>
    <w:rsid w:val="00753C6A"/>
    <w:rsid w:val="0075648A"/>
    <w:rsid w:val="00763ED4"/>
    <w:rsid w:val="00766C8A"/>
    <w:rsid w:val="0076735C"/>
    <w:rsid w:val="00777932"/>
    <w:rsid w:val="0078087A"/>
    <w:rsid w:val="00782B1E"/>
    <w:rsid w:val="007844D1"/>
    <w:rsid w:val="0078482B"/>
    <w:rsid w:val="007878C4"/>
    <w:rsid w:val="007B4510"/>
    <w:rsid w:val="007C4816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5C77"/>
    <w:rsid w:val="00886047"/>
    <w:rsid w:val="008A7ACF"/>
    <w:rsid w:val="008B1661"/>
    <w:rsid w:val="008E1685"/>
    <w:rsid w:val="008E2C44"/>
    <w:rsid w:val="008E6807"/>
    <w:rsid w:val="008F7BC0"/>
    <w:rsid w:val="00900C6B"/>
    <w:rsid w:val="00902CCE"/>
    <w:rsid w:val="00917B02"/>
    <w:rsid w:val="00963ED9"/>
    <w:rsid w:val="00966C0B"/>
    <w:rsid w:val="00981F83"/>
    <w:rsid w:val="009921BA"/>
    <w:rsid w:val="00996CB7"/>
    <w:rsid w:val="009A36D1"/>
    <w:rsid w:val="009B224D"/>
    <w:rsid w:val="009C2A48"/>
    <w:rsid w:val="009D1BF1"/>
    <w:rsid w:val="009D37F0"/>
    <w:rsid w:val="009F77A1"/>
    <w:rsid w:val="00A03FE2"/>
    <w:rsid w:val="00A10DC2"/>
    <w:rsid w:val="00A164C7"/>
    <w:rsid w:val="00A50801"/>
    <w:rsid w:val="00A57072"/>
    <w:rsid w:val="00A871F9"/>
    <w:rsid w:val="00A92AA0"/>
    <w:rsid w:val="00A9514B"/>
    <w:rsid w:val="00AD2166"/>
    <w:rsid w:val="00AD367E"/>
    <w:rsid w:val="00AF040D"/>
    <w:rsid w:val="00AF1842"/>
    <w:rsid w:val="00AF69DD"/>
    <w:rsid w:val="00B00A40"/>
    <w:rsid w:val="00B01224"/>
    <w:rsid w:val="00B02274"/>
    <w:rsid w:val="00B02B81"/>
    <w:rsid w:val="00B11CF2"/>
    <w:rsid w:val="00B3090D"/>
    <w:rsid w:val="00B33D03"/>
    <w:rsid w:val="00B4360E"/>
    <w:rsid w:val="00B53BB8"/>
    <w:rsid w:val="00B636EC"/>
    <w:rsid w:val="00B63D1C"/>
    <w:rsid w:val="00B655E1"/>
    <w:rsid w:val="00B65D10"/>
    <w:rsid w:val="00B71F16"/>
    <w:rsid w:val="00B73645"/>
    <w:rsid w:val="00B87B49"/>
    <w:rsid w:val="00BA5C64"/>
    <w:rsid w:val="00BB561B"/>
    <w:rsid w:val="00BC631E"/>
    <w:rsid w:val="00BD183E"/>
    <w:rsid w:val="00BD53A3"/>
    <w:rsid w:val="00BE1AF5"/>
    <w:rsid w:val="00BE7AE1"/>
    <w:rsid w:val="00C0495F"/>
    <w:rsid w:val="00C05A27"/>
    <w:rsid w:val="00C140C0"/>
    <w:rsid w:val="00C33AF7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1665"/>
    <w:rsid w:val="00E20119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09F8"/>
    <w:rsid w:val="00EF4D36"/>
    <w:rsid w:val="00EF59E6"/>
    <w:rsid w:val="00F03327"/>
    <w:rsid w:val="00F07FFD"/>
    <w:rsid w:val="00F22708"/>
    <w:rsid w:val="00F321DB"/>
    <w:rsid w:val="00F34819"/>
    <w:rsid w:val="00F436F5"/>
    <w:rsid w:val="00F44480"/>
    <w:rsid w:val="00F52AA1"/>
    <w:rsid w:val="00F70AE9"/>
    <w:rsid w:val="00F76581"/>
    <w:rsid w:val="00F86284"/>
    <w:rsid w:val="00F97BD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587A84-78E8-4D77-ACFC-15E1F7C953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2694</Words>
  <Characters>15275</Characters>
  <Application>Microsoft Office Word</Application>
  <DocSecurity>0</DocSecurity>
  <Lines>636</Lines>
  <Paragraphs>449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31</cp:revision>
  <dcterms:created xsi:type="dcterms:W3CDTF">2026-04-25T01:32:00Z</dcterms:created>
  <dcterms:modified xsi:type="dcterms:W3CDTF">2026-05-26T00:14:00Z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