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32FDB" w14:textId="1CBE6E0A" w:rsidR="00422835" w:rsidRPr="004C00F3" w:rsidRDefault="00E14988" w:rsidP="00422835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b/>
          <w:lang w:val="es-ES"/>
        </w:rPr>
        <w:t xml:space="preserve">GUION INTRODUCCIÓN </w:t>
      </w:r>
      <w:r w:rsidR="00FE67F8">
        <w:rPr>
          <w:rFonts w:ascii="Arial" w:hAnsi="Arial" w:cs="Arial"/>
          <w:b/>
          <w:lang w:val="es-ES"/>
        </w:rPr>
        <w:t xml:space="preserve">VIDEO </w:t>
      </w:r>
      <w:r w:rsidRPr="004C00F3">
        <w:rPr>
          <w:rFonts w:ascii="Arial" w:hAnsi="Arial" w:cs="Arial"/>
          <w:b/>
          <w:lang w:val="es-ES"/>
        </w:rPr>
        <w:t>COMPONENTE FORMATIVO 0</w:t>
      </w:r>
      <w:r w:rsidR="0047452E">
        <w:rPr>
          <w:rFonts w:ascii="Arial" w:hAnsi="Arial" w:cs="Arial"/>
          <w:b/>
          <w:lang w:val="es-ES"/>
        </w:rPr>
        <w:t>2</w:t>
      </w:r>
    </w:p>
    <w:p w14:paraId="6990D502" w14:textId="068F67A8" w:rsidR="00E2228D" w:rsidRDefault="007B608A" w:rsidP="001B6014">
      <w:pPr>
        <w:jc w:val="center"/>
        <w:rPr>
          <w:rFonts w:ascii="Arial" w:hAnsi="Arial" w:cs="Arial"/>
          <w:b/>
          <w:bCs/>
        </w:rPr>
      </w:pPr>
      <w:r w:rsidRPr="004C00F3">
        <w:rPr>
          <w:rFonts w:ascii="Arial" w:hAnsi="Arial" w:cs="Arial"/>
          <w:lang w:val="es-ES"/>
        </w:rPr>
        <w:t>Título del video:</w:t>
      </w:r>
      <w:r w:rsidRPr="004C00F3">
        <w:rPr>
          <w:rFonts w:ascii="Arial" w:hAnsi="Arial" w:cs="Arial"/>
          <w:b/>
          <w:lang w:val="es-ES"/>
        </w:rPr>
        <w:t xml:space="preserve"> </w:t>
      </w:r>
      <w:r w:rsidR="0047452E" w:rsidRPr="0047452E">
        <w:rPr>
          <w:rFonts w:ascii="Arial" w:hAnsi="Arial" w:cs="Arial"/>
          <w:b/>
          <w:bCs/>
        </w:rPr>
        <w:t>Contabilidad y normatividad financiera aplicada a la cartera</w:t>
      </w:r>
    </w:p>
    <w:p w14:paraId="4D70F818" w14:textId="77777777" w:rsidR="0047452E" w:rsidRPr="00E2228D" w:rsidRDefault="0047452E" w:rsidP="001B6014">
      <w:pPr>
        <w:jc w:val="center"/>
        <w:rPr>
          <w:rFonts w:ascii="Arial" w:hAnsi="Arial" w:cs="Arial"/>
        </w:rPr>
      </w:pPr>
    </w:p>
    <w:p w14:paraId="54D2706A" w14:textId="77777777" w:rsidR="00E27220" w:rsidRPr="00E27220" w:rsidRDefault="00E27220" w:rsidP="00E27220">
      <w:pPr>
        <w:rPr>
          <w:rFonts w:ascii="Arial" w:hAnsi="Arial" w:cs="Arial"/>
        </w:rPr>
      </w:pPr>
      <w:r w:rsidRPr="002E0637">
        <w:rPr>
          <w:rFonts w:ascii="Arial" w:hAnsi="Arial" w:cs="Arial"/>
          <w:b/>
          <w:bCs/>
        </w:rPr>
        <w:t>La gestión</w:t>
      </w:r>
      <w:r w:rsidRPr="00E27220">
        <w:rPr>
          <w:rFonts w:ascii="Arial" w:hAnsi="Arial" w:cs="Arial"/>
        </w:rPr>
        <w:t xml:space="preserve"> de la </w:t>
      </w:r>
      <w:r w:rsidRPr="002E0637">
        <w:rPr>
          <w:rFonts w:ascii="Arial" w:hAnsi="Arial" w:cs="Arial"/>
          <w:b/>
          <w:bCs/>
        </w:rPr>
        <w:t xml:space="preserve">cartera de créditos </w:t>
      </w:r>
      <w:r w:rsidRPr="00E27220">
        <w:rPr>
          <w:rFonts w:ascii="Arial" w:hAnsi="Arial" w:cs="Arial"/>
        </w:rPr>
        <w:t xml:space="preserve">en el sector </w:t>
      </w:r>
      <w:r w:rsidRPr="002E0637">
        <w:rPr>
          <w:rFonts w:ascii="Arial" w:hAnsi="Arial" w:cs="Arial"/>
          <w:b/>
          <w:bCs/>
        </w:rPr>
        <w:t>financiero colombiano</w:t>
      </w:r>
      <w:r w:rsidRPr="00E27220">
        <w:rPr>
          <w:rFonts w:ascii="Arial" w:hAnsi="Arial" w:cs="Arial"/>
        </w:rPr>
        <w:t xml:space="preserve"> requiere información clara, </w:t>
      </w:r>
      <w:r w:rsidRPr="002E0637">
        <w:rPr>
          <w:rFonts w:ascii="Arial" w:hAnsi="Arial" w:cs="Arial"/>
          <w:b/>
          <w:bCs/>
        </w:rPr>
        <w:t xml:space="preserve">registros confiables </w:t>
      </w:r>
      <w:r w:rsidRPr="00E27220">
        <w:rPr>
          <w:rFonts w:ascii="Arial" w:hAnsi="Arial" w:cs="Arial"/>
        </w:rPr>
        <w:t xml:space="preserve">y decisiones ajustadas a la </w:t>
      </w:r>
      <w:r w:rsidRPr="002E0637">
        <w:rPr>
          <w:rFonts w:ascii="Arial" w:hAnsi="Arial" w:cs="Arial"/>
          <w:b/>
          <w:bCs/>
        </w:rPr>
        <w:t>normativa vigente</w:t>
      </w:r>
      <w:r w:rsidRPr="00E27220">
        <w:rPr>
          <w:rFonts w:ascii="Arial" w:hAnsi="Arial" w:cs="Arial"/>
        </w:rPr>
        <w:t xml:space="preserve">. Cada obligación otorgada por una entidad financiera debe </w:t>
      </w:r>
      <w:r w:rsidRPr="002E0637">
        <w:rPr>
          <w:rFonts w:ascii="Arial" w:hAnsi="Arial" w:cs="Arial"/>
          <w:b/>
          <w:bCs/>
        </w:rPr>
        <w:t>ser registrada, clasificada, evaluada y monitoreada</w:t>
      </w:r>
      <w:r w:rsidRPr="00E27220">
        <w:rPr>
          <w:rFonts w:ascii="Arial" w:hAnsi="Arial" w:cs="Arial"/>
        </w:rPr>
        <w:t xml:space="preserve"> para proteger los recursos administrados y mantener la solidez institucional.</w:t>
      </w:r>
    </w:p>
    <w:p w14:paraId="282F7557" w14:textId="77777777" w:rsidR="00E27220" w:rsidRPr="00E27220" w:rsidRDefault="00E27220" w:rsidP="00E27220">
      <w:pPr>
        <w:rPr>
          <w:rFonts w:ascii="Arial" w:hAnsi="Arial" w:cs="Arial"/>
        </w:rPr>
      </w:pPr>
      <w:r w:rsidRPr="00E27220">
        <w:rPr>
          <w:rFonts w:ascii="Arial" w:hAnsi="Arial" w:cs="Arial"/>
        </w:rPr>
        <w:t xml:space="preserve">Este componente formativo presenta los </w:t>
      </w:r>
      <w:r w:rsidRPr="002E0637">
        <w:rPr>
          <w:rFonts w:ascii="Arial" w:hAnsi="Arial" w:cs="Arial"/>
          <w:b/>
          <w:bCs/>
        </w:rPr>
        <w:t>fundamentos contables</w:t>
      </w:r>
      <w:r w:rsidRPr="00E27220">
        <w:rPr>
          <w:rFonts w:ascii="Arial" w:hAnsi="Arial" w:cs="Arial"/>
        </w:rPr>
        <w:t xml:space="preserve"> y </w:t>
      </w:r>
      <w:r w:rsidRPr="002E0637">
        <w:rPr>
          <w:rFonts w:ascii="Arial" w:hAnsi="Arial" w:cs="Arial"/>
          <w:b/>
          <w:bCs/>
        </w:rPr>
        <w:t>normativos</w:t>
      </w:r>
      <w:r w:rsidRPr="00E27220">
        <w:rPr>
          <w:rFonts w:ascii="Arial" w:hAnsi="Arial" w:cs="Arial"/>
        </w:rPr>
        <w:t xml:space="preserve"> que orientan la </w:t>
      </w:r>
      <w:r w:rsidRPr="002E0637">
        <w:rPr>
          <w:rFonts w:ascii="Arial" w:hAnsi="Arial" w:cs="Arial"/>
          <w:b/>
          <w:bCs/>
        </w:rPr>
        <w:t>administración de la cartera</w:t>
      </w:r>
      <w:r w:rsidRPr="00E27220">
        <w:rPr>
          <w:rFonts w:ascii="Arial" w:hAnsi="Arial" w:cs="Arial"/>
        </w:rPr>
        <w:t xml:space="preserve">. A partir de estos contenidos, se comprende cómo la </w:t>
      </w:r>
      <w:r w:rsidRPr="002E0637">
        <w:rPr>
          <w:rFonts w:ascii="Arial" w:hAnsi="Arial" w:cs="Arial"/>
          <w:b/>
          <w:bCs/>
        </w:rPr>
        <w:t>información financiera</w:t>
      </w:r>
      <w:r w:rsidRPr="00E27220">
        <w:rPr>
          <w:rFonts w:ascii="Arial" w:hAnsi="Arial" w:cs="Arial"/>
        </w:rPr>
        <w:t xml:space="preserve"> ayuda a </w:t>
      </w:r>
      <w:r w:rsidRPr="002E0637">
        <w:rPr>
          <w:rFonts w:ascii="Arial" w:hAnsi="Arial" w:cs="Arial"/>
          <w:b/>
          <w:bCs/>
        </w:rPr>
        <w:t>reconocer el estado de las obligaciones</w:t>
      </w:r>
      <w:r w:rsidRPr="00E27220">
        <w:rPr>
          <w:rFonts w:ascii="Arial" w:hAnsi="Arial" w:cs="Arial"/>
        </w:rPr>
        <w:t xml:space="preserve">, identificar riesgos, </w:t>
      </w:r>
      <w:r w:rsidRPr="002E0637">
        <w:rPr>
          <w:rFonts w:ascii="Arial" w:hAnsi="Arial" w:cs="Arial"/>
          <w:b/>
          <w:bCs/>
        </w:rPr>
        <w:t>calcular provisiones</w:t>
      </w:r>
      <w:r w:rsidRPr="00E27220">
        <w:rPr>
          <w:rFonts w:ascii="Arial" w:hAnsi="Arial" w:cs="Arial"/>
        </w:rPr>
        <w:t xml:space="preserve"> y </w:t>
      </w:r>
      <w:r w:rsidRPr="002E0637">
        <w:rPr>
          <w:rFonts w:ascii="Arial" w:hAnsi="Arial" w:cs="Arial"/>
          <w:b/>
          <w:bCs/>
        </w:rPr>
        <w:t>sustentar decisiones</w:t>
      </w:r>
      <w:r w:rsidRPr="00E27220">
        <w:rPr>
          <w:rFonts w:ascii="Arial" w:hAnsi="Arial" w:cs="Arial"/>
        </w:rPr>
        <w:t xml:space="preserve"> relacionadas con el seguimiento, la recuperación y el </w:t>
      </w:r>
      <w:r w:rsidRPr="002E0637">
        <w:rPr>
          <w:rFonts w:ascii="Arial" w:hAnsi="Arial" w:cs="Arial"/>
          <w:b/>
          <w:bCs/>
        </w:rPr>
        <w:t>cumplimiento regulatorio</w:t>
      </w:r>
      <w:r w:rsidRPr="00E27220">
        <w:rPr>
          <w:rFonts w:ascii="Arial" w:hAnsi="Arial" w:cs="Arial"/>
        </w:rPr>
        <w:t>.</w:t>
      </w:r>
    </w:p>
    <w:p w14:paraId="3FB5547C" w14:textId="77777777" w:rsidR="00E27220" w:rsidRPr="00E27220" w:rsidRDefault="00E27220" w:rsidP="00E27220">
      <w:pPr>
        <w:rPr>
          <w:rFonts w:ascii="Arial" w:hAnsi="Arial" w:cs="Arial"/>
        </w:rPr>
      </w:pPr>
      <w:r w:rsidRPr="00E27220">
        <w:rPr>
          <w:rFonts w:ascii="Arial" w:hAnsi="Arial" w:cs="Arial"/>
        </w:rPr>
        <w:t xml:space="preserve">Asimismo, se aborda la importancia de los </w:t>
      </w:r>
      <w:r w:rsidRPr="002E0637">
        <w:rPr>
          <w:rFonts w:ascii="Arial" w:hAnsi="Arial" w:cs="Arial"/>
          <w:b/>
          <w:bCs/>
        </w:rPr>
        <w:t>planes de pago</w:t>
      </w:r>
      <w:r w:rsidRPr="00E27220">
        <w:rPr>
          <w:rFonts w:ascii="Arial" w:hAnsi="Arial" w:cs="Arial"/>
        </w:rPr>
        <w:t xml:space="preserve">, las </w:t>
      </w:r>
      <w:r w:rsidRPr="002E0637">
        <w:rPr>
          <w:rFonts w:ascii="Arial" w:hAnsi="Arial" w:cs="Arial"/>
          <w:b/>
          <w:bCs/>
        </w:rPr>
        <w:t>modalidades de crédito</w:t>
      </w:r>
      <w:r w:rsidRPr="00E27220">
        <w:rPr>
          <w:rFonts w:ascii="Arial" w:hAnsi="Arial" w:cs="Arial"/>
        </w:rPr>
        <w:t xml:space="preserve">, las </w:t>
      </w:r>
      <w:r w:rsidRPr="002E0637">
        <w:rPr>
          <w:rFonts w:ascii="Arial" w:hAnsi="Arial" w:cs="Arial"/>
          <w:b/>
          <w:bCs/>
        </w:rPr>
        <w:t xml:space="preserve">tasas de interés </w:t>
      </w:r>
      <w:r w:rsidRPr="00E27220">
        <w:rPr>
          <w:rFonts w:ascii="Arial" w:hAnsi="Arial" w:cs="Arial"/>
        </w:rPr>
        <w:t xml:space="preserve">y las </w:t>
      </w:r>
      <w:r w:rsidRPr="002E0637">
        <w:rPr>
          <w:rFonts w:ascii="Arial" w:hAnsi="Arial" w:cs="Arial"/>
          <w:b/>
          <w:bCs/>
        </w:rPr>
        <w:t>alternativas de normalización</w:t>
      </w:r>
      <w:r w:rsidRPr="00E27220">
        <w:rPr>
          <w:rFonts w:ascii="Arial" w:hAnsi="Arial" w:cs="Arial"/>
        </w:rPr>
        <w:t xml:space="preserve">, como la reestructuración y la refinanciación. Estos elementos permiten </w:t>
      </w:r>
      <w:r w:rsidRPr="002E0637">
        <w:rPr>
          <w:rFonts w:ascii="Arial" w:hAnsi="Arial" w:cs="Arial"/>
          <w:b/>
          <w:bCs/>
        </w:rPr>
        <w:t xml:space="preserve">analizar cada caso </w:t>
      </w:r>
      <w:r w:rsidRPr="00E27220">
        <w:rPr>
          <w:rFonts w:ascii="Arial" w:hAnsi="Arial" w:cs="Arial"/>
        </w:rPr>
        <w:t xml:space="preserve">con criterio técnico y proponer acciones acordes con la </w:t>
      </w:r>
      <w:r w:rsidRPr="002E0637">
        <w:rPr>
          <w:rFonts w:ascii="Arial" w:hAnsi="Arial" w:cs="Arial"/>
          <w:b/>
          <w:bCs/>
        </w:rPr>
        <w:t>capacidad de pago del deudor</w:t>
      </w:r>
      <w:r w:rsidRPr="00E27220">
        <w:rPr>
          <w:rFonts w:ascii="Arial" w:hAnsi="Arial" w:cs="Arial"/>
        </w:rPr>
        <w:t xml:space="preserve"> y las </w:t>
      </w:r>
      <w:r w:rsidRPr="002E0637">
        <w:rPr>
          <w:rFonts w:ascii="Arial" w:hAnsi="Arial" w:cs="Arial"/>
          <w:b/>
          <w:bCs/>
        </w:rPr>
        <w:t>políticas de la entidad</w:t>
      </w:r>
      <w:r w:rsidRPr="00E27220">
        <w:rPr>
          <w:rFonts w:ascii="Arial" w:hAnsi="Arial" w:cs="Arial"/>
        </w:rPr>
        <w:t>.</w:t>
      </w:r>
    </w:p>
    <w:p w14:paraId="1794CCFC" w14:textId="4CB244A5" w:rsidR="00E27220" w:rsidRPr="00E27220" w:rsidRDefault="00E27220" w:rsidP="00E27220">
      <w:pPr>
        <w:rPr>
          <w:rFonts w:ascii="Arial" w:hAnsi="Arial" w:cs="Arial"/>
        </w:rPr>
      </w:pPr>
      <w:r w:rsidRPr="00E27220">
        <w:rPr>
          <w:rFonts w:ascii="Arial" w:hAnsi="Arial" w:cs="Arial"/>
        </w:rPr>
        <w:t xml:space="preserve">De esta manera, este </w:t>
      </w:r>
      <w:r w:rsidRPr="002E0637">
        <w:rPr>
          <w:rFonts w:ascii="Arial" w:hAnsi="Arial" w:cs="Arial"/>
          <w:b/>
          <w:bCs/>
        </w:rPr>
        <w:t>espacio de aprendizaje</w:t>
      </w:r>
      <w:r w:rsidRPr="00E27220">
        <w:rPr>
          <w:rFonts w:ascii="Arial" w:hAnsi="Arial" w:cs="Arial"/>
        </w:rPr>
        <w:t xml:space="preserve"> fortalece la capacidad para </w:t>
      </w:r>
      <w:r w:rsidRPr="002E0637">
        <w:rPr>
          <w:rFonts w:ascii="Arial" w:hAnsi="Arial" w:cs="Arial"/>
          <w:b/>
          <w:bCs/>
        </w:rPr>
        <w:t>interpretar información contable</w:t>
      </w:r>
      <w:r w:rsidRPr="00E27220">
        <w:rPr>
          <w:rFonts w:ascii="Arial" w:hAnsi="Arial" w:cs="Arial"/>
        </w:rPr>
        <w:t xml:space="preserve"> y</w:t>
      </w:r>
      <w:r w:rsidRPr="002E0637">
        <w:rPr>
          <w:rFonts w:ascii="Arial" w:hAnsi="Arial" w:cs="Arial"/>
          <w:b/>
          <w:bCs/>
        </w:rPr>
        <w:t xml:space="preserve"> financiera de la cartera</w:t>
      </w:r>
      <w:r w:rsidRPr="00E27220">
        <w:rPr>
          <w:rFonts w:ascii="Arial" w:hAnsi="Arial" w:cs="Arial"/>
        </w:rPr>
        <w:t xml:space="preserve">, reconocer el impacto de la mora, calcular provisiones y </w:t>
      </w:r>
      <w:r w:rsidRPr="002E0637">
        <w:rPr>
          <w:rFonts w:ascii="Arial" w:hAnsi="Arial" w:cs="Arial"/>
          <w:b/>
          <w:bCs/>
        </w:rPr>
        <w:t>aplicar criterios normativos</w:t>
      </w:r>
      <w:r w:rsidRPr="00E27220">
        <w:rPr>
          <w:rFonts w:ascii="Arial" w:hAnsi="Arial" w:cs="Arial"/>
        </w:rPr>
        <w:t xml:space="preserve"> en situaciones propias del </w:t>
      </w:r>
      <w:r w:rsidRPr="002E0637">
        <w:rPr>
          <w:rFonts w:ascii="Arial" w:hAnsi="Arial" w:cs="Arial"/>
          <w:b/>
          <w:bCs/>
        </w:rPr>
        <w:t>sector</w:t>
      </w:r>
      <w:r w:rsidR="002E0637">
        <w:rPr>
          <w:rFonts w:ascii="Arial" w:hAnsi="Arial" w:cs="Arial"/>
          <w:b/>
          <w:bCs/>
        </w:rPr>
        <w:t>.</w:t>
      </w:r>
    </w:p>
    <w:p w14:paraId="42889ABE" w14:textId="0D71067E" w:rsidR="00E27220" w:rsidRPr="00E27220" w:rsidRDefault="00E27220" w:rsidP="00E27220">
      <w:pPr>
        <w:rPr>
          <w:rFonts w:ascii="Arial" w:hAnsi="Arial" w:cs="Arial"/>
        </w:rPr>
      </w:pPr>
      <w:r w:rsidRPr="00E27220">
        <w:rPr>
          <w:rFonts w:ascii="Arial" w:hAnsi="Arial" w:cs="Arial"/>
        </w:rPr>
        <w:t xml:space="preserve">Asimismo, promueve una </w:t>
      </w:r>
      <w:r w:rsidRPr="002E0637">
        <w:rPr>
          <w:rFonts w:ascii="Arial" w:hAnsi="Arial" w:cs="Arial"/>
          <w:b/>
          <w:bCs/>
        </w:rPr>
        <w:t>gestión técnica</w:t>
      </w:r>
      <w:r w:rsidRPr="00E27220">
        <w:rPr>
          <w:rFonts w:ascii="Arial" w:hAnsi="Arial" w:cs="Arial"/>
        </w:rPr>
        <w:t xml:space="preserve">, responsable y </w:t>
      </w:r>
      <w:r w:rsidRPr="002E0637">
        <w:rPr>
          <w:rFonts w:ascii="Arial" w:hAnsi="Arial" w:cs="Arial"/>
          <w:b/>
          <w:bCs/>
        </w:rPr>
        <w:t>normativa</w:t>
      </w:r>
      <w:r w:rsidRPr="00E27220">
        <w:rPr>
          <w:rFonts w:ascii="Arial" w:hAnsi="Arial" w:cs="Arial"/>
        </w:rPr>
        <w:t xml:space="preserve">, orientada al cumplimiento institucional, al </w:t>
      </w:r>
      <w:r w:rsidRPr="002E0637">
        <w:rPr>
          <w:rFonts w:ascii="Arial" w:hAnsi="Arial" w:cs="Arial"/>
          <w:b/>
          <w:bCs/>
        </w:rPr>
        <w:t>manejo adecuado de los créditos</w:t>
      </w:r>
      <w:r w:rsidRPr="00E27220">
        <w:rPr>
          <w:rFonts w:ascii="Arial" w:hAnsi="Arial" w:cs="Arial"/>
        </w:rPr>
        <w:t xml:space="preserve">, a la </w:t>
      </w:r>
      <w:r w:rsidRPr="002E0637">
        <w:rPr>
          <w:rFonts w:ascii="Arial" w:hAnsi="Arial" w:cs="Arial"/>
          <w:b/>
          <w:bCs/>
        </w:rPr>
        <w:t>toma de decisiones</w:t>
      </w:r>
      <w:r w:rsidRPr="00E27220">
        <w:rPr>
          <w:rFonts w:ascii="Arial" w:hAnsi="Arial" w:cs="Arial"/>
        </w:rPr>
        <w:t xml:space="preserve"> fundamentadas y a la </w:t>
      </w:r>
      <w:r w:rsidRPr="002E0637">
        <w:rPr>
          <w:rFonts w:ascii="Arial" w:hAnsi="Arial" w:cs="Arial"/>
          <w:b/>
          <w:bCs/>
        </w:rPr>
        <w:t>protección del consumidor</w:t>
      </w:r>
      <w:r w:rsidRPr="00E27220">
        <w:rPr>
          <w:rFonts w:ascii="Arial" w:hAnsi="Arial" w:cs="Arial"/>
        </w:rPr>
        <w:t xml:space="preserve"> financiero</w:t>
      </w:r>
      <w:r w:rsidR="002E0637">
        <w:rPr>
          <w:rFonts w:ascii="Arial" w:hAnsi="Arial" w:cs="Arial"/>
        </w:rPr>
        <w:t>.</w:t>
      </w:r>
    </w:p>
    <w:p w14:paraId="2FF13D03" w14:textId="77777777" w:rsidR="00E27220" w:rsidRDefault="00E27220" w:rsidP="00E2228D">
      <w:pPr>
        <w:rPr>
          <w:rFonts w:ascii="Arial" w:hAnsi="Arial" w:cs="Arial"/>
        </w:rPr>
      </w:pPr>
    </w:p>
    <w:p w14:paraId="0B881103" w14:textId="51D3FBCB" w:rsidR="00755B71" w:rsidRPr="00D22D28" w:rsidRDefault="00A90A59" w:rsidP="00755B71">
      <w:pPr>
        <w:pStyle w:val="font-claude-response-body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D22D28">
        <w:rPr>
          <w:rStyle w:val="Fuerte"/>
          <w:rFonts w:ascii="Arial" w:hAnsi="Arial" w:cs="Arial"/>
          <w:b w:val="0"/>
          <w:bCs w:val="0"/>
          <w:color w:val="000000" w:themeColor="text1"/>
          <w:sz w:val="22"/>
          <w:szCs w:val="22"/>
        </w:rPr>
        <w:t>TOTAL,</w:t>
      </w:r>
      <w:r w:rsidR="00755B71" w:rsidRPr="00D22D28">
        <w:rPr>
          <w:rStyle w:val="Fuerte"/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 PALABRAS: 2</w:t>
      </w:r>
      <w:r w:rsidR="00E27220">
        <w:rPr>
          <w:rStyle w:val="Fuerte"/>
          <w:rFonts w:ascii="Arial" w:hAnsi="Arial" w:cs="Arial"/>
          <w:b w:val="0"/>
          <w:bCs w:val="0"/>
          <w:color w:val="000000" w:themeColor="text1"/>
          <w:sz w:val="22"/>
          <w:szCs w:val="22"/>
        </w:rPr>
        <w:t>2</w:t>
      </w:r>
      <w:r w:rsidR="002E0637">
        <w:rPr>
          <w:rStyle w:val="Fuerte"/>
          <w:rFonts w:ascii="Arial" w:hAnsi="Arial" w:cs="Arial"/>
          <w:b w:val="0"/>
          <w:bCs w:val="0"/>
          <w:color w:val="000000" w:themeColor="text1"/>
          <w:sz w:val="22"/>
          <w:szCs w:val="22"/>
        </w:rPr>
        <w:t>4</w:t>
      </w:r>
    </w:p>
    <w:p w14:paraId="1DA72FD2" w14:textId="7881BED9" w:rsidR="0034187D" w:rsidRPr="004C00F3" w:rsidRDefault="0034187D" w:rsidP="00B13AAA">
      <w:pPr>
        <w:rPr>
          <w:rFonts w:ascii="Arial" w:hAnsi="Arial" w:cs="Arial"/>
        </w:rPr>
      </w:pPr>
    </w:p>
    <w:sectPr w:rsidR="0034187D" w:rsidRPr="004C00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3526186">
    <w:abstractNumId w:val="0"/>
  </w:num>
  <w:num w:numId="2" w16cid:durableId="663165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014EA1"/>
    <w:rsid w:val="0007490C"/>
    <w:rsid w:val="000A032F"/>
    <w:rsid w:val="000A2204"/>
    <w:rsid w:val="000B5069"/>
    <w:rsid w:val="00103092"/>
    <w:rsid w:val="00122354"/>
    <w:rsid w:val="0015231C"/>
    <w:rsid w:val="00160347"/>
    <w:rsid w:val="00192FD9"/>
    <w:rsid w:val="001A53EA"/>
    <w:rsid w:val="001B6014"/>
    <w:rsid w:val="001E0849"/>
    <w:rsid w:val="00220B3D"/>
    <w:rsid w:val="00241A0E"/>
    <w:rsid w:val="00242B75"/>
    <w:rsid w:val="002456CE"/>
    <w:rsid w:val="00263EA5"/>
    <w:rsid w:val="00270492"/>
    <w:rsid w:val="00277964"/>
    <w:rsid w:val="002865F0"/>
    <w:rsid w:val="002A114A"/>
    <w:rsid w:val="002C3673"/>
    <w:rsid w:val="002E0637"/>
    <w:rsid w:val="002F68D8"/>
    <w:rsid w:val="003006AD"/>
    <w:rsid w:val="00310A1F"/>
    <w:rsid w:val="00321909"/>
    <w:rsid w:val="00325FB5"/>
    <w:rsid w:val="0034187D"/>
    <w:rsid w:val="00352B3A"/>
    <w:rsid w:val="003824D8"/>
    <w:rsid w:val="00386732"/>
    <w:rsid w:val="00395D69"/>
    <w:rsid w:val="003B594B"/>
    <w:rsid w:val="003F0B40"/>
    <w:rsid w:val="00422835"/>
    <w:rsid w:val="004512AC"/>
    <w:rsid w:val="0047452E"/>
    <w:rsid w:val="00475DC3"/>
    <w:rsid w:val="004C00F3"/>
    <w:rsid w:val="004D15A9"/>
    <w:rsid w:val="004F26B6"/>
    <w:rsid w:val="00523ABB"/>
    <w:rsid w:val="00550D97"/>
    <w:rsid w:val="00573BDE"/>
    <w:rsid w:val="0057787B"/>
    <w:rsid w:val="00585448"/>
    <w:rsid w:val="00590D97"/>
    <w:rsid w:val="00593A5B"/>
    <w:rsid w:val="005A01CC"/>
    <w:rsid w:val="005B5967"/>
    <w:rsid w:val="005E049F"/>
    <w:rsid w:val="006132D6"/>
    <w:rsid w:val="0061407B"/>
    <w:rsid w:val="006353EE"/>
    <w:rsid w:val="00655FB5"/>
    <w:rsid w:val="00666672"/>
    <w:rsid w:val="006711B4"/>
    <w:rsid w:val="006D4A80"/>
    <w:rsid w:val="006F0C71"/>
    <w:rsid w:val="00713224"/>
    <w:rsid w:val="00727B47"/>
    <w:rsid w:val="00750864"/>
    <w:rsid w:val="00755B71"/>
    <w:rsid w:val="007767C2"/>
    <w:rsid w:val="00776ED2"/>
    <w:rsid w:val="0077777A"/>
    <w:rsid w:val="00790513"/>
    <w:rsid w:val="007A4279"/>
    <w:rsid w:val="007B608A"/>
    <w:rsid w:val="007C13A9"/>
    <w:rsid w:val="0080726A"/>
    <w:rsid w:val="00813E72"/>
    <w:rsid w:val="00814543"/>
    <w:rsid w:val="008214F4"/>
    <w:rsid w:val="00827B49"/>
    <w:rsid w:val="00844D29"/>
    <w:rsid w:val="00856931"/>
    <w:rsid w:val="00896F06"/>
    <w:rsid w:val="008E0ADB"/>
    <w:rsid w:val="008F5429"/>
    <w:rsid w:val="00906060"/>
    <w:rsid w:val="00913ECA"/>
    <w:rsid w:val="00936CBB"/>
    <w:rsid w:val="00975239"/>
    <w:rsid w:val="00987D84"/>
    <w:rsid w:val="00991D28"/>
    <w:rsid w:val="009925D4"/>
    <w:rsid w:val="009D5673"/>
    <w:rsid w:val="009D760E"/>
    <w:rsid w:val="00A02D94"/>
    <w:rsid w:val="00A90A59"/>
    <w:rsid w:val="00A9199E"/>
    <w:rsid w:val="00AB68BC"/>
    <w:rsid w:val="00AD19E6"/>
    <w:rsid w:val="00AD7724"/>
    <w:rsid w:val="00AF76AE"/>
    <w:rsid w:val="00B13AAA"/>
    <w:rsid w:val="00B313AE"/>
    <w:rsid w:val="00B37054"/>
    <w:rsid w:val="00B55E05"/>
    <w:rsid w:val="00B7651B"/>
    <w:rsid w:val="00B76F52"/>
    <w:rsid w:val="00B87676"/>
    <w:rsid w:val="00BA61B0"/>
    <w:rsid w:val="00BD5271"/>
    <w:rsid w:val="00BD7BF1"/>
    <w:rsid w:val="00BE1783"/>
    <w:rsid w:val="00BE19A7"/>
    <w:rsid w:val="00C009FD"/>
    <w:rsid w:val="00C06BD2"/>
    <w:rsid w:val="00C27E7C"/>
    <w:rsid w:val="00C75EF4"/>
    <w:rsid w:val="00C8699F"/>
    <w:rsid w:val="00CA29CD"/>
    <w:rsid w:val="00CA7AA0"/>
    <w:rsid w:val="00CB0677"/>
    <w:rsid w:val="00CD413A"/>
    <w:rsid w:val="00D05EF7"/>
    <w:rsid w:val="00D22D28"/>
    <w:rsid w:val="00D25CA3"/>
    <w:rsid w:val="00D2797B"/>
    <w:rsid w:val="00D47F5A"/>
    <w:rsid w:val="00DA4B31"/>
    <w:rsid w:val="00DB5190"/>
    <w:rsid w:val="00DD2A4C"/>
    <w:rsid w:val="00DE79C2"/>
    <w:rsid w:val="00E14988"/>
    <w:rsid w:val="00E165E1"/>
    <w:rsid w:val="00E2228D"/>
    <w:rsid w:val="00E27220"/>
    <w:rsid w:val="00E61E06"/>
    <w:rsid w:val="00E65E24"/>
    <w:rsid w:val="00E81A67"/>
    <w:rsid w:val="00EC5E9A"/>
    <w:rsid w:val="00ED0679"/>
    <w:rsid w:val="00EF5756"/>
    <w:rsid w:val="00F1505C"/>
    <w:rsid w:val="00F34F6E"/>
    <w:rsid w:val="00F507B8"/>
    <w:rsid w:val="00F8680C"/>
    <w:rsid w:val="00FA7096"/>
    <w:rsid w:val="00FB293D"/>
    <w:rsid w:val="00FD12D9"/>
    <w:rsid w:val="00FE67F8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  <w:style w:type="paragraph" w:customStyle="1" w:styleId="font-claude-response-body">
    <w:name w:val="font-claude-response-body"/>
    <w:basedOn w:val="Normal"/>
    <w:rsid w:val="00755B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755B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D2DB5F8-8C33-4C26-B708-146ED9BB55D5}"/>
</file>

<file path=customXml/itemProps2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1</Pages>
  <Words>244</Words>
  <Characters>1479</Characters>
  <Application>Microsoft Office Word</Application>
  <DocSecurity>0</DocSecurity>
  <Lines>30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Gloria Alzate</cp:lastModifiedBy>
  <cp:revision>108</cp:revision>
  <dcterms:created xsi:type="dcterms:W3CDTF">2024-08-06T13:31:00Z</dcterms:created>
  <dcterms:modified xsi:type="dcterms:W3CDTF">2026-05-26T19:17:00Z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