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006A4E4" w:rsidR="00005140" w:rsidRPr="000059EE" w:rsidRDefault="0060074A" w:rsidP="00217419">
                            <w:pPr>
                              <w:pStyle w:val="TituloPortada"/>
                              <w:ind w:firstLine="0"/>
                              <w:rPr>
                                <w:sz w:val="68"/>
                                <w:szCs w:val="68"/>
                                <w:lang w:val="es-CO"/>
                              </w:rPr>
                            </w:pPr>
                            <w:r w:rsidRPr="0060074A">
                              <w:rPr>
                                <w:bCs/>
                                <w:sz w:val="68"/>
                                <w:szCs w:val="68"/>
                                <w:lang w:val="es-ES"/>
                              </w:rPr>
                              <w:t>Contabilidad y normatividad financiera aplicada a la cartera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3006A4E4" w:rsidR="00005140" w:rsidRPr="000059EE" w:rsidRDefault="0060074A" w:rsidP="00217419">
                      <w:pPr>
                        <w:pStyle w:val="TituloPortada"/>
                        <w:ind w:firstLine="0"/>
                        <w:rPr>
                          <w:sz w:val="68"/>
                          <w:szCs w:val="68"/>
                          <w:lang w:val="es-CO"/>
                        </w:rPr>
                      </w:pPr>
                      <w:r w:rsidRPr="0060074A">
                        <w:rPr>
                          <w:bCs/>
                          <w:sz w:val="68"/>
                          <w:szCs w:val="68"/>
                          <w:lang w:val="es-ES"/>
                        </w:rPr>
                        <w:t>Contabilidad y normatividad financiera aplicada a la cartera</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5EBEAFD4" w:rsidR="009464E8" w:rsidRDefault="0060074A" w:rsidP="009464E8">
      <w:pPr>
        <w:pBdr>
          <w:bottom w:val="single" w:sz="12" w:space="1" w:color="auto"/>
        </w:pBdr>
        <w:ind w:firstLine="1"/>
        <w:rPr>
          <w:rFonts w:ascii="Calibri" w:hAnsi="Calibri"/>
          <w:color w:val="000000" w:themeColor="text1"/>
          <w:kern w:val="0"/>
          <w14:ligatures w14:val="none"/>
        </w:rPr>
      </w:pPr>
      <w:r w:rsidRPr="0060074A">
        <w:rPr>
          <w:rStyle w:val="TablaCar"/>
        </w:rPr>
        <w:t>Este componente formativo desarrolla en el aprendiz los conocimientos contables y normativos para la gestión de cartera en el sector financiero colombiano. Se abordan la contabilidad básica del sistema financiero, los planes de pago de crédito, el marco normativo vigente, las entidades de supervisión y la aplicación de estos saberes en situaciones concretas de gestión de cartera.</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11A8550" w:rsidR="00C407C1" w:rsidRPr="003758F7" w:rsidRDefault="00867C0E" w:rsidP="001855A0">
      <w:pPr>
        <w:ind w:firstLine="0"/>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15890DD4" w14:textId="2EE800C4" w:rsidR="0033089D"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2493824" w:history="1">
            <w:r w:rsidR="0033089D" w:rsidRPr="001209EB">
              <w:rPr>
                <w:rStyle w:val="Hipervnculo"/>
                <w:noProof/>
              </w:rPr>
              <w:t>Introducción</w:t>
            </w:r>
            <w:r w:rsidR="0033089D">
              <w:rPr>
                <w:noProof/>
                <w:webHidden/>
              </w:rPr>
              <w:tab/>
            </w:r>
            <w:r w:rsidR="0033089D">
              <w:rPr>
                <w:noProof/>
                <w:webHidden/>
              </w:rPr>
              <w:fldChar w:fldCharType="begin"/>
            </w:r>
            <w:r w:rsidR="0033089D">
              <w:rPr>
                <w:noProof/>
                <w:webHidden/>
              </w:rPr>
              <w:instrText xml:space="preserve"> PAGEREF _Toc232493824 \h </w:instrText>
            </w:r>
            <w:r w:rsidR="0033089D">
              <w:rPr>
                <w:noProof/>
                <w:webHidden/>
              </w:rPr>
            </w:r>
            <w:r w:rsidR="0033089D">
              <w:rPr>
                <w:noProof/>
                <w:webHidden/>
              </w:rPr>
              <w:fldChar w:fldCharType="separate"/>
            </w:r>
            <w:r w:rsidR="00A45BD4">
              <w:rPr>
                <w:noProof/>
                <w:webHidden/>
              </w:rPr>
              <w:t>4</w:t>
            </w:r>
            <w:r w:rsidR="0033089D">
              <w:rPr>
                <w:noProof/>
                <w:webHidden/>
              </w:rPr>
              <w:fldChar w:fldCharType="end"/>
            </w:r>
          </w:hyperlink>
        </w:p>
        <w:p w14:paraId="45E43131" w14:textId="66D830EC" w:rsidR="0033089D" w:rsidRDefault="00A45BD4">
          <w:pPr>
            <w:pStyle w:val="TDC1"/>
            <w:tabs>
              <w:tab w:val="right" w:leader="dot" w:pos="9962"/>
            </w:tabs>
            <w:rPr>
              <w:rFonts w:eastAsiaTheme="minorEastAsia"/>
              <w:noProof/>
              <w:kern w:val="0"/>
              <w:sz w:val="22"/>
              <w:lang w:eastAsia="es-CO"/>
              <w14:ligatures w14:val="none"/>
            </w:rPr>
          </w:pPr>
          <w:hyperlink w:anchor="_Toc232493825" w:history="1">
            <w:r w:rsidR="0033089D" w:rsidRPr="001209EB">
              <w:rPr>
                <w:rStyle w:val="Hipervnculo"/>
                <w:noProof/>
              </w:rPr>
              <w:t>1. Contabilidad básica del sistema financiero</w:t>
            </w:r>
            <w:r w:rsidR="0033089D">
              <w:rPr>
                <w:noProof/>
                <w:webHidden/>
              </w:rPr>
              <w:tab/>
            </w:r>
            <w:r w:rsidR="0033089D">
              <w:rPr>
                <w:noProof/>
                <w:webHidden/>
              </w:rPr>
              <w:fldChar w:fldCharType="begin"/>
            </w:r>
            <w:r w:rsidR="0033089D">
              <w:rPr>
                <w:noProof/>
                <w:webHidden/>
              </w:rPr>
              <w:instrText xml:space="preserve"> PAGEREF _Toc232493825 \h </w:instrText>
            </w:r>
            <w:r w:rsidR="0033089D">
              <w:rPr>
                <w:noProof/>
                <w:webHidden/>
              </w:rPr>
            </w:r>
            <w:r w:rsidR="0033089D">
              <w:rPr>
                <w:noProof/>
                <w:webHidden/>
              </w:rPr>
              <w:fldChar w:fldCharType="separate"/>
            </w:r>
            <w:r>
              <w:rPr>
                <w:noProof/>
                <w:webHidden/>
              </w:rPr>
              <w:t>7</w:t>
            </w:r>
            <w:r w:rsidR="0033089D">
              <w:rPr>
                <w:noProof/>
                <w:webHidden/>
              </w:rPr>
              <w:fldChar w:fldCharType="end"/>
            </w:r>
          </w:hyperlink>
        </w:p>
        <w:p w14:paraId="5E4000F6" w14:textId="17048A5C" w:rsidR="0033089D" w:rsidRDefault="00A45BD4">
          <w:pPr>
            <w:pStyle w:val="TDC2"/>
            <w:tabs>
              <w:tab w:val="right" w:leader="dot" w:pos="9962"/>
            </w:tabs>
            <w:rPr>
              <w:rFonts w:eastAsiaTheme="minorEastAsia"/>
              <w:noProof/>
              <w:kern w:val="0"/>
              <w:sz w:val="22"/>
              <w:lang w:eastAsia="es-CO"/>
              <w14:ligatures w14:val="none"/>
            </w:rPr>
          </w:pPr>
          <w:hyperlink w:anchor="_Toc232493826" w:history="1">
            <w:r w:rsidR="0033089D" w:rsidRPr="001209EB">
              <w:rPr>
                <w:rStyle w:val="Hipervnculo"/>
                <w:noProof/>
              </w:rPr>
              <w:t>1.1. Propósito de la contabilidad en las entidades financieras</w:t>
            </w:r>
            <w:r w:rsidR="0033089D">
              <w:rPr>
                <w:noProof/>
                <w:webHidden/>
              </w:rPr>
              <w:tab/>
            </w:r>
            <w:r w:rsidR="0033089D">
              <w:rPr>
                <w:noProof/>
                <w:webHidden/>
              </w:rPr>
              <w:fldChar w:fldCharType="begin"/>
            </w:r>
            <w:r w:rsidR="0033089D">
              <w:rPr>
                <w:noProof/>
                <w:webHidden/>
              </w:rPr>
              <w:instrText xml:space="preserve"> PAGEREF _Toc232493826 \h </w:instrText>
            </w:r>
            <w:r w:rsidR="0033089D">
              <w:rPr>
                <w:noProof/>
                <w:webHidden/>
              </w:rPr>
            </w:r>
            <w:r w:rsidR="0033089D">
              <w:rPr>
                <w:noProof/>
                <w:webHidden/>
              </w:rPr>
              <w:fldChar w:fldCharType="separate"/>
            </w:r>
            <w:r>
              <w:rPr>
                <w:noProof/>
                <w:webHidden/>
              </w:rPr>
              <w:t>8</w:t>
            </w:r>
            <w:r w:rsidR="0033089D">
              <w:rPr>
                <w:noProof/>
                <w:webHidden/>
              </w:rPr>
              <w:fldChar w:fldCharType="end"/>
            </w:r>
          </w:hyperlink>
        </w:p>
        <w:p w14:paraId="5871C73D" w14:textId="5B3774BA" w:rsidR="0033089D" w:rsidRDefault="00A45BD4">
          <w:pPr>
            <w:pStyle w:val="TDC2"/>
            <w:tabs>
              <w:tab w:val="right" w:leader="dot" w:pos="9962"/>
            </w:tabs>
            <w:rPr>
              <w:rFonts w:eastAsiaTheme="minorEastAsia"/>
              <w:noProof/>
              <w:kern w:val="0"/>
              <w:sz w:val="22"/>
              <w:lang w:eastAsia="es-CO"/>
              <w14:ligatures w14:val="none"/>
            </w:rPr>
          </w:pPr>
          <w:hyperlink w:anchor="_Toc232493827" w:history="1">
            <w:r w:rsidR="0033089D" w:rsidRPr="001209EB">
              <w:rPr>
                <w:rStyle w:val="Hipervnculo"/>
                <w:noProof/>
              </w:rPr>
              <w:t>1.2. Principios de contabilidad del sector financiero</w:t>
            </w:r>
            <w:r w:rsidR="0033089D">
              <w:rPr>
                <w:noProof/>
                <w:webHidden/>
              </w:rPr>
              <w:tab/>
            </w:r>
            <w:r w:rsidR="0033089D">
              <w:rPr>
                <w:noProof/>
                <w:webHidden/>
              </w:rPr>
              <w:fldChar w:fldCharType="begin"/>
            </w:r>
            <w:r w:rsidR="0033089D">
              <w:rPr>
                <w:noProof/>
                <w:webHidden/>
              </w:rPr>
              <w:instrText xml:space="preserve"> PAGEREF _Toc232493827 \h </w:instrText>
            </w:r>
            <w:r w:rsidR="0033089D">
              <w:rPr>
                <w:noProof/>
                <w:webHidden/>
              </w:rPr>
            </w:r>
            <w:r w:rsidR="0033089D">
              <w:rPr>
                <w:noProof/>
                <w:webHidden/>
              </w:rPr>
              <w:fldChar w:fldCharType="separate"/>
            </w:r>
            <w:r>
              <w:rPr>
                <w:noProof/>
                <w:webHidden/>
              </w:rPr>
              <w:t>10</w:t>
            </w:r>
            <w:r w:rsidR="0033089D">
              <w:rPr>
                <w:noProof/>
                <w:webHidden/>
              </w:rPr>
              <w:fldChar w:fldCharType="end"/>
            </w:r>
          </w:hyperlink>
        </w:p>
        <w:p w14:paraId="1FF56241" w14:textId="667C8098" w:rsidR="0033089D" w:rsidRDefault="00A45BD4">
          <w:pPr>
            <w:pStyle w:val="TDC2"/>
            <w:tabs>
              <w:tab w:val="right" w:leader="dot" w:pos="9962"/>
            </w:tabs>
            <w:rPr>
              <w:rFonts w:eastAsiaTheme="minorEastAsia"/>
              <w:noProof/>
              <w:kern w:val="0"/>
              <w:sz w:val="22"/>
              <w:lang w:eastAsia="es-CO"/>
              <w14:ligatures w14:val="none"/>
            </w:rPr>
          </w:pPr>
          <w:hyperlink w:anchor="_Toc232493828" w:history="1">
            <w:r w:rsidR="0033089D" w:rsidRPr="001209EB">
              <w:rPr>
                <w:rStyle w:val="Hipervnculo"/>
                <w:noProof/>
              </w:rPr>
              <w:t>1.3. Estados financieros de una entidad de crédito</w:t>
            </w:r>
            <w:r w:rsidR="0033089D">
              <w:rPr>
                <w:noProof/>
                <w:webHidden/>
              </w:rPr>
              <w:tab/>
            </w:r>
            <w:r w:rsidR="0033089D">
              <w:rPr>
                <w:noProof/>
                <w:webHidden/>
              </w:rPr>
              <w:fldChar w:fldCharType="begin"/>
            </w:r>
            <w:r w:rsidR="0033089D">
              <w:rPr>
                <w:noProof/>
                <w:webHidden/>
              </w:rPr>
              <w:instrText xml:space="preserve"> PAGEREF _Toc232493828 \h </w:instrText>
            </w:r>
            <w:r w:rsidR="0033089D">
              <w:rPr>
                <w:noProof/>
                <w:webHidden/>
              </w:rPr>
            </w:r>
            <w:r w:rsidR="0033089D">
              <w:rPr>
                <w:noProof/>
                <w:webHidden/>
              </w:rPr>
              <w:fldChar w:fldCharType="separate"/>
            </w:r>
            <w:r>
              <w:rPr>
                <w:noProof/>
                <w:webHidden/>
              </w:rPr>
              <w:t>12</w:t>
            </w:r>
            <w:r w:rsidR="0033089D">
              <w:rPr>
                <w:noProof/>
                <w:webHidden/>
              </w:rPr>
              <w:fldChar w:fldCharType="end"/>
            </w:r>
          </w:hyperlink>
        </w:p>
        <w:p w14:paraId="23C70B17" w14:textId="57453404" w:rsidR="0033089D" w:rsidRDefault="00A45BD4">
          <w:pPr>
            <w:pStyle w:val="TDC2"/>
            <w:tabs>
              <w:tab w:val="right" w:leader="dot" w:pos="9962"/>
            </w:tabs>
            <w:rPr>
              <w:rFonts w:eastAsiaTheme="minorEastAsia"/>
              <w:noProof/>
              <w:kern w:val="0"/>
              <w:sz w:val="22"/>
              <w:lang w:eastAsia="es-CO"/>
              <w14:ligatures w14:val="none"/>
            </w:rPr>
          </w:pPr>
          <w:hyperlink w:anchor="_Toc232493829" w:history="1">
            <w:r w:rsidR="0033089D" w:rsidRPr="001209EB">
              <w:rPr>
                <w:rStyle w:val="Hipervnculo"/>
                <w:noProof/>
              </w:rPr>
              <w:t>1.4. La mora y su impacto en los ingresos financieros</w:t>
            </w:r>
            <w:r w:rsidR="0033089D">
              <w:rPr>
                <w:noProof/>
                <w:webHidden/>
              </w:rPr>
              <w:tab/>
            </w:r>
            <w:r w:rsidR="0033089D">
              <w:rPr>
                <w:noProof/>
                <w:webHidden/>
              </w:rPr>
              <w:fldChar w:fldCharType="begin"/>
            </w:r>
            <w:r w:rsidR="0033089D">
              <w:rPr>
                <w:noProof/>
                <w:webHidden/>
              </w:rPr>
              <w:instrText xml:space="preserve"> PAGEREF _Toc232493829 \h </w:instrText>
            </w:r>
            <w:r w:rsidR="0033089D">
              <w:rPr>
                <w:noProof/>
                <w:webHidden/>
              </w:rPr>
            </w:r>
            <w:r w:rsidR="0033089D">
              <w:rPr>
                <w:noProof/>
                <w:webHidden/>
              </w:rPr>
              <w:fldChar w:fldCharType="separate"/>
            </w:r>
            <w:r>
              <w:rPr>
                <w:noProof/>
                <w:webHidden/>
              </w:rPr>
              <w:t>15</w:t>
            </w:r>
            <w:r w:rsidR="0033089D">
              <w:rPr>
                <w:noProof/>
                <w:webHidden/>
              </w:rPr>
              <w:fldChar w:fldCharType="end"/>
            </w:r>
          </w:hyperlink>
        </w:p>
        <w:p w14:paraId="26014307" w14:textId="23A9AD87" w:rsidR="0033089D" w:rsidRDefault="00A45BD4">
          <w:pPr>
            <w:pStyle w:val="TDC2"/>
            <w:tabs>
              <w:tab w:val="right" w:leader="dot" w:pos="9962"/>
            </w:tabs>
            <w:rPr>
              <w:rFonts w:eastAsiaTheme="minorEastAsia"/>
              <w:noProof/>
              <w:kern w:val="0"/>
              <w:sz w:val="22"/>
              <w:lang w:eastAsia="es-CO"/>
              <w14:ligatures w14:val="none"/>
            </w:rPr>
          </w:pPr>
          <w:hyperlink w:anchor="_Toc232493830" w:history="1">
            <w:r w:rsidR="0033089D" w:rsidRPr="001209EB">
              <w:rPr>
                <w:rStyle w:val="Hipervnculo"/>
                <w:noProof/>
              </w:rPr>
              <w:t>1.5. El sistema de provisiones contables</w:t>
            </w:r>
            <w:r w:rsidR="0033089D">
              <w:rPr>
                <w:noProof/>
                <w:webHidden/>
              </w:rPr>
              <w:tab/>
            </w:r>
            <w:r w:rsidR="0033089D">
              <w:rPr>
                <w:noProof/>
                <w:webHidden/>
              </w:rPr>
              <w:fldChar w:fldCharType="begin"/>
            </w:r>
            <w:r w:rsidR="0033089D">
              <w:rPr>
                <w:noProof/>
                <w:webHidden/>
              </w:rPr>
              <w:instrText xml:space="preserve"> PAGEREF _Toc232493830 \h </w:instrText>
            </w:r>
            <w:r w:rsidR="0033089D">
              <w:rPr>
                <w:noProof/>
                <w:webHidden/>
              </w:rPr>
            </w:r>
            <w:r w:rsidR="0033089D">
              <w:rPr>
                <w:noProof/>
                <w:webHidden/>
              </w:rPr>
              <w:fldChar w:fldCharType="separate"/>
            </w:r>
            <w:r>
              <w:rPr>
                <w:noProof/>
                <w:webHidden/>
              </w:rPr>
              <w:t>17</w:t>
            </w:r>
            <w:r w:rsidR="0033089D">
              <w:rPr>
                <w:noProof/>
                <w:webHidden/>
              </w:rPr>
              <w:fldChar w:fldCharType="end"/>
            </w:r>
          </w:hyperlink>
        </w:p>
        <w:p w14:paraId="19753CEF" w14:textId="08770703" w:rsidR="0033089D" w:rsidRDefault="00A45BD4">
          <w:pPr>
            <w:pStyle w:val="TDC1"/>
            <w:tabs>
              <w:tab w:val="right" w:leader="dot" w:pos="9962"/>
            </w:tabs>
            <w:rPr>
              <w:rFonts w:eastAsiaTheme="minorEastAsia"/>
              <w:noProof/>
              <w:kern w:val="0"/>
              <w:sz w:val="22"/>
              <w:lang w:eastAsia="es-CO"/>
              <w14:ligatures w14:val="none"/>
            </w:rPr>
          </w:pPr>
          <w:hyperlink w:anchor="_Toc232493831" w:history="1">
            <w:r w:rsidR="0033089D" w:rsidRPr="001209EB">
              <w:rPr>
                <w:rStyle w:val="Hipervnculo"/>
                <w:noProof/>
              </w:rPr>
              <w:t>2. Planes de pago y modalidades de crédito</w:t>
            </w:r>
            <w:r w:rsidR="0033089D">
              <w:rPr>
                <w:noProof/>
                <w:webHidden/>
              </w:rPr>
              <w:tab/>
            </w:r>
            <w:r w:rsidR="0033089D">
              <w:rPr>
                <w:noProof/>
                <w:webHidden/>
              </w:rPr>
              <w:fldChar w:fldCharType="begin"/>
            </w:r>
            <w:r w:rsidR="0033089D">
              <w:rPr>
                <w:noProof/>
                <w:webHidden/>
              </w:rPr>
              <w:instrText xml:space="preserve"> PAGEREF _Toc232493831 \h </w:instrText>
            </w:r>
            <w:r w:rsidR="0033089D">
              <w:rPr>
                <w:noProof/>
                <w:webHidden/>
              </w:rPr>
            </w:r>
            <w:r w:rsidR="0033089D">
              <w:rPr>
                <w:noProof/>
                <w:webHidden/>
              </w:rPr>
              <w:fldChar w:fldCharType="separate"/>
            </w:r>
            <w:r>
              <w:rPr>
                <w:noProof/>
                <w:webHidden/>
              </w:rPr>
              <w:t>21</w:t>
            </w:r>
            <w:r w:rsidR="0033089D">
              <w:rPr>
                <w:noProof/>
                <w:webHidden/>
              </w:rPr>
              <w:fldChar w:fldCharType="end"/>
            </w:r>
          </w:hyperlink>
        </w:p>
        <w:p w14:paraId="41AF6B0D" w14:textId="6A0F4831" w:rsidR="0033089D" w:rsidRDefault="00A45BD4">
          <w:pPr>
            <w:pStyle w:val="TDC2"/>
            <w:tabs>
              <w:tab w:val="right" w:leader="dot" w:pos="9962"/>
            </w:tabs>
            <w:rPr>
              <w:rFonts w:eastAsiaTheme="minorEastAsia"/>
              <w:noProof/>
              <w:kern w:val="0"/>
              <w:sz w:val="22"/>
              <w:lang w:eastAsia="es-CO"/>
              <w14:ligatures w14:val="none"/>
            </w:rPr>
          </w:pPr>
          <w:hyperlink w:anchor="_Toc232493832" w:history="1">
            <w:r w:rsidR="0033089D" w:rsidRPr="001209EB">
              <w:rPr>
                <w:rStyle w:val="Hipervnculo"/>
                <w:noProof/>
              </w:rPr>
              <w:t>2.1. Concepto y función de los planes de pago</w:t>
            </w:r>
            <w:r w:rsidR="0033089D">
              <w:rPr>
                <w:noProof/>
                <w:webHidden/>
              </w:rPr>
              <w:tab/>
            </w:r>
            <w:r w:rsidR="0033089D">
              <w:rPr>
                <w:noProof/>
                <w:webHidden/>
              </w:rPr>
              <w:fldChar w:fldCharType="begin"/>
            </w:r>
            <w:r w:rsidR="0033089D">
              <w:rPr>
                <w:noProof/>
                <w:webHidden/>
              </w:rPr>
              <w:instrText xml:space="preserve"> PAGEREF _Toc232493832 \h </w:instrText>
            </w:r>
            <w:r w:rsidR="0033089D">
              <w:rPr>
                <w:noProof/>
                <w:webHidden/>
              </w:rPr>
            </w:r>
            <w:r w:rsidR="0033089D">
              <w:rPr>
                <w:noProof/>
                <w:webHidden/>
              </w:rPr>
              <w:fldChar w:fldCharType="separate"/>
            </w:r>
            <w:r>
              <w:rPr>
                <w:noProof/>
                <w:webHidden/>
              </w:rPr>
              <w:t>22</w:t>
            </w:r>
            <w:r w:rsidR="0033089D">
              <w:rPr>
                <w:noProof/>
                <w:webHidden/>
              </w:rPr>
              <w:fldChar w:fldCharType="end"/>
            </w:r>
          </w:hyperlink>
        </w:p>
        <w:p w14:paraId="01AA9D7B" w14:textId="53E136F2" w:rsidR="0033089D" w:rsidRDefault="00A45BD4">
          <w:pPr>
            <w:pStyle w:val="TDC2"/>
            <w:tabs>
              <w:tab w:val="right" w:leader="dot" w:pos="9962"/>
            </w:tabs>
            <w:rPr>
              <w:rFonts w:eastAsiaTheme="minorEastAsia"/>
              <w:noProof/>
              <w:kern w:val="0"/>
              <w:sz w:val="22"/>
              <w:lang w:eastAsia="es-CO"/>
              <w14:ligatures w14:val="none"/>
            </w:rPr>
          </w:pPr>
          <w:hyperlink w:anchor="_Toc232493833" w:history="1">
            <w:r w:rsidR="0033089D" w:rsidRPr="001209EB">
              <w:rPr>
                <w:rStyle w:val="Hipervnculo"/>
                <w:noProof/>
              </w:rPr>
              <w:t>2.2. Modalidades de amortización de créditos</w:t>
            </w:r>
            <w:r w:rsidR="0033089D">
              <w:rPr>
                <w:noProof/>
                <w:webHidden/>
              </w:rPr>
              <w:tab/>
            </w:r>
            <w:r w:rsidR="0033089D">
              <w:rPr>
                <w:noProof/>
                <w:webHidden/>
              </w:rPr>
              <w:fldChar w:fldCharType="begin"/>
            </w:r>
            <w:r w:rsidR="0033089D">
              <w:rPr>
                <w:noProof/>
                <w:webHidden/>
              </w:rPr>
              <w:instrText xml:space="preserve"> PAGEREF _Toc232493833 \h </w:instrText>
            </w:r>
            <w:r w:rsidR="0033089D">
              <w:rPr>
                <w:noProof/>
                <w:webHidden/>
              </w:rPr>
            </w:r>
            <w:r w:rsidR="0033089D">
              <w:rPr>
                <w:noProof/>
                <w:webHidden/>
              </w:rPr>
              <w:fldChar w:fldCharType="separate"/>
            </w:r>
            <w:r>
              <w:rPr>
                <w:noProof/>
                <w:webHidden/>
              </w:rPr>
              <w:t>24</w:t>
            </w:r>
            <w:r w:rsidR="0033089D">
              <w:rPr>
                <w:noProof/>
                <w:webHidden/>
              </w:rPr>
              <w:fldChar w:fldCharType="end"/>
            </w:r>
          </w:hyperlink>
        </w:p>
        <w:p w14:paraId="09681D4D" w14:textId="48D7CCD9" w:rsidR="0033089D" w:rsidRDefault="00A45BD4">
          <w:pPr>
            <w:pStyle w:val="TDC2"/>
            <w:tabs>
              <w:tab w:val="right" w:leader="dot" w:pos="9962"/>
            </w:tabs>
            <w:rPr>
              <w:rFonts w:eastAsiaTheme="minorEastAsia"/>
              <w:noProof/>
              <w:kern w:val="0"/>
              <w:sz w:val="22"/>
              <w:lang w:eastAsia="es-CO"/>
              <w14:ligatures w14:val="none"/>
            </w:rPr>
          </w:pPr>
          <w:hyperlink w:anchor="_Toc232493834" w:history="1">
            <w:r w:rsidR="0033089D" w:rsidRPr="001209EB">
              <w:rPr>
                <w:rStyle w:val="Hipervnculo"/>
                <w:noProof/>
              </w:rPr>
              <w:t>2.3. Tipos de crédito y sus características</w:t>
            </w:r>
            <w:r w:rsidR="0033089D">
              <w:rPr>
                <w:noProof/>
                <w:webHidden/>
              </w:rPr>
              <w:tab/>
            </w:r>
            <w:r w:rsidR="0033089D">
              <w:rPr>
                <w:noProof/>
                <w:webHidden/>
              </w:rPr>
              <w:fldChar w:fldCharType="begin"/>
            </w:r>
            <w:r w:rsidR="0033089D">
              <w:rPr>
                <w:noProof/>
                <w:webHidden/>
              </w:rPr>
              <w:instrText xml:space="preserve"> PAGEREF _Toc232493834 \h </w:instrText>
            </w:r>
            <w:r w:rsidR="0033089D">
              <w:rPr>
                <w:noProof/>
                <w:webHidden/>
              </w:rPr>
            </w:r>
            <w:r w:rsidR="0033089D">
              <w:rPr>
                <w:noProof/>
                <w:webHidden/>
              </w:rPr>
              <w:fldChar w:fldCharType="separate"/>
            </w:r>
            <w:r>
              <w:rPr>
                <w:noProof/>
                <w:webHidden/>
              </w:rPr>
              <w:t>26</w:t>
            </w:r>
            <w:r w:rsidR="0033089D">
              <w:rPr>
                <w:noProof/>
                <w:webHidden/>
              </w:rPr>
              <w:fldChar w:fldCharType="end"/>
            </w:r>
          </w:hyperlink>
        </w:p>
        <w:p w14:paraId="7A38CD7E" w14:textId="2D92737D" w:rsidR="0033089D" w:rsidRDefault="00A45BD4">
          <w:pPr>
            <w:pStyle w:val="TDC2"/>
            <w:tabs>
              <w:tab w:val="right" w:leader="dot" w:pos="9962"/>
            </w:tabs>
            <w:rPr>
              <w:rFonts w:eastAsiaTheme="minorEastAsia"/>
              <w:noProof/>
              <w:kern w:val="0"/>
              <w:sz w:val="22"/>
              <w:lang w:eastAsia="es-CO"/>
              <w14:ligatures w14:val="none"/>
            </w:rPr>
          </w:pPr>
          <w:hyperlink w:anchor="_Toc232493835" w:history="1">
            <w:r w:rsidR="0033089D" w:rsidRPr="001209EB">
              <w:rPr>
                <w:rStyle w:val="Hipervnculo"/>
                <w:noProof/>
              </w:rPr>
              <w:t>2.4. Tasas de interés y límites legales</w:t>
            </w:r>
            <w:r w:rsidR="0033089D">
              <w:rPr>
                <w:noProof/>
                <w:webHidden/>
              </w:rPr>
              <w:tab/>
            </w:r>
            <w:r w:rsidR="0033089D">
              <w:rPr>
                <w:noProof/>
                <w:webHidden/>
              </w:rPr>
              <w:fldChar w:fldCharType="begin"/>
            </w:r>
            <w:r w:rsidR="0033089D">
              <w:rPr>
                <w:noProof/>
                <w:webHidden/>
              </w:rPr>
              <w:instrText xml:space="preserve"> PAGEREF _Toc232493835 \h </w:instrText>
            </w:r>
            <w:r w:rsidR="0033089D">
              <w:rPr>
                <w:noProof/>
                <w:webHidden/>
              </w:rPr>
            </w:r>
            <w:r w:rsidR="0033089D">
              <w:rPr>
                <w:noProof/>
                <w:webHidden/>
              </w:rPr>
              <w:fldChar w:fldCharType="separate"/>
            </w:r>
            <w:r>
              <w:rPr>
                <w:noProof/>
                <w:webHidden/>
              </w:rPr>
              <w:t>29</w:t>
            </w:r>
            <w:r w:rsidR="0033089D">
              <w:rPr>
                <w:noProof/>
                <w:webHidden/>
              </w:rPr>
              <w:fldChar w:fldCharType="end"/>
            </w:r>
          </w:hyperlink>
        </w:p>
        <w:p w14:paraId="70304649" w14:textId="0E9EBFC8" w:rsidR="0033089D" w:rsidRDefault="00A45BD4">
          <w:pPr>
            <w:pStyle w:val="TDC2"/>
            <w:tabs>
              <w:tab w:val="right" w:leader="dot" w:pos="9962"/>
            </w:tabs>
            <w:rPr>
              <w:rFonts w:eastAsiaTheme="minorEastAsia"/>
              <w:noProof/>
              <w:kern w:val="0"/>
              <w:sz w:val="22"/>
              <w:lang w:eastAsia="es-CO"/>
              <w14:ligatures w14:val="none"/>
            </w:rPr>
          </w:pPr>
          <w:hyperlink w:anchor="_Toc232493836" w:history="1">
            <w:r w:rsidR="0033089D" w:rsidRPr="001209EB">
              <w:rPr>
                <w:rStyle w:val="Hipervnculo"/>
                <w:noProof/>
              </w:rPr>
              <w:t>2.5. Reestructuración y refinanciación de créditos</w:t>
            </w:r>
            <w:r w:rsidR="0033089D">
              <w:rPr>
                <w:noProof/>
                <w:webHidden/>
              </w:rPr>
              <w:tab/>
            </w:r>
            <w:r w:rsidR="0033089D">
              <w:rPr>
                <w:noProof/>
                <w:webHidden/>
              </w:rPr>
              <w:fldChar w:fldCharType="begin"/>
            </w:r>
            <w:r w:rsidR="0033089D">
              <w:rPr>
                <w:noProof/>
                <w:webHidden/>
              </w:rPr>
              <w:instrText xml:space="preserve"> PAGEREF _Toc232493836 \h </w:instrText>
            </w:r>
            <w:r w:rsidR="0033089D">
              <w:rPr>
                <w:noProof/>
                <w:webHidden/>
              </w:rPr>
            </w:r>
            <w:r w:rsidR="0033089D">
              <w:rPr>
                <w:noProof/>
                <w:webHidden/>
              </w:rPr>
              <w:fldChar w:fldCharType="separate"/>
            </w:r>
            <w:r>
              <w:rPr>
                <w:noProof/>
                <w:webHidden/>
              </w:rPr>
              <w:t>31</w:t>
            </w:r>
            <w:r w:rsidR="0033089D">
              <w:rPr>
                <w:noProof/>
                <w:webHidden/>
              </w:rPr>
              <w:fldChar w:fldCharType="end"/>
            </w:r>
          </w:hyperlink>
        </w:p>
        <w:p w14:paraId="07054241" w14:textId="5A0BCAE4" w:rsidR="0033089D" w:rsidRDefault="00A45BD4">
          <w:pPr>
            <w:pStyle w:val="TDC1"/>
            <w:tabs>
              <w:tab w:val="right" w:leader="dot" w:pos="9962"/>
            </w:tabs>
            <w:rPr>
              <w:rFonts w:eastAsiaTheme="minorEastAsia"/>
              <w:noProof/>
              <w:kern w:val="0"/>
              <w:sz w:val="22"/>
              <w:lang w:eastAsia="es-CO"/>
              <w14:ligatures w14:val="none"/>
            </w:rPr>
          </w:pPr>
          <w:hyperlink w:anchor="_Toc232493837" w:history="1">
            <w:r w:rsidR="0033089D" w:rsidRPr="001209EB">
              <w:rPr>
                <w:rStyle w:val="Hipervnculo"/>
                <w:noProof/>
              </w:rPr>
              <w:t>3. Marco normativo del crédito en Colombia</w:t>
            </w:r>
            <w:r w:rsidR="0033089D">
              <w:rPr>
                <w:noProof/>
                <w:webHidden/>
              </w:rPr>
              <w:tab/>
            </w:r>
            <w:r w:rsidR="0033089D">
              <w:rPr>
                <w:noProof/>
                <w:webHidden/>
              </w:rPr>
              <w:fldChar w:fldCharType="begin"/>
            </w:r>
            <w:r w:rsidR="0033089D">
              <w:rPr>
                <w:noProof/>
                <w:webHidden/>
              </w:rPr>
              <w:instrText xml:space="preserve"> PAGEREF _Toc232493837 \h </w:instrText>
            </w:r>
            <w:r w:rsidR="0033089D">
              <w:rPr>
                <w:noProof/>
                <w:webHidden/>
              </w:rPr>
            </w:r>
            <w:r w:rsidR="0033089D">
              <w:rPr>
                <w:noProof/>
                <w:webHidden/>
              </w:rPr>
              <w:fldChar w:fldCharType="separate"/>
            </w:r>
            <w:r>
              <w:rPr>
                <w:noProof/>
                <w:webHidden/>
              </w:rPr>
              <w:t>37</w:t>
            </w:r>
            <w:r w:rsidR="0033089D">
              <w:rPr>
                <w:noProof/>
                <w:webHidden/>
              </w:rPr>
              <w:fldChar w:fldCharType="end"/>
            </w:r>
          </w:hyperlink>
        </w:p>
        <w:p w14:paraId="6FCB6218" w14:textId="1EB6824E" w:rsidR="0033089D" w:rsidRDefault="00A45BD4">
          <w:pPr>
            <w:pStyle w:val="TDC2"/>
            <w:tabs>
              <w:tab w:val="right" w:leader="dot" w:pos="9962"/>
            </w:tabs>
            <w:rPr>
              <w:rFonts w:eastAsiaTheme="minorEastAsia"/>
              <w:noProof/>
              <w:kern w:val="0"/>
              <w:sz w:val="22"/>
              <w:lang w:eastAsia="es-CO"/>
              <w14:ligatures w14:val="none"/>
            </w:rPr>
          </w:pPr>
          <w:hyperlink w:anchor="_Toc232493838" w:history="1">
            <w:r w:rsidR="0033089D" w:rsidRPr="001209EB">
              <w:rPr>
                <w:rStyle w:val="Hipervnculo"/>
                <w:noProof/>
              </w:rPr>
              <w:t>3.1. Estatuto orgánico del sistema financiero</w:t>
            </w:r>
            <w:r w:rsidR="0033089D">
              <w:rPr>
                <w:noProof/>
                <w:webHidden/>
              </w:rPr>
              <w:tab/>
            </w:r>
            <w:r w:rsidR="0033089D">
              <w:rPr>
                <w:noProof/>
                <w:webHidden/>
              </w:rPr>
              <w:fldChar w:fldCharType="begin"/>
            </w:r>
            <w:r w:rsidR="0033089D">
              <w:rPr>
                <w:noProof/>
                <w:webHidden/>
              </w:rPr>
              <w:instrText xml:space="preserve"> PAGEREF _Toc232493838 \h </w:instrText>
            </w:r>
            <w:r w:rsidR="0033089D">
              <w:rPr>
                <w:noProof/>
                <w:webHidden/>
              </w:rPr>
            </w:r>
            <w:r w:rsidR="0033089D">
              <w:rPr>
                <w:noProof/>
                <w:webHidden/>
              </w:rPr>
              <w:fldChar w:fldCharType="separate"/>
            </w:r>
            <w:r>
              <w:rPr>
                <w:noProof/>
                <w:webHidden/>
              </w:rPr>
              <w:t>38</w:t>
            </w:r>
            <w:r w:rsidR="0033089D">
              <w:rPr>
                <w:noProof/>
                <w:webHidden/>
              </w:rPr>
              <w:fldChar w:fldCharType="end"/>
            </w:r>
          </w:hyperlink>
        </w:p>
        <w:p w14:paraId="687F328B" w14:textId="64B9F84E" w:rsidR="0033089D" w:rsidRDefault="00A45BD4">
          <w:pPr>
            <w:pStyle w:val="TDC2"/>
            <w:tabs>
              <w:tab w:val="right" w:leader="dot" w:pos="9962"/>
            </w:tabs>
            <w:rPr>
              <w:rFonts w:eastAsiaTheme="minorEastAsia"/>
              <w:noProof/>
              <w:kern w:val="0"/>
              <w:sz w:val="22"/>
              <w:lang w:eastAsia="es-CO"/>
              <w14:ligatures w14:val="none"/>
            </w:rPr>
          </w:pPr>
          <w:hyperlink w:anchor="_Toc232493839" w:history="1">
            <w:r w:rsidR="0033089D" w:rsidRPr="001209EB">
              <w:rPr>
                <w:rStyle w:val="Hipervnculo"/>
                <w:noProof/>
              </w:rPr>
              <w:t>3.2. Circular Básica Contable y Financiera (CBCF)</w:t>
            </w:r>
            <w:r w:rsidR="0033089D">
              <w:rPr>
                <w:noProof/>
                <w:webHidden/>
              </w:rPr>
              <w:tab/>
            </w:r>
            <w:r w:rsidR="0033089D">
              <w:rPr>
                <w:noProof/>
                <w:webHidden/>
              </w:rPr>
              <w:fldChar w:fldCharType="begin"/>
            </w:r>
            <w:r w:rsidR="0033089D">
              <w:rPr>
                <w:noProof/>
                <w:webHidden/>
              </w:rPr>
              <w:instrText xml:space="preserve"> PAGEREF _Toc232493839 \h </w:instrText>
            </w:r>
            <w:r w:rsidR="0033089D">
              <w:rPr>
                <w:noProof/>
                <w:webHidden/>
              </w:rPr>
            </w:r>
            <w:r w:rsidR="0033089D">
              <w:rPr>
                <w:noProof/>
                <w:webHidden/>
              </w:rPr>
              <w:fldChar w:fldCharType="separate"/>
            </w:r>
            <w:r>
              <w:rPr>
                <w:noProof/>
                <w:webHidden/>
              </w:rPr>
              <w:t>40</w:t>
            </w:r>
            <w:r w:rsidR="0033089D">
              <w:rPr>
                <w:noProof/>
                <w:webHidden/>
              </w:rPr>
              <w:fldChar w:fldCharType="end"/>
            </w:r>
          </w:hyperlink>
        </w:p>
        <w:p w14:paraId="72C2FA33" w14:textId="0E7D2DBA" w:rsidR="0033089D" w:rsidRDefault="00A45BD4">
          <w:pPr>
            <w:pStyle w:val="TDC2"/>
            <w:tabs>
              <w:tab w:val="right" w:leader="dot" w:pos="9962"/>
            </w:tabs>
            <w:rPr>
              <w:rFonts w:eastAsiaTheme="minorEastAsia"/>
              <w:noProof/>
              <w:kern w:val="0"/>
              <w:sz w:val="22"/>
              <w:lang w:eastAsia="es-CO"/>
              <w14:ligatures w14:val="none"/>
            </w:rPr>
          </w:pPr>
          <w:hyperlink w:anchor="_Toc232493840" w:history="1">
            <w:r w:rsidR="0033089D" w:rsidRPr="001209EB">
              <w:rPr>
                <w:rStyle w:val="Hipervnculo"/>
                <w:noProof/>
              </w:rPr>
              <w:t>3.3. Sistema de Administración del Riesgo Crediticio (SARC)</w:t>
            </w:r>
            <w:r w:rsidR="0033089D">
              <w:rPr>
                <w:noProof/>
                <w:webHidden/>
              </w:rPr>
              <w:tab/>
            </w:r>
            <w:r w:rsidR="0033089D">
              <w:rPr>
                <w:noProof/>
                <w:webHidden/>
              </w:rPr>
              <w:fldChar w:fldCharType="begin"/>
            </w:r>
            <w:r w:rsidR="0033089D">
              <w:rPr>
                <w:noProof/>
                <w:webHidden/>
              </w:rPr>
              <w:instrText xml:space="preserve"> PAGEREF _Toc232493840 \h </w:instrText>
            </w:r>
            <w:r w:rsidR="0033089D">
              <w:rPr>
                <w:noProof/>
                <w:webHidden/>
              </w:rPr>
            </w:r>
            <w:r w:rsidR="0033089D">
              <w:rPr>
                <w:noProof/>
                <w:webHidden/>
              </w:rPr>
              <w:fldChar w:fldCharType="separate"/>
            </w:r>
            <w:r>
              <w:rPr>
                <w:noProof/>
                <w:webHidden/>
              </w:rPr>
              <w:t>42</w:t>
            </w:r>
            <w:r w:rsidR="0033089D">
              <w:rPr>
                <w:noProof/>
                <w:webHidden/>
              </w:rPr>
              <w:fldChar w:fldCharType="end"/>
            </w:r>
          </w:hyperlink>
        </w:p>
        <w:p w14:paraId="3D057276" w14:textId="3DF8DDD2" w:rsidR="0033089D" w:rsidRDefault="00A45BD4">
          <w:pPr>
            <w:pStyle w:val="TDC2"/>
            <w:tabs>
              <w:tab w:val="right" w:leader="dot" w:pos="9962"/>
            </w:tabs>
            <w:rPr>
              <w:rFonts w:eastAsiaTheme="minorEastAsia"/>
              <w:noProof/>
              <w:kern w:val="0"/>
              <w:sz w:val="22"/>
              <w:lang w:eastAsia="es-CO"/>
              <w14:ligatures w14:val="none"/>
            </w:rPr>
          </w:pPr>
          <w:hyperlink w:anchor="_Toc232493841" w:history="1">
            <w:r w:rsidR="0033089D" w:rsidRPr="001209EB">
              <w:rPr>
                <w:rStyle w:val="Hipervnculo"/>
                <w:noProof/>
              </w:rPr>
              <w:t>3.4. Regulación de tasas de interés y usura</w:t>
            </w:r>
            <w:r w:rsidR="0033089D">
              <w:rPr>
                <w:noProof/>
                <w:webHidden/>
              </w:rPr>
              <w:tab/>
            </w:r>
            <w:r w:rsidR="0033089D">
              <w:rPr>
                <w:noProof/>
                <w:webHidden/>
              </w:rPr>
              <w:fldChar w:fldCharType="begin"/>
            </w:r>
            <w:r w:rsidR="0033089D">
              <w:rPr>
                <w:noProof/>
                <w:webHidden/>
              </w:rPr>
              <w:instrText xml:space="preserve"> PAGEREF _Toc232493841 \h </w:instrText>
            </w:r>
            <w:r w:rsidR="0033089D">
              <w:rPr>
                <w:noProof/>
                <w:webHidden/>
              </w:rPr>
            </w:r>
            <w:r w:rsidR="0033089D">
              <w:rPr>
                <w:noProof/>
                <w:webHidden/>
              </w:rPr>
              <w:fldChar w:fldCharType="separate"/>
            </w:r>
            <w:r>
              <w:rPr>
                <w:noProof/>
                <w:webHidden/>
              </w:rPr>
              <w:t>45</w:t>
            </w:r>
            <w:r w:rsidR="0033089D">
              <w:rPr>
                <w:noProof/>
                <w:webHidden/>
              </w:rPr>
              <w:fldChar w:fldCharType="end"/>
            </w:r>
          </w:hyperlink>
        </w:p>
        <w:p w14:paraId="1504DD21" w14:textId="060476D4" w:rsidR="0033089D" w:rsidRDefault="00A45BD4">
          <w:pPr>
            <w:pStyle w:val="TDC2"/>
            <w:tabs>
              <w:tab w:val="right" w:leader="dot" w:pos="9962"/>
            </w:tabs>
            <w:rPr>
              <w:rFonts w:eastAsiaTheme="minorEastAsia"/>
              <w:noProof/>
              <w:kern w:val="0"/>
              <w:sz w:val="22"/>
              <w:lang w:eastAsia="es-CO"/>
              <w14:ligatures w14:val="none"/>
            </w:rPr>
          </w:pPr>
          <w:hyperlink w:anchor="_Toc232493842" w:history="1">
            <w:r w:rsidR="0033089D" w:rsidRPr="001209EB">
              <w:rPr>
                <w:rStyle w:val="Hipervnculo"/>
                <w:noProof/>
              </w:rPr>
              <w:t>3.5. Protección al consumidor financiero</w:t>
            </w:r>
            <w:r w:rsidR="0033089D">
              <w:rPr>
                <w:noProof/>
                <w:webHidden/>
              </w:rPr>
              <w:tab/>
            </w:r>
            <w:r w:rsidR="0033089D">
              <w:rPr>
                <w:noProof/>
                <w:webHidden/>
              </w:rPr>
              <w:fldChar w:fldCharType="begin"/>
            </w:r>
            <w:r w:rsidR="0033089D">
              <w:rPr>
                <w:noProof/>
                <w:webHidden/>
              </w:rPr>
              <w:instrText xml:space="preserve"> PAGEREF _Toc232493842 \h </w:instrText>
            </w:r>
            <w:r w:rsidR="0033089D">
              <w:rPr>
                <w:noProof/>
                <w:webHidden/>
              </w:rPr>
            </w:r>
            <w:r w:rsidR="0033089D">
              <w:rPr>
                <w:noProof/>
                <w:webHidden/>
              </w:rPr>
              <w:fldChar w:fldCharType="separate"/>
            </w:r>
            <w:r>
              <w:rPr>
                <w:noProof/>
                <w:webHidden/>
              </w:rPr>
              <w:t>47</w:t>
            </w:r>
            <w:r w:rsidR="0033089D">
              <w:rPr>
                <w:noProof/>
                <w:webHidden/>
              </w:rPr>
              <w:fldChar w:fldCharType="end"/>
            </w:r>
          </w:hyperlink>
        </w:p>
        <w:p w14:paraId="76A400AB" w14:textId="2D16AF25" w:rsidR="0033089D" w:rsidRDefault="00A45BD4">
          <w:pPr>
            <w:pStyle w:val="TDC1"/>
            <w:tabs>
              <w:tab w:val="right" w:leader="dot" w:pos="9962"/>
            </w:tabs>
            <w:rPr>
              <w:rFonts w:eastAsiaTheme="minorEastAsia"/>
              <w:noProof/>
              <w:kern w:val="0"/>
              <w:sz w:val="22"/>
              <w:lang w:eastAsia="es-CO"/>
              <w14:ligatures w14:val="none"/>
            </w:rPr>
          </w:pPr>
          <w:hyperlink w:anchor="_Toc232493843" w:history="1">
            <w:r w:rsidR="0033089D" w:rsidRPr="001209EB">
              <w:rPr>
                <w:rStyle w:val="Hipervnculo"/>
                <w:noProof/>
              </w:rPr>
              <w:t>4. Entidades del sistema financiero colombiano</w:t>
            </w:r>
            <w:r w:rsidR="0033089D">
              <w:rPr>
                <w:noProof/>
                <w:webHidden/>
              </w:rPr>
              <w:tab/>
            </w:r>
            <w:r w:rsidR="0033089D">
              <w:rPr>
                <w:noProof/>
                <w:webHidden/>
              </w:rPr>
              <w:fldChar w:fldCharType="begin"/>
            </w:r>
            <w:r w:rsidR="0033089D">
              <w:rPr>
                <w:noProof/>
                <w:webHidden/>
              </w:rPr>
              <w:instrText xml:space="preserve"> PAGEREF _Toc232493843 \h </w:instrText>
            </w:r>
            <w:r w:rsidR="0033089D">
              <w:rPr>
                <w:noProof/>
                <w:webHidden/>
              </w:rPr>
            </w:r>
            <w:r w:rsidR="0033089D">
              <w:rPr>
                <w:noProof/>
                <w:webHidden/>
              </w:rPr>
              <w:fldChar w:fldCharType="separate"/>
            </w:r>
            <w:r>
              <w:rPr>
                <w:noProof/>
                <w:webHidden/>
              </w:rPr>
              <w:t>52</w:t>
            </w:r>
            <w:r w:rsidR="0033089D">
              <w:rPr>
                <w:noProof/>
                <w:webHidden/>
              </w:rPr>
              <w:fldChar w:fldCharType="end"/>
            </w:r>
          </w:hyperlink>
        </w:p>
        <w:p w14:paraId="0CBA9D7B" w14:textId="0E23AFF2" w:rsidR="0033089D" w:rsidRDefault="00A45BD4">
          <w:pPr>
            <w:pStyle w:val="TDC2"/>
            <w:tabs>
              <w:tab w:val="right" w:leader="dot" w:pos="9962"/>
            </w:tabs>
            <w:rPr>
              <w:rFonts w:eastAsiaTheme="minorEastAsia"/>
              <w:noProof/>
              <w:kern w:val="0"/>
              <w:sz w:val="22"/>
              <w:lang w:eastAsia="es-CO"/>
              <w14:ligatures w14:val="none"/>
            </w:rPr>
          </w:pPr>
          <w:hyperlink w:anchor="_Toc232493844" w:history="1">
            <w:r w:rsidR="0033089D" w:rsidRPr="001209EB">
              <w:rPr>
                <w:rStyle w:val="Hipervnculo"/>
                <w:noProof/>
              </w:rPr>
              <w:t>4.1. La Superintendencia Financiera de Colombia</w:t>
            </w:r>
            <w:r w:rsidR="0033089D">
              <w:rPr>
                <w:noProof/>
                <w:webHidden/>
              </w:rPr>
              <w:tab/>
            </w:r>
            <w:r w:rsidR="0033089D">
              <w:rPr>
                <w:noProof/>
                <w:webHidden/>
              </w:rPr>
              <w:fldChar w:fldCharType="begin"/>
            </w:r>
            <w:r w:rsidR="0033089D">
              <w:rPr>
                <w:noProof/>
                <w:webHidden/>
              </w:rPr>
              <w:instrText xml:space="preserve"> PAGEREF _Toc232493844 \h </w:instrText>
            </w:r>
            <w:r w:rsidR="0033089D">
              <w:rPr>
                <w:noProof/>
                <w:webHidden/>
              </w:rPr>
            </w:r>
            <w:r w:rsidR="0033089D">
              <w:rPr>
                <w:noProof/>
                <w:webHidden/>
              </w:rPr>
              <w:fldChar w:fldCharType="separate"/>
            </w:r>
            <w:r>
              <w:rPr>
                <w:noProof/>
                <w:webHidden/>
              </w:rPr>
              <w:t>53</w:t>
            </w:r>
            <w:r w:rsidR="0033089D">
              <w:rPr>
                <w:noProof/>
                <w:webHidden/>
              </w:rPr>
              <w:fldChar w:fldCharType="end"/>
            </w:r>
          </w:hyperlink>
        </w:p>
        <w:p w14:paraId="6E3826D0" w14:textId="7ED97914" w:rsidR="0033089D" w:rsidRDefault="00A45BD4">
          <w:pPr>
            <w:pStyle w:val="TDC2"/>
            <w:tabs>
              <w:tab w:val="right" w:leader="dot" w:pos="9962"/>
            </w:tabs>
            <w:rPr>
              <w:rFonts w:eastAsiaTheme="minorEastAsia"/>
              <w:noProof/>
              <w:kern w:val="0"/>
              <w:sz w:val="22"/>
              <w:lang w:eastAsia="es-CO"/>
              <w14:ligatures w14:val="none"/>
            </w:rPr>
          </w:pPr>
          <w:hyperlink w:anchor="_Toc232493845" w:history="1">
            <w:r w:rsidR="0033089D" w:rsidRPr="001209EB">
              <w:rPr>
                <w:rStyle w:val="Hipervnculo"/>
                <w:noProof/>
              </w:rPr>
              <w:t>4.2. El Banco de la República y la cartera</w:t>
            </w:r>
            <w:r w:rsidR="0033089D">
              <w:rPr>
                <w:noProof/>
                <w:webHidden/>
              </w:rPr>
              <w:tab/>
            </w:r>
            <w:r w:rsidR="0033089D">
              <w:rPr>
                <w:noProof/>
                <w:webHidden/>
              </w:rPr>
              <w:fldChar w:fldCharType="begin"/>
            </w:r>
            <w:r w:rsidR="0033089D">
              <w:rPr>
                <w:noProof/>
                <w:webHidden/>
              </w:rPr>
              <w:instrText xml:space="preserve"> PAGEREF _Toc232493845 \h </w:instrText>
            </w:r>
            <w:r w:rsidR="0033089D">
              <w:rPr>
                <w:noProof/>
                <w:webHidden/>
              </w:rPr>
            </w:r>
            <w:r w:rsidR="0033089D">
              <w:rPr>
                <w:noProof/>
                <w:webHidden/>
              </w:rPr>
              <w:fldChar w:fldCharType="separate"/>
            </w:r>
            <w:r>
              <w:rPr>
                <w:noProof/>
                <w:webHidden/>
              </w:rPr>
              <w:t>56</w:t>
            </w:r>
            <w:r w:rsidR="0033089D">
              <w:rPr>
                <w:noProof/>
                <w:webHidden/>
              </w:rPr>
              <w:fldChar w:fldCharType="end"/>
            </w:r>
          </w:hyperlink>
        </w:p>
        <w:p w14:paraId="7B35DD10" w14:textId="525E608C" w:rsidR="0033089D" w:rsidRDefault="00A45BD4">
          <w:pPr>
            <w:pStyle w:val="TDC2"/>
            <w:tabs>
              <w:tab w:val="right" w:leader="dot" w:pos="9962"/>
            </w:tabs>
            <w:rPr>
              <w:rFonts w:eastAsiaTheme="minorEastAsia"/>
              <w:noProof/>
              <w:kern w:val="0"/>
              <w:sz w:val="22"/>
              <w:lang w:eastAsia="es-CO"/>
              <w14:ligatures w14:val="none"/>
            </w:rPr>
          </w:pPr>
          <w:hyperlink w:anchor="_Toc232493846" w:history="1">
            <w:r w:rsidR="0033089D" w:rsidRPr="001209EB">
              <w:rPr>
                <w:rStyle w:val="Hipervnculo"/>
                <w:noProof/>
              </w:rPr>
              <w:t>4.3. Fondo de Garantías de Instituciones Financieras (FOGAFIN)</w:t>
            </w:r>
            <w:r w:rsidR="0033089D">
              <w:rPr>
                <w:noProof/>
                <w:webHidden/>
              </w:rPr>
              <w:tab/>
            </w:r>
            <w:r w:rsidR="0033089D">
              <w:rPr>
                <w:noProof/>
                <w:webHidden/>
              </w:rPr>
              <w:fldChar w:fldCharType="begin"/>
            </w:r>
            <w:r w:rsidR="0033089D">
              <w:rPr>
                <w:noProof/>
                <w:webHidden/>
              </w:rPr>
              <w:instrText xml:space="preserve"> PAGEREF _Toc232493846 \h </w:instrText>
            </w:r>
            <w:r w:rsidR="0033089D">
              <w:rPr>
                <w:noProof/>
                <w:webHidden/>
              </w:rPr>
            </w:r>
            <w:r w:rsidR="0033089D">
              <w:rPr>
                <w:noProof/>
                <w:webHidden/>
              </w:rPr>
              <w:fldChar w:fldCharType="separate"/>
            </w:r>
            <w:r>
              <w:rPr>
                <w:noProof/>
                <w:webHidden/>
              </w:rPr>
              <w:t>58</w:t>
            </w:r>
            <w:r w:rsidR="0033089D">
              <w:rPr>
                <w:noProof/>
                <w:webHidden/>
              </w:rPr>
              <w:fldChar w:fldCharType="end"/>
            </w:r>
          </w:hyperlink>
        </w:p>
        <w:p w14:paraId="5C6EB768" w14:textId="118BB628" w:rsidR="0033089D" w:rsidRDefault="00A45BD4">
          <w:pPr>
            <w:pStyle w:val="TDC2"/>
            <w:tabs>
              <w:tab w:val="right" w:leader="dot" w:pos="9962"/>
            </w:tabs>
            <w:rPr>
              <w:rFonts w:eastAsiaTheme="minorEastAsia"/>
              <w:noProof/>
              <w:kern w:val="0"/>
              <w:sz w:val="22"/>
              <w:lang w:eastAsia="es-CO"/>
              <w14:ligatures w14:val="none"/>
            </w:rPr>
          </w:pPr>
          <w:hyperlink w:anchor="_Toc232493847" w:history="1">
            <w:r w:rsidR="0033089D" w:rsidRPr="001209EB">
              <w:rPr>
                <w:rStyle w:val="Hipervnculo"/>
                <w:noProof/>
              </w:rPr>
              <w:t>4.4. La UGPP y su rol en la fiscalización del sector</w:t>
            </w:r>
            <w:r w:rsidR="0033089D">
              <w:rPr>
                <w:noProof/>
                <w:webHidden/>
              </w:rPr>
              <w:tab/>
            </w:r>
            <w:r w:rsidR="0033089D">
              <w:rPr>
                <w:noProof/>
                <w:webHidden/>
              </w:rPr>
              <w:fldChar w:fldCharType="begin"/>
            </w:r>
            <w:r w:rsidR="0033089D">
              <w:rPr>
                <w:noProof/>
                <w:webHidden/>
              </w:rPr>
              <w:instrText xml:space="preserve"> PAGEREF _Toc232493847 \h </w:instrText>
            </w:r>
            <w:r w:rsidR="0033089D">
              <w:rPr>
                <w:noProof/>
                <w:webHidden/>
              </w:rPr>
            </w:r>
            <w:r w:rsidR="0033089D">
              <w:rPr>
                <w:noProof/>
                <w:webHidden/>
              </w:rPr>
              <w:fldChar w:fldCharType="separate"/>
            </w:r>
            <w:r>
              <w:rPr>
                <w:noProof/>
                <w:webHidden/>
              </w:rPr>
              <w:t>60</w:t>
            </w:r>
            <w:r w:rsidR="0033089D">
              <w:rPr>
                <w:noProof/>
                <w:webHidden/>
              </w:rPr>
              <w:fldChar w:fldCharType="end"/>
            </w:r>
          </w:hyperlink>
        </w:p>
        <w:p w14:paraId="1E7EEFB8" w14:textId="7956E411" w:rsidR="0033089D" w:rsidRDefault="00A45BD4">
          <w:pPr>
            <w:pStyle w:val="TDC2"/>
            <w:tabs>
              <w:tab w:val="right" w:leader="dot" w:pos="9962"/>
            </w:tabs>
            <w:rPr>
              <w:rFonts w:eastAsiaTheme="minorEastAsia"/>
              <w:noProof/>
              <w:kern w:val="0"/>
              <w:sz w:val="22"/>
              <w:lang w:eastAsia="es-CO"/>
              <w14:ligatures w14:val="none"/>
            </w:rPr>
          </w:pPr>
          <w:hyperlink w:anchor="_Toc232493848" w:history="1">
            <w:r w:rsidR="0033089D" w:rsidRPr="001209EB">
              <w:rPr>
                <w:rStyle w:val="Hipervnculo"/>
                <w:noProof/>
              </w:rPr>
              <w:t>4.5. Gremios del sector: Asobancaria y Asomicrofinanzas</w:t>
            </w:r>
            <w:r w:rsidR="0033089D">
              <w:rPr>
                <w:noProof/>
                <w:webHidden/>
              </w:rPr>
              <w:tab/>
            </w:r>
            <w:r w:rsidR="0033089D">
              <w:rPr>
                <w:noProof/>
                <w:webHidden/>
              </w:rPr>
              <w:fldChar w:fldCharType="begin"/>
            </w:r>
            <w:r w:rsidR="0033089D">
              <w:rPr>
                <w:noProof/>
                <w:webHidden/>
              </w:rPr>
              <w:instrText xml:space="preserve"> PAGEREF _Toc232493848 \h </w:instrText>
            </w:r>
            <w:r w:rsidR="0033089D">
              <w:rPr>
                <w:noProof/>
                <w:webHidden/>
              </w:rPr>
            </w:r>
            <w:r w:rsidR="0033089D">
              <w:rPr>
                <w:noProof/>
                <w:webHidden/>
              </w:rPr>
              <w:fldChar w:fldCharType="separate"/>
            </w:r>
            <w:r>
              <w:rPr>
                <w:noProof/>
                <w:webHidden/>
              </w:rPr>
              <w:t>61</w:t>
            </w:r>
            <w:r w:rsidR="0033089D">
              <w:rPr>
                <w:noProof/>
                <w:webHidden/>
              </w:rPr>
              <w:fldChar w:fldCharType="end"/>
            </w:r>
          </w:hyperlink>
        </w:p>
        <w:p w14:paraId="06BF1EA5" w14:textId="2E88BCE0" w:rsidR="0033089D" w:rsidRDefault="00A45BD4">
          <w:pPr>
            <w:pStyle w:val="TDC1"/>
            <w:tabs>
              <w:tab w:val="right" w:leader="dot" w:pos="9962"/>
            </w:tabs>
            <w:rPr>
              <w:rFonts w:eastAsiaTheme="minorEastAsia"/>
              <w:noProof/>
              <w:kern w:val="0"/>
              <w:sz w:val="22"/>
              <w:lang w:eastAsia="es-CO"/>
              <w14:ligatures w14:val="none"/>
            </w:rPr>
          </w:pPr>
          <w:hyperlink w:anchor="_Toc232493849" w:history="1">
            <w:r w:rsidR="0033089D" w:rsidRPr="001209EB">
              <w:rPr>
                <w:rStyle w:val="Hipervnculo"/>
                <w:noProof/>
              </w:rPr>
              <w:t>5. Aplicación normativa en la gestión de cartera</w:t>
            </w:r>
            <w:r w:rsidR="0033089D">
              <w:rPr>
                <w:noProof/>
                <w:webHidden/>
              </w:rPr>
              <w:tab/>
            </w:r>
            <w:r w:rsidR="0033089D">
              <w:rPr>
                <w:noProof/>
                <w:webHidden/>
              </w:rPr>
              <w:fldChar w:fldCharType="begin"/>
            </w:r>
            <w:r w:rsidR="0033089D">
              <w:rPr>
                <w:noProof/>
                <w:webHidden/>
              </w:rPr>
              <w:instrText xml:space="preserve"> PAGEREF _Toc232493849 \h </w:instrText>
            </w:r>
            <w:r w:rsidR="0033089D">
              <w:rPr>
                <w:noProof/>
                <w:webHidden/>
              </w:rPr>
            </w:r>
            <w:r w:rsidR="0033089D">
              <w:rPr>
                <w:noProof/>
                <w:webHidden/>
              </w:rPr>
              <w:fldChar w:fldCharType="separate"/>
            </w:r>
            <w:r>
              <w:rPr>
                <w:noProof/>
                <w:webHidden/>
              </w:rPr>
              <w:t>65</w:t>
            </w:r>
            <w:r w:rsidR="0033089D">
              <w:rPr>
                <w:noProof/>
                <w:webHidden/>
              </w:rPr>
              <w:fldChar w:fldCharType="end"/>
            </w:r>
          </w:hyperlink>
        </w:p>
        <w:p w14:paraId="6D074747" w14:textId="508347DF" w:rsidR="0033089D" w:rsidRDefault="00A45BD4">
          <w:pPr>
            <w:pStyle w:val="TDC2"/>
            <w:tabs>
              <w:tab w:val="right" w:leader="dot" w:pos="9962"/>
            </w:tabs>
            <w:rPr>
              <w:rFonts w:eastAsiaTheme="minorEastAsia"/>
              <w:noProof/>
              <w:kern w:val="0"/>
              <w:sz w:val="22"/>
              <w:lang w:eastAsia="es-CO"/>
              <w14:ligatures w14:val="none"/>
            </w:rPr>
          </w:pPr>
          <w:hyperlink w:anchor="_Toc232493850" w:history="1">
            <w:r w:rsidR="0033089D" w:rsidRPr="001209EB">
              <w:rPr>
                <w:rStyle w:val="Hipervnculo"/>
                <w:noProof/>
              </w:rPr>
              <w:t>5.1. Cálculo de provisiones por categoría de riesgo</w:t>
            </w:r>
            <w:r w:rsidR="0033089D">
              <w:rPr>
                <w:noProof/>
                <w:webHidden/>
              </w:rPr>
              <w:tab/>
            </w:r>
            <w:r w:rsidR="0033089D">
              <w:rPr>
                <w:noProof/>
                <w:webHidden/>
              </w:rPr>
              <w:fldChar w:fldCharType="begin"/>
            </w:r>
            <w:r w:rsidR="0033089D">
              <w:rPr>
                <w:noProof/>
                <w:webHidden/>
              </w:rPr>
              <w:instrText xml:space="preserve"> PAGEREF _Toc232493850 \h </w:instrText>
            </w:r>
            <w:r w:rsidR="0033089D">
              <w:rPr>
                <w:noProof/>
                <w:webHidden/>
              </w:rPr>
            </w:r>
            <w:r w:rsidR="0033089D">
              <w:rPr>
                <w:noProof/>
                <w:webHidden/>
              </w:rPr>
              <w:fldChar w:fldCharType="separate"/>
            </w:r>
            <w:r>
              <w:rPr>
                <w:noProof/>
                <w:webHidden/>
              </w:rPr>
              <w:t>66</w:t>
            </w:r>
            <w:r w:rsidR="0033089D">
              <w:rPr>
                <w:noProof/>
                <w:webHidden/>
              </w:rPr>
              <w:fldChar w:fldCharType="end"/>
            </w:r>
          </w:hyperlink>
        </w:p>
        <w:p w14:paraId="4B46567E" w14:textId="6C8B310D" w:rsidR="0033089D" w:rsidRDefault="00A45BD4">
          <w:pPr>
            <w:pStyle w:val="TDC2"/>
            <w:tabs>
              <w:tab w:val="right" w:leader="dot" w:pos="9962"/>
            </w:tabs>
            <w:rPr>
              <w:rFonts w:eastAsiaTheme="minorEastAsia"/>
              <w:noProof/>
              <w:kern w:val="0"/>
              <w:sz w:val="22"/>
              <w:lang w:eastAsia="es-CO"/>
              <w14:ligatures w14:val="none"/>
            </w:rPr>
          </w:pPr>
          <w:hyperlink w:anchor="_Toc232493851" w:history="1">
            <w:r w:rsidR="0033089D" w:rsidRPr="001209EB">
              <w:rPr>
                <w:rStyle w:val="Hipervnculo"/>
                <w:noProof/>
              </w:rPr>
              <w:t>5.2. Reporte e informes de cumplimiento normativo</w:t>
            </w:r>
            <w:r w:rsidR="0033089D">
              <w:rPr>
                <w:noProof/>
                <w:webHidden/>
              </w:rPr>
              <w:tab/>
            </w:r>
            <w:r w:rsidR="0033089D">
              <w:rPr>
                <w:noProof/>
                <w:webHidden/>
              </w:rPr>
              <w:fldChar w:fldCharType="begin"/>
            </w:r>
            <w:r w:rsidR="0033089D">
              <w:rPr>
                <w:noProof/>
                <w:webHidden/>
              </w:rPr>
              <w:instrText xml:space="preserve"> PAGEREF _Toc232493851 \h </w:instrText>
            </w:r>
            <w:r w:rsidR="0033089D">
              <w:rPr>
                <w:noProof/>
                <w:webHidden/>
              </w:rPr>
            </w:r>
            <w:r w:rsidR="0033089D">
              <w:rPr>
                <w:noProof/>
                <w:webHidden/>
              </w:rPr>
              <w:fldChar w:fldCharType="separate"/>
            </w:r>
            <w:r>
              <w:rPr>
                <w:noProof/>
                <w:webHidden/>
              </w:rPr>
              <w:t>69</w:t>
            </w:r>
            <w:r w:rsidR="0033089D">
              <w:rPr>
                <w:noProof/>
                <w:webHidden/>
              </w:rPr>
              <w:fldChar w:fldCharType="end"/>
            </w:r>
          </w:hyperlink>
        </w:p>
        <w:p w14:paraId="64710899" w14:textId="60070D9F" w:rsidR="0033089D" w:rsidRDefault="00A45BD4">
          <w:pPr>
            <w:pStyle w:val="TDC2"/>
            <w:tabs>
              <w:tab w:val="right" w:leader="dot" w:pos="9962"/>
            </w:tabs>
            <w:rPr>
              <w:rFonts w:eastAsiaTheme="minorEastAsia"/>
              <w:noProof/>
              <w:kern w:val="0"/>
              <w:sz w:val="22"/>
              <w:lang w:eastAsia="es-CO"/>
              <w14:ligatures w14:val="none"/>
            </w:rPr>
          </w:pPr>
          <w:hyperlink w:anchor="_Toc232493852" w:history="1">
            <w:r w:rsidR="0033089D" w:rsidRPr="001209EB">
              <w:rPr>
                <w:rStyle w:val="Hipervnculo"/>
                <w:noProof/>
              </w:rPr>
              <w:t>5.3. Gestión de quejas de consumidores financieros</w:t>
            </w:r>
            <w:r w:rsidR="0033089D">
              <w:rPr>
                <w:noProof/>
                <w:webHidden/>
              </w:rPr>
              <w:tab/>
            </w:r>
            <w:r w:rsidR="0033089D">
              <w:rPr>
                <w:noProof/>
                <w:webHidden/>
              </w:rPr>
              <w:fldChar w:fldCharType="begin"/>
            </w:r>
            <w:r w:rsidR="0033089D">
              <w:rPr>
                <w:noProof/>
                <w:webHidden/>
              </w:rPr>
              <w:instrText xml:space="preserve"> PAGEREF _Toc232493852 \h </w:instrText>
            </w:r>
            <w:r w:rsidR="0033089D">
              <w:rPr>
                <w:noProof/>
                <w:webHidden/>
              </w:rPr>
            </w:r>
            <w:r w:rsidR="0033089D">
              <w:rPr>
                <w:noProof/>
                <w:webHidden/>
              </w:rPr>
              <w:fldChar w:fldCharType="separate"/>
            </w:r>
            <w:r>
              <w:rPr>
                <w:noProof/>
                <w:webHidden/>
              </w:rPr>
              <w:t>71</w:t>
            </w:r>
            <w:r w:rsidR="0033089D">
              <w:rPr>
                <w:noProof/>
                <w:webHidden/>
              </w:rPr>
              <w:fldChar w:fldCharType="end"/>
            </w:r>
          </w:hyperlink>
        </w:p>
        <w:p w14:paraId="5F63B3D7" w14:textId="50BFAAD4" w:rsidR="0033089D" w:rsidRDefault="00A45BD4">
          <w:pPr>
            <w:pStyle w:val="TDC1"/>
            <w:tabs>
              <w:tab w:val="right" w:leader="dot" w:pos="9962"/>
            </w:tabs>
            <w:rPr>
              <w:rFonts w:eastAsiaTheme="minorEastAsia"/>
              <w:noProof/>
              <w:kern w:val="0"/>
              <w:sz w:val="22"/>
              <w:lang w:eastAsia="es-CO"/>
              <w14:ligatures w14:val="none"/>
            </w:rPr>
          </w:pPr>
          <w:hyperlink w:anchor="_Toc232493853" w:history="1">
            <w:r w:rsidR="0033089D" w:rsidRPr="001209EB">
              <w:rPr>
                <w:rStyle w:val="Hipervnculo"/>
                <w:noProof/>
              </w:rPr>
              <w:t>6. Casos prácticos</w:t>
            </w:r>
            <w:r w:rsidR="0033089D">
              <w:rPr>
                <w:noProof/>
                <w:webHidden/>
              </w:rPr>
              <w:tab/>
            </w:r>
            <w:r w:rsidR="0033089D">
              <w:rPr>
                <w:noProof/>
                <w:webHidden/>
              </w:rPr>
              <w:fldChar w:fldCharType="begin"/>
            </w:r>
            <w:r w:rsidR="0033089D">
              <w:rPr>
                <w:noProof/>
                <w:webHidden/>
              </w:rPr>
              <w:instrText xml:space="preserve"> PAGEREF _Toc232493853 \h </w:instrText>
            </w:r>
            <w:r w:rsidR="0033089D">
              <w:rPr>
                <w:noProof/>
                <w:webHidden/>
              </w:rPr>
            </w:r>
            <w:r w:rsidR="0033089D">
              <w:rPr>
                <w:noProof/>
                <w:webHidden/>
              </w:rPr>
              <w:fldChar w:fldCharType="separate"/>
            </w:r>
            <w:r>
              <w:rPr>
                <w:noProof/>
                <w:webHidden/>
              </w:rPr>
              <w:t>76</w:t>
            </w:r>
            <w:r w:rsidR="0033089D">
              <w:rPr>
                <w:noProof/>
                <w:webHidden/>
              </w:rPr>
              <w:fldChar w:fldCharType="end"/>
            </w:r>
          </w:hyperlink>
        </w:p>
        <w:p w14:paraId="0EF72C48" w14:textId="469CEBED" w:rsidR="0033089D" w:rsidRDefault="00A45BD4">
          <w:pPr>
            <w:pStyle w:val="TDC2"/>
            <w:tabs>
              <w:tab w:val="right" w:leader="dot" w:pos="9962"/>
            </w:tabs>
            <w:rPr>
              <w:rFonts w:eastAsiaTheme="minorEastAsia"/>
              <w:noProof/>
              <w:kern w:val="0"/>
              <w:sz w:val="22"/>
              <w:lang w:eastAsia="es-CO"/>
              <w14:ligatures w14:val="none"/>
            </w:rPr>
          </w:pPr>
          <w:hyperlink w:anchor="_Toc232493854" w:history="1">
            <w:r w:rsidR="0033089D" w:rsidRPr="001209EB">
              <w:rPr>
                <w:rStyle w:val="Hipervnculo"/>
                <w:noProof/>
              </w:rPr>
              <w:t>6.1. Aprendizajes de los casos prácticos</w:t>
            </w:r>
            <w:r w:rsidR="0033089D">
              <w:rPr>
                <w:noProof/>
                <w:webHidden/>
              </w:rPr>
              <w:tab/>
            </w:r>
            <w:r w:rsidR="0033089D">
              <w:rPr>
                <w:noProof/>
                <w:webHidden/>
              </w:rPr>
              <w:fldChar w:fldCharType="begin"/>
            </w:r>
            <w:r w:rsidR="0033089D">
              <w:rPr>
                <w:noProof/>
                <w:webHidden/>
              </w:rPr>
              <w:instrText xml:space="preserve"> PAGEREF _Toc232493854 \h </w:instrText>
            </w:r>
            <w:r w:rsidR="0033089D">
              <w:rPr>
                <w:noProof/>
                <w:webHidden/>
              </w:rPr>
            </w:r>
            <w:r w:rsidR="0033089D">
              <w:rPr>
                <w:noProof/>
                <w:webHidden/>
              </w:rPr>
              <w:fldChar w:fldCharType="separate"/>
            </w:r>
            <w:r>
              <w:rPr>
                <w:noProof/>
                <w:webHidden/>
              </w:rPr>
              <w:t>77</w:t>
            </w:r>
            <w:r w:rsidR="0033089D">
              <w:rPr>
                <w:noProof/>
                <w:webHidden/>
              </w:rPr>
              <w:fldChar w:fldCharType="end"/>
            </w:r>
          </w:hyperlink>
        </w:p>
        <w:p w14:paraId="3B6A6C38" w14:textId="517DBCD2" w:rsidR="0033089D" w:rsidRDefault="00A45BD4">
          <w:pPr>
            <w:pStyle w:val="TDC2"/>
            <w:tabs>
              <w:tab w:val="right" w:leader="dot" w:pos="9962"/>
            </w:tabs>
            <w:rPr>
              <w:rFonts w:eastAsiaTheme="minorEastAsia"/>
              <w:noProof/>
              <w:kern w:val="0"/>
              <w:sz w:val="22"/>
              <w:lang w:eastAsia="es-CO"/>
              <w14:ligatures w14:val="none"/>
            </w:rPr>
          </w:pPr>
          <w:hyperlink w:anchor="_Toc232493855" w:history="1">
            <w:r w:rsidR="0033089D" w:rsidRPr="001209EB">
              <w:rPr>
                <w:rStyle w:val="Hipervnculo"/>
                <w:noProof/>
              </w:rPr>
              <w:t>6.2. Análisis aplicado de situaciones de cartera</w:t>
            </w:r>
            <w:r w:rsidR="0033089D">
              <w:rPr>
                <w:noProof/>
                <w:webHidden/>
              </w:rPr>
              <w:tab/>
            </w:r>
            <w:r w:rsidR="0033089D">
              <w:rPr>
                <w:noProof/>
                <w:webHidden/>
              </w:rPr>
              <w:fldChar w:fldCharType="begin"/>
            </w:r>
            <w:r w:rsidR="0033089D">
              <w:rPr>
                <w:noProof/>
                <w:webHidden/>
              </w:rPr>
              <w:instrText xml:space="preserve"> PAGEREF _Toc232493855 \h </w:instrText>
            </w:r>
            <w:r w:rsidR="0033089D">
              <w:rPr>
                <w:noProof/>
                <w:webHidden/>
              </w:rPr>
            </w:r>
            <w:r w:rsidR="0033089D">
              <w:rPr>
                <w:noProof/>
                <w:webHidden/>
              </w:rPr>
              <w:fldChar w:fldCharType="separate"/>
            </w:r>
            <w:r>
              <w:rPr>
                <w:noProof/>
                <w:webHidden/>
              </w:rPr>
              <w:t>79</w:t>
            </w:r>
            <w:r w:rsidR="0033089D">
              <w:rPr>
                <w:noProof/>
                <w:webHidden/>
              </w:rPr>
              <w:fldChar w:fldCharType="end"/>
            </w:r>
          </w:hyperlink>
        </w:p>
        <w:p w14:paraId="7CC684AB" w14:textId="2BFCAA3D" w:rsidR="0033089D" w:rsidRDefault="00A45BD4">
          <w:pPr>
            <w:pStyle w:val="TDC1"/>
            <w:tabs>
              <w:tab w:val="right" w:leader="dot" w:pos="9962"/>
            </w:tabs>
            <w:rPr>
              <w:rFonts w:eastAsiaTheme="minorEastAsia"/>
              <w:noProof/>
              <w:kern w:val="0"/>
              <w:sz w:val="22"/>
              <w:lang w:eastAsia="es-CO"/>
              <w14:ligatures w14:val="none"/>
            </w:rPr>
          </w:pPr>
          <w:hyperlink w:anchor="_Toc232493856" w:history="1">
            <w:r w:rsidR="0033089D" w:rsidRPr="001209EB">
              <w:rPr>
                <w:rStyle w:val="Hipervnculo"/>
                <w:noProof/>
              </w:rPr>
              <w:t>Síntesis</w:t>
            </w:r>
            <w:r w:rsidR="0033089D">
              <w:rPr>
                <w:noProof/>
                <w:webHidden/>
              </w:rPr>
              <w:tab/>
            </w:r>
            <w:r w:rsidR="0033089D">
              <w:rPr>
                <w:noProof/>
                <w:webHidden/>
              </w:rPr>
              <w:fldChar w:fldCharType="begin"/>
            </w:r>
            <w:r w:rsidR="0033089D">
              <w:rPr>
                <w:noProof/>
                <w:webHidden/>
              </w:rPr>
              <w:instrText xml:space="preserve"> PAGEREF _Toc232493856 \h </w:instrText>
            </w:r>
            <w:r w:rsidR="0033089D">
              <w:rPr>
                <w:noProof/>
                <w:webHidden/>
              </w:rPr>
            </w:r>
            <w:r w:rsidR="0033089D">
              <w:rPr>
                <w:noProof/>
                <w:webHidden/>
              </w:rPr>
              <w:fldChar w:fldCharType="separate"/>
            </w:r>
            <w:r>
              <w:rPr>
                <w:noProof/>
                <w:webHidden/>
              </w:rPr>
              <w:t>86</w:t>
            </w:r>
            <w:r w:rsidR="0033089D">
              <w:rPr>
                <w:noProof/>
                <w:webHidden/>
              </w:rPr>
              <w:fldChar w:fldCharType="end"/>
            </w:r>
          </w:hyperlink>
        </w:p>
        <w:p w14:paraId="66DC9CA3" w14:textId="5F982A13" w:rsidR="0033089D" w:rsidRDefault="00A45BD4">
          <w:pPr>
            <w:pStyle w:val="TDC1"/>
            <w:tabs>
              <w:tab w:val="right" w:leader="dot" w:pos="9962"/>
            </w:tabs>
            <w:rPr>
              <w:rFonts w:eastAsiaTheme="minorEastAsia"/>
              <w:noProof/>
              <w:kern w:val="0"/>
              <w:sz w:val="22"/>
              <w:lang w:eastAsia="es-CO"/>
              <w14:ligatures w14:val="none"/>
            </w:rPr>
          </w:pPr>
          <w:hyperlink w:anchor="_Toc232493857" w:history="1">
            <w:r w:rsidR="0033089D" w:rsidRPr="001209EB">
              <w:rPr>
                <w:rStyle w:val="Hipervnculo"/>
                <w:noProof/>
              </w:rPr>
              <w:t>Glosario</w:t>
            </w:r>
            <w:r w:rsidR="0033089D">
              <w:rPr>
                <w:noProof/>
                <w:webHidden/>
              </w:rPr>
              <w:tab/>
            </w:r>
            <w:r w:rsidR="0033089D">
              <w:rPr>
                <w:noProof/>
                <w:webHidden/>
              </w:rPr>
              <w:fldChar w:fldCharType="begin"/>
            </w:r>
            <w:r w:rsidR="0033089D">
              <w:rPr>
                <w:noProof/>
                <w:webHidden/>
              </w:rPr>
              <w:instrText xml:space="preserve"> PAGEREF _Toc232493857 \h </w:instrText>
            </w:r>
            <w:r w:rsidR="0033089D">
              <w:rPr>
                <w:noProof/>
                <w:webHidden/>
              </w:rPr>
            </w:r>
            <w:r w:rsidR="0033089D">
              <w:rPr>
                <w:noProof/>
                <w:webHidden/>
              </w:rPr>
              <w:fldChar w:fldCharType="separate"/>
            </w:r>
            <w:r>
              <w:rPr>
                <w:noProof/>
                <w:webHidden/>
              </w:rPr>
              <w:t>88</w:t>
            </w:r>
            <w:r w:rsidR="0033089D">
              <w:rPr>
                <w:noProof/>
                <w:webHidden/>
              </w:rPr>
              <w:fldChar w:fldCharType="end"/>
            </w:r>
          </w:hyperlink>
        </w:p>
        <w:p w14:paraId="3872179F" w14:textId="5F4B192E" w:rsidR="0033089D" w:rsidRDefault="00A45BD4">
          <w:pPr>
            <w:pStyle w:val="TDC1"/>
            <w:tabs>
              <w:tab w:val="right" w:leader="dot" w:pos="9962"/>
            </w:tabs>
            <w:rPr>
              <w:rFonts w:eastAsiaTheme="minorEastAsia"/>
              <w:noProof/>
              <w:kern w:val="0"/>
              <w:sz w:val="22"/>
              <w:lang w:eastAsia="es-CO"/>
              <w14:ligatures w14:val="none"/>
            </w:rPr>
          </w:pPr>
          <w:hyperlink w:anchor="_Toc232493858" w:history="1">
            <w:r w:rsidR="0033089D" w:rsidRPr="001209EB">
              <w:rPr>
                <w:rStyle w:val="Hipervnculo"/>
                <w:noProof/>
              </w:rPr>
              <w:t>Referencias bibliográficas</w:t>
            </w:r>
            <w:r w:rsidR="0033089D">
              <w:rPr>
                <w:noProof/>
                <w:webHidden/>
              </w:rPr>
              <w:tab/>
            </w:r>
            <w:r w:rsidR="0033089D">
              <w:rPr>
                <w:noProof/>
                <w:webHidden/>
              </w:rPr>
              <w:fldChar w:fldCharType="begin"/>
            </w:r>
            <w:r w:rsidR="0033089D">
              <w:rPr>
                <w:noProof/>
                <w:webHidden/>
              </w:rPr>
              <w:instrText xml:space="preserve"> PAGEREF _Toc232493858 \h </w:instrText>
            </w:r>
            <w:r w:rsidR="0033089D">
              <w:rPr>
                <w:noProof/>
                <w:webHidden/>
              </w:rPr>
            </w:r>
            <w:r w:rsidR="0033089D">
              <w:rPr>
                <w:noProof/>
                <w:webHidden/>
              </w:rPr>
              <w:fldChar w:fldCharType="separate"/>
            </w:r>
            <w:r>
              <w:rPr>
                <w:noProof/>
                <w:webHidden/>
              </w:rPr>
              <w:t>90</w:t>
            </w:r>
            <w:r w:rsidR="0033089D">
              <w:rPr>
                <w:noProof/>
                <w:webHidden/>
              </w:rPr>
              <w:fldChar w:fldCharType="end"/>
            </w:r>
          </w:hyperlink>
        </w:p>
        <w:p w14:paraId="0C00F2A6" w14:textId="5236AFD1" w:rsidR="0033089D" w:rsidRDefault="00A45BD4">
          <w:pPr>
            <w:pStyle w:val="TDC1"/>
            <w:tabs>
              <w:tab w:val="right" w:leader="dot" w:pos="9962"/>
            </w:tabs>
            <w:rPr>
              <w:rFonts w:eastAsiaTheme="minorEastAsia"/>
              <w:noProof/>
              <w:kern w:val="0"/>
              <w:sz w:val="22"/>
              <w:lang w:eastAsia="es-CO"/>
              <w14:ligatures w14:val="none"/>
            </w:rPr>
          </w:pPr>
          <w:hyperlink w:anchor="_Toc232493859" w:history="1">
            <w:r w:rsidR="0033089D" w:rsidRPr="001209EB">
              <w:rPr>
                <w:rStyle w:val="Hipervnculo"/>
                <w:noProof/>
              </w:rPr>
              <w:t>Créditos</w:t>
            </w:r>
            <w:r w:rsidR="0033089D">
              <w:rPr>
                <w:noProof/>
                <w:webHidden/>
              </w:rPr>
              <w:tab/>
            </w:r>
            <w:r w:rsidR="0033089D">
              <w:rPr>
                <w:noProof/>
                <w:webHidden/>
              </w:rPr>
              <w:fldChar w:fldCharType="begin"/>
            </w:r>
            <w:r w:rsidR="0033089D">
              <w:rPr>
                <w:noProof/>
                <w:webHidden/>
              </w:rPr>
              <w:instrText xml:space="preserve"> PAGEREF _Toc232493859 \h </w:instrText>
            </w:r>
            <w:r w:rsidR="0033089D">
              <w:rPr>
                <w:noProof/>
                <w:webHidden/>
              </w:rPr>
            </w:r>
            <w:r w:rsidR="0033089D">
              <w:rPr>
                <w:noProof/>
                <w:webHidden/>
              </w:rPr>
              <w:fldChar w:fldCharType="separate"/>
            </w:r>
            <w:r>
              <w:rPr>
                <w:noProof/>
                <w:webHidden/>
              </w:rPr>
              <w:t>92</w:t>
            </w:r>
            <w:r w:rsidR="0033089D">
              <w:rPr>
                <w:noProof/>
                <w:webHidden/>
              </w:rPr>
              <w:fldChar w:fldCharType="end"/>
            </w:r>
          </w:hyperlink>
        </w:p>
        <w:p w14:paraId="3AFC5851" w14:textId="1B699383"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2493824"/>
      <w:r w:rsidRPr="003758F7">
        <w:lastRenderedPageBreak/>
        <w:t>Introducción</w:t>
      </w:r>
      <w:bookmarkEnd w:id="0"/>
    </w:p>
    <w:p w14:paraId="04FCEBE2" w14:textId="63DAC241" w:rsidR="0060074A" w:rsidRDefault="0060074A" w:rsidP="0060074A">
      <w:r>
        <w:t>Este componente aborda la contabilidad y la normatividad financiera aplicadas a la gestión de la cartera de créditos en entidades del sector financiero colombiano. En este recorrido se presentan los aspectos básicos que permiten comprender cómo se registra la cartera, cómo se calculan las provisiones, cómo funcionan los planes de pago y qué normas orientan las decisiones relacionadas con la administración y recuperación de las obligaciones.</w:t>
      </w:r>
    </w:p>
    <w:p w14:paraId="75F1FE70" w14:textId="77777777" w:rsidR="0060074A" w:rsidRDefault="0060074A" w:rsidP="0060074A">
      <w:r>
        <w:t>A partir de este enfoque, se reconoce que la cartera no solo representa un conjunto de créditos otorgados, sino un activo fundamental para la estabilidad financiera de la entidad. Por ello, comprender su tratamiento contable y normativo permite actuar con mayor precisión, reducir riesgos, respaldar decisiones de cobranza y proteger los derechos del consumidor financiero.</w:t>
      </w:r>
    </w:p>
    <w:p w14:paraId="22B63AED" w14:textId="77777777" w:rsidR="0060074A" w:rsidRDefault="0060074A" w:rsidP="0060074A">
      <w:r>
        <w:t>El propósito de este componente es fortalecer la capacidad para interpretar información financiera, aplicar criterios normativos y analizar situaciones propias del área de cartera. Para ello, se abordan temas relacionados con estados financieros, provisiones, planes de pago, tasas de interés, marco legal, entidades de control y procedimientos de cumplimiento.</w:t>
      </w:r>
    </w:p>
    <w:p w14:paraId="43FF63E0" w14:textId="77777777" w:rsidR="0060074A" w:rsidRDefault="0060074A" w:rsidP="0060074A">
      <w:r>
        <w:t>El desarrollo temático combina explicaciones conceptuales, ejemplos aplicados y casos prácticos del sector financiero colombiano. De esta manera, el aprendiz podrá relacionar los contenidos con situaciones reales de gestión, como el cálculo de provisiones, la reestructuración de créditos, la elaboración de reportes regulatorios y la atención de quejas de consumidores financieros.</w:t>
      </w:r>
    </w:p>
    <w:p w14:paraId="37A750AE" w14:textId="77777777" w:rsidR="0060074A" w:rsidRDefault="0060074A" w:rsidP="0060074A"/>
    <w:p w14:paraId="5824929E" w14:textId="28CF07EB" w:rsidR="005914A4" w:rsidRDefault="0060074A" w:rsidP="0060074A">
      <w:r>
        <w:lastRenderedPageBreak/>
        <w:t>Para ampliar la comprensión de los conceptos abordados y contextualizar su aplicación en la gestión de cartera de créditos, se recomienda acceder al recurso audiovisual que acompaña esta sección.</w:t>
      </w:r>
    </w:p>
    <w:p w14:paraId="5D23F108" w14:textId="77777777" w:rsidR="0060074A" w:rsidRDefault="0060074A" w:rsidP="0060074A">
      <w:pPr>
        <w:pStyle w:val="Video"/>
      </w:pPr>
      <w:r w:rsidRPr="0060074A">
        <w:t>Contabilidad y normatividad financiera aplicada a la cartera</w:t>
      </w:r>
    </w:p>
    <w:p w14:paraId="46E298FF" w14:textId="2F99A3BD" w:rsidR="0060074A" w:rsidRPr="0072538E" w:rsidRDefault="00963B37" w:rsidP="0060074A">
      <w:pPr>
        <w:ind w:hanging="142"/>
        <w:jc w:val="center"/>
      </w:pPr>
      <w:r>
        <w:rPr>
          <w:noProof/>
        </w:rPr>
        <w:drawing>
          <wp:inline distT="0" distB="0" distL="0" distR="0" wp14:anchorId="6371E522" wp14:editId="5A430AAA">
            <wp:extent cx="4680000" cy="26352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7E144759" w14:textId="1BFD2A0E" w:rsidR="0060074A" w:rsidRDefault="00A45BD4" w:rsidP="0060074A">
      <w:pPr>
        <w:ind w:firstLine="0"/>
        <w:jc w:val="center"/>
      </w:pPr>
      <w:hyperlink r:id="rId13" w:history="1">
        <w:r w:rsidR="0060074A" w:rsidRPr="00963B3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60074A" w14:paraId="4C295261" w14:textId="77777777" w:rsidTr="00772600">
        <w:trPr>
          <w:tblHeader/>
        </w:trPr>
        <w:tc>
          <w:tcPr>
            <w:tcW w:w="9972" w:type="dxa"/>
          </w:tcPr>
          <w:p w14:paraId="6B0223EE" w14:textId="77777777" w:rsidR="0060074A" w:rsidRDefault="0060074A" w:rsidP="00772600">
            <w:pPr>
              <w:ind w:firstLine="0"/>
            </w:pPr>
            <w:r>
              <w:rPr>
                <w:b/>
              </w:rPr>
              <w:t xml:space="preserve">Transcripción del video. </w:t>
            </w:r>
            <w:r w:rsidRPr="0060074A">
              <w:rPr>
                <w:bCs/>
              </w:rPr>
              <w:t>Contabilidad y normatividad financiera aplicada a la cartera</w:t>
            </w:r>
          </w:p>
        </w:tc>
      </w:tr>
      <w:tr w:rsidR="0060074A" w14:paraId="6BDD7472" w14:textId="77777777" w:rsidTr="00772600">
        <w:tc>
          <w:tcPr>
            <w:tcW w:w="9972" w:type="dxa"/>
          </w:tcPr>
          <w:p w14:paraId="30A271EC" w14:textId="77777777" w:rsidR="00432042" w:rsidRDefault="00432042" w:rsidP="00432042">
            <w:r>
              <w:t>La gestión de la cartera de créditos en el sector financiero colombiano requiere información clara, registros confiables y decisiones ajustadas a la normativa vigente. Cada obligación otorgada por una entidad financiera debe ser registrada, clasificada, evaluada y monitoreada para proteger los recursos administrados y mantener la solidez institucional.</w:t>
            </w:r>
          </w:p>
          <w:p w14:paraId="62F9465F" w14:textId="77777777" w:rsidR="00432042" w:rsidRDefault="00432042" w:rsidP="00432042">
            <w:r>
              <w:t xml:space="preserve">Este componente formativo presenta los fundamentos contables y normativos que orientan la administración de la cartera. A partir de estos contenidos, se </w:t>
            </w:r>
            <w:r>
              <w:lastRenderedPageBreak/>
              <w:t>comprende cómo la información financiera ayuda a reconocer el estado de las obligaciones, identificar riesgos, calcular provisiones y sustentar decisiones relacionadas con el seguimiento, la recuperación y el cumplimiento regulatorio.</w:t>
            </w:r>
          </w:p>
          <w:p w14:paraId="100D89F9" w14:textId="77777777" w:rsidR="00432042" w:rsidRDefault="00432042" w:rsidP="00432042">
            <w:r>
              <w:t>Asimismo, se aborda la importancia de los planes de pago, las modalidades de crédito, las tasas de interés y las alternativas de normalización, como la reestructuración y la refinanciación. Estos elementos permiten analizar cada caso con criterio técnico y proponer acciones acordes con la capacidad de pago del deudor y las políticas de la entidad.</w:t>
            </w:r>
          </w:p>
          <w:p w14:paraId="7272D8AA" w14:textId="77777777" w:rsidR="00432042" w:rsidRDefault="00432042" w:rsidP="00432042">
            <w:r>
              <w:t>De esta manera, este espacio de aprendizaje fortalece la capacidad para interpretar información contable y financiera de la cartera, reconocer el impacto de la mora, calcular provisiones y aplicar criterios normativos en situaciones propias del sector.</w:t>
            </w:r>
          </w:p>
          <w:p w14:paraId="7F293B86" w14:textId="7B60A090" w:rsidR="0060074A" w:rsidRDefault="00432042" w:rsidP="00432042">
            <w:r>
              <w:t>Asimismo, promueve una gestión técnica, responsable y normativa, orientada al cumplimiento institucional, al manejo adecuado de los créditos, a la toma de decisiones fundamentadas y a la protección del consumidor financiero.</w:t>
            </w:r>
          </w:p>
        </w:tc>
      </w:tr>
    </w:tbl>
    <w:p w14:paraId="0D67AB51" w14:textId="77777777" w:rsidR="0060074A" w:rsidRDefault="0060074A" w:rsidP="005F242D"/>
    <w:p w14:paraId="537C993E" w14:textId="6E0FD010" w:rsidR="00BF7EA0" w:rsidRDefault="00BF7EA0">
      <w:pPr>
        <w:spacing w:before="0" w:after="160" w:line="259" w:lineRule="auto"/>
        <w:ind w:firstLine="0"/>
      </w:pPr>
      <w:r>
        <w:br w:type="page"/>
      </w:r>
    </w:p>
    <w:p w14:paraId="73C24E93" w14:textId="3673020F" w:rsidR="00831C29" w:rsidRDefault="0060074A" w:rsidP="0060074A">
      <w:pPr>
        <w:pStyle w:val="Ttulo1"/>
      </w:pPr>
      <w:bookmarkStart w:id="1" w:name="_Toc232493825"/>
      <w:r w:rsidRPr="0060074A">
        <w:lastRenderedPageBreak/>
        <w:t>Contabilidad básica del sistema financiero</w:t>
      </w:r>
      <w:bookmarkEnd w:id="1"/>
    </w:p>
    <w:p w14:paraId="762463A0" w14:textId="77777777" w:rsidR="0060074A" w:rsidRPr="0060074A" w:rsidRDefault="0060074A" w:rsidP="0060074A">
      <w:pPr>
        <w:rPr>
          <w:lang w:val="es-419" w:eastAsia="es-CO"/>
        </w:rPr>
      </w:pPr>
      <w:r w:rsidRPr="0060074A">
        <w:rPr>
          <w:lang w:val="es-419" w:eastAsia="es-CO"/>
        </w:rPr>
        <w:t>La contabilidad es el lenguaje de los negocios, porque permite registrar, clasificar y comunicar la información económica y financiera de las organizaciones para apoyar la toma de decisiones. En el sector financiero colombiano adquiere una relevancia especial, debido a que las entidades de crédito administran recursos del público, como los depósitos de los ahorradores, y su solidez incide en la estabilidad del sistema económico. Por esta razón, la normativa contable del sector financiero es más detallada y exigente que la aplicada en otros sectores.</w:t>
      </w:r>
    </w:p>
    <w:p w14:paraId="6D0EE809" w14:textId="77777777" w:rsidR="0060074A" w:rsidRPr="0060074A" w:rsidRDefault="0060074A" w:rsidP="0060074A">
      <w:pPr>
        <w:rPr>
          <w:lang w:val="es-419" w:eastAsia="es-CO"/>
        </w:rPr>
      </w:pPr>
      <w:r w:rsidRPr="0060074A">
        <w:rPr>
          <w:lang w:val="es-419" w:eastAsia="es-CO"/>
        </w:rPr>
        <w:t>Para comprender su utilidad en la gestión de cartera, es necesario reconocer que la contabilidad no solo organiza datos, sino que también respalda decisiones técnicas, regulatorias y operativas. En este sentido, permite hacer seguimiento al comportamiento de las obligaciones, identificar riesgos, verificar saldos y reportar información confiable a las áreas internas y a los organismos de vigilancia y control. A continuación, se presentan cuatro funciones clave de la contabilidad aplicada a la cartera:</w:t>
      </w:r>
    </w:p>
    <w:p w14:paraId="6FE8854C" w14:textId="5F5D328F" w:rsidR="0060074A" w:rsidRPr="0060074A" w:rsidRDefault="0060074A" w:rsidP="00C52DBF">
      <w:pPr>
        <w:pStyle w:val="Prrafodelista"/>
        <w:numPr>
          <w:ilvl w:val="0"/>
          <w:numId w:val="6"/>
        </w:numPr>
        <w:rPr>
          <w:lang w:val="es-419" w:eastAsia="es-CO"/>
        </w:rPr>
      </w:pPr>
      <w:r w:rsidRPr="0060074A">
        <w:rPr>
          <w:b/>
          <w:bCs/>
          <w:lang w:val="es-419" w:eastAsia="es-CO"/>
        </w:rPr>
        <w:t>Registro:</w:t>
      </w:r>
      <w:r w:rsidRPr="0060074A">
        <w:rPr>
          <w:lang w:val="es-419" w:eastAsia="es-CO"/>
        </w:rPr>
        <w:t xml:space="preserve"> permite dejar evidencia ordenada de los créditos otorgados, pagos recibidos, intereses causados, provisiones y castigos de cartera. </w:t>
      </w:r>
    </w:p>
    <w:p w14:paraId="464EA155" w14:textId="7EDE16FD" w:rsidR="0060074A" w:rsidRPr="0060074A" w:rsidRDefault="0060074A" w:rsidP="00C52DBF">
      <w:pPr>
        <w:pStyle w:val="Prrafodelista"/>
        <w:numPr>
          <w:ilvl w:val="0"/>
          <w:numId w:val="6"/>
        </w:numPr>
        <w:rPr>
          <w:lang w:val="es-419" w:eastAsia="es-CO"/>
        </w:rPr>
      </w:pPr>
      <w:r w:rsidRPr="0060074A">
        <w:rPr>
          <w:b/>
          <w:bCs/>
          <w:lang w:val="es-419" w:eastAsia="es-CO"/>
        </w:rPr>
        <w:t>Clasificación:</w:t>
      </w:r>
      <w:r w:rsidRPr="0060074A">
        <w:rPr>
          <w:lang w:val="es-419" w:eastAsia="es-CO"/>
        </w:rPr>
        <w:t xml:space="preserve"> organiza la información según modalidad de crédito, nivel de riesgo, estado de pago y condiciones de la obligación. </w:t>
      </w:r>
    </w:p>
    <w:p w14:paraId="519002EF" w14:textId="0095E524" w:rsidR="0060074A" w:rsidRPr="0060074A" w:rsidRDefault="0060074A" w:rsidP="00C52DBF">
      <w:pPr>
        <w:pStyle w:val="Prrafodelista"/>
        <w:numPr>
          <w:ilvl w:val="0"/>
          <w:numId w:val="6"/>
        </w:numPr>
        <w:rPr>
          <w:lang w:val="es-419" w:eastAsia="es-CO"/>
        </w:rPr>
      </w:pPr>
      <w:r w:rsidRPr="0060074A">
        <w:rPr>
          <w:b/>
          <w:bCs/>
          <w:lang w:val="es-419" w:eastAsia="es-CO"/>
        </w:rPr>
        <w:t>Control:</w:t>
      </w:r>
      <w:r w:rsidRPr="0060074A">
        <w:rPr>
          <w:lang w:val="es-419" w:eastAsia="es-CO"/>
        </w:rPr>
        <w:t xml:space="preserve"> facilita verificar saldos, mora, provisiones, movimientos contables y cumplimiento de las políticas internas. </w:t>
      </w:r>
    </w:p>
    <w:p w14:paraId="1CCD687D" w14:textId="79A25D5D" w:rsidR="0060074A" w:rsidRPr="0060074A" w:rsidRDefault="0060074A" w:rsidP="00C52DBF">
      <w:pPr>
        <w:pStyle w:val="Prrafodelista"/>
        <w:numPr>
          <w:ilvl w:val="0"/>
          <w:numId w:val="6"/>
        </w:numPr>
        <w:rPr>
          <w:lang w:val="es-419" w:eastAsia="es-CO"/>
        </w:rPr>
      </w:pPr>
      <w:r w:rsidRPr="0060074A">
        <w:rPr>
          <w:b/>
          <w:bCs/>
          <w:lang w:val="es-419" w:eastAsia="es-CO"/>
        </w:rPr>
        <w:t>Reporte:</w:t>
      </w:r>
      <w:r w:rsidRPr="0060074A">
        <w:rPr>
          <w:lang w:val="es-419" w:eastAsia="es-CO"/>
        </w:rPr>
        <w:t xml:space="preserve"> comunica información confiable a las áreas de riesgo, contabilidad, dirección y organismos de vigilancia y control.</w:t>
      </w:r>
    </w:p>
    <w:p w14:paraId="0F2E38D6" w14:textId="77777777" w:rsidR="0060074A" w:rsidRPr="0060074A" w:rsidRDefault="0060074A" w:rsidP="0060074A">
      <w:pPr>
        <w:rPr>
          <w:lang w:val="es-419" w:eastAsia="es-CO"/>
        </w:rPr>
      </w:pPr>
      <w:r w:rsidRPr="0060074A">
        <w:rPr>
          <w:lang w:val="es-419" w:eastAsia="es-CO"/>
        </w:rPr>
        <w:lastRenderedPageBreak/>
        <w:t>Estas funciones muestran que la contabilidad es una herramienta práctica para interpretar la situación real de la cartera. Su correcta aplicación permite identificar riesgos, sustentar decisiones de recuperación y mantener información verificable sobre cada obligación administrada por la entidad.</w:t>
      </w:r>
    </w:p>
    <w:p w14:paraId="7522C0A1" w14:textId="44FCAAD9" w:rsidR="0060074A" w:rsidRDefault="0060074A" w:rsidP="0060074A">
      <w:pPr>
        <w:rPr>
          <w:lang w:val="es-419" w:eastAsia="es-CO"/>
        </w:rPr>
      </w:pPr>
      <w:r w:rsidRPr="0060074A">
        <w:rPr>
          <w:lang w:val="es-419" w:eastAsia="es-CO"/>
        </w:rPr>
        <w:t>Con esta base general, es posible comprender el propósito específico que cumple la contabilidad en las entidades financieras. En el siguiente apartado se explica cómo este sistema de información contribuye al control interno, al cumplimiento normativo y a la toma de decisiones relacionadas con la cartera de créditos.</w:t>
      </w:r>
    </w:p>
    <w:p w14:paraId="2C332E76" w14:textId="77777777" w:rsidR="00432042" w:rsidRPr="0060074A" w:rsidRDefault="00432042" w:rsidP="0060074A">
      <w:pPr>
        <w:rPr>
          <w:lang w:val="es-419" w:eastAsia="es-CO"/>
        </w:rPr>
      </w:pPr>
    </w:p>
    <w:p w14:paraId="063ACF26" w14:textId="540705E5" w:rsidR="00831C29" w:rsidRDefault="0060074A" w:rsidP="00831C29">
      <w:pPr>
        <w:pStyle w:val="Ttulo2"/>
      </w:pPr>
      <w:bookmarkStart w:id="2" w:name="_Toc232493826"/>
      <w:r w:rsidRPr="0060074A">
        <w:t>Propósito de la contabilidad en las entidades financieras</w:t>
      </w:r>
      <w:bookmarkEnd w:id="2"/>
    </w:p>
    <w:p w14:paraId="1C37D8B7" w14:textId="77777777" w:rsidR="0060074A" w:rsidRPr="0060074A" w:rsidRDefault="0060074A" w:rsidP="0060074A">
      <w:pPr>
        <w:rPr>
          <w:lang w:val="es-419" w:eastAsia="es-CO"/>
        </w:rPr>
      </w:pPr>
      <w:r w:rsidRPr="0060074A">
        <w:rPr>
          <w:lang w:val="es-419" w:eastAsia="es-CO"/>
        </w:rPr>
        <w:t>La contabilidad en las entidades financieras tiene como propósito fundamental registrar fielmente todas las transacciones económicas que afectan la posición financiera de la institución, generando información útil para la toma de decisiones internas y para el cumplimiento de las obligaciones de reporte ante la Superintendencia Financiera de Colombia.</w:t>
      </w:r>
    </w:p>
    <w:p w14:paraId="2581B76E" w14:textId="77777777" w:rsidR="0060074A" w:rsidRPr="0060074A" w:rsidRDefault="0060074A" w:rsidP="0060074A">
      <w:pPr>
        <w:rPr>
          <w:lang w:val="es-419" w:eastAsia="es-CO"/>
        </w:rPr>
      </w:pPr>
      <w:r w:rsidRPr="0060074A">
        <w:rPr>
          <w:lang w:val="es-419" w:eastAsia="es-CO"/>
        </w:rPr>
        <w:t>Asimismo, el propósito de la contabilidad en las entidades financieras va más allá de la simple documentación de transacciones, es también un mecanismo de control interno que permite detectar irregularidades, medir la exposición al riesgo crediticio y verificar el cumplimiento de las normas prudenciales definidas por el regulador.</w:t>
      </w:r>
    </w:p>
    <w:p w14:paraId="7C66AD5B" w14:textId="77777777" w:rsidR="0060074A" w:rsidRPr="0060074A" w:rsidRDefault="0060074A" w:rsidP="0060074A">
      <w:pPr>
        <w:rPr>
          <w:lang w:val="es-419" w:eastAsia="es-CO"/>
        </w:rPr>
      </w:pPr>
      <w:r w:rsidRPr="0060074A">
        <w:rPr>
          <w:lang w:val="es-419" w:eastAsia="es-CO"/>
        </w:rPr>
        <w:t xml:space="preserve">De igual manera, para el profesional de cartera, los reportes contables constituyen el insumo principal para dimensionar el impacto de su gestión sobre el desempeño financiero de la entidad. Los reportes contables más relevantes para la gestión de cartera son los que reflejan el estado de las obligaciones administradas. A </w:t>
      </w:r>
      <w:r w:rsidRPr="0060074A">
        <w:rPr>
          <w:lang w:val="es-419" w:eastAsia="es-CO"/>
        </w:rPr>
        <w:lastRenderedPageBreak/>
        <w:t>continuación, se describen los propósitos específicos de la contabilidad que tienen mayor impacto sobre la gestión de cartera:</w:t>
      </w:r>
    </w:p>
    <w:p w14:paraId="0A157752" w14:textId="4066813C" w:rsidR="0060074A" w:rsidRPr="0060074A" w:rsidRDefault="0060074A" w:rsidP="00C52DBF">
      <w:pPr>
        <w:pStyle w:val="Prrafodelista"/>
        <w:numPr>
          <w:ilvl w:val="0"/>
          <w:numId w:val="7"/>
        </w:numPr>
        <w:rPr>
          <w:lang w:val="es-419" w:eastAsia="es-CO"/>
        </w:rPr>
      </w:pPr>
      <w:r w:rsidRPr="0060074A">
        <w:rPr>
          <w:b/>
          <w:bCs/>
          <w:lang w:val="es-419" w:eastAsia="es-CO"/>
        </w:rPr>
        <w:t>Registro y trazabilidad:</w:t>
      </w:r>
      <w:r w:rsidRPr="0060074A">
        <w:rPr>
          <w:lang w:val="es-419" w:eastAsia="es-CO"/>
        </w:rPr>
        <w:t xml:space="preserve"> la contabilidad garantiza que cada operación de crédito, cada pago recibido, cada provisión constituida y cada castigo de cartera quede registrado de manera ordenada y verificable, lo que permite reconstruir el historial financiero de cada obligación.</w:t>
      </w:r>
    </w:p>
    <w:p w14:paraId="748F309F" w14:textId="302135D6" w:rsidR="0060074A" w:rsidRPr="0060074A" w:rsidRDefault="0060074A" w:rsidP="00C52DBF">
      <w:pPr>
        <w:pStyle w:val="Prrafodelista"/>
        <w:numPr>
          <w:ilvl w:val="0"/>
          <w:numId w:val="7"/>
        </w:numPr>
        <w:rPr>
          <w:lang w:val="es-419" w:eastAsia="es-CO"/>
        </w:rPr>
      </w:pPr>
      <w:r w:rsidRPr="00432042">
        <w:rPr>
          <w:b/>
          <w:bCs/>
          <w:lang w:val="es-419" w:eastAsia="es-CO"/>
        </w:rPr>
        <w:t>Control interno:</w:t>
      </w:r>
      <w:r w:rsidRPr="0060074A">
        <w:rPr>
          <w:lang w:val="es-419" w:eastAsia="es-CO"/>
        </w:rPr>
        <w:t xml:space="preserve"> los registros contables permiten identificar desviaciones entre los saldos esperados y los saldos reales, detectar errores en la aplicación de pagos y verificar que las provisiones se han constituido conforme a la normativa vigente.</w:t>
      </w:r>
    </w:p>
    <w:p w14:paraId="34492791" w14:textId="38047BE6" w:rsidR="0060074A" w:rsidRPr="0060074A" w:rsidRDefault="0060074A" w:rsidP="00C52DBF">
      <w:pPr>
        <w:pStyle w:val="Prrafodelista"/>
        <w:numPr>
          <w:ilvl w:val="0"/>
          <w:numId w:val="7"/>
        </w:numPr>
        <w:rPr>
          <w:lang w:val="es-419" w:eastAsia="es-CO"/>
        </w:rPr>
      </w:pPr>
      <w:r w:rsidRPr="0060074A">
        <w:rPr>
          <w:b/>
          <w:bCs/>
          <w:lang w:val="es-419" w:eastAsia="es-CO"/>
        </w:rPr>
        <w:t>Reporte a la Superintendencia Financiera:</w:t>
      </w:r>
      <w:r w:rsidRPr="0060074A">
        <w:rPr>
          <w:lang w:val="es-419" w:eastAsia="es-CO"/>
        </w:rPr>
        <w:t xml:space="preserve"> la información contable de la cartera se transmite periódicamente a través de los sistemas de reporte del regulador, quien la utiliza para evaluar la calidad de la gestión de cada entidad y comparar sus indicadores con los del sector.</w:t>
      </w:r>
    </w:p>
    <w:p w14:paraId="757FBD6A" w14:textId="78B075EC" w:rsidR="0060074A" w:rsidRPr="0060074A" w:rsidRDefault="0060074A" w:rsidP="00C52DBF">
      <w:pPr>
        <w:pStyle w:val="Prrafodelista"/>
        <w:numPr>
          <w:ilvl w:val="0"/>
          <w:numId w:val="7"/>
        </w:numPr>
        <w:rPr>
          <w:lang w:val="es-419" w:eastAsia="es-CO"/>
        </w:rPr>
      </w:pPr>
      <w:r w:rsidRPr="0060074A">
        <w:rPr>
          <w:b/>
          <w:bCs/>
          <w:lang w:val="es-419" w:eastAsia="es-CO"/>
        </w:rPr>
        <w:t>Soporte para la toma de decisiones:</w:t>
      </w:r>
      <w:r w:rsidRPr="0060074A">
        <w:rPr>
          <w:lang w:val="es-419" w:eastAsia="es-CO"/>
        </w:rPr>
        <w:t xml:space="preserve"> los informes contables de cartera le entregan a la alta dirección y a los gestores información objetiva sobre el comportamiento del portafolio, que respalda las decisiones de priorización, asignación de recursos y ajuste de estrategias de recuperación.</w:t>
      </w:r>
    </w:p>
    <w:p w14:paraId="4092803F" w14:textId="77777777" w:rsidR="0060074A" w:rsidRPr="0060074A" w:rsidRDefault="0060074A" w:rsidP="0060074A">
      <w:pPr>
        <w:rPr>
          <w:lang w:val="es-419" w:eastAsia="es-CO"/>
        </w:rPr>
      </w:pPr>
      <w:r w:rsidRPr="0060074A">
        <w:rPr>
          <w:lang w:val="es-419" w:eastAsia="es-CO"/>
        </w:rPr>
        <w:t>Estos cuatro propósitos conforman un sistema integrado, la contabilidad no cumple ninguno de ellos de manera aislada, sino que los realiza simultáneamente a través del registro continuo y sistemático de cada transacción que afecta la cartera de créditos.</w:t>
      </w:r>
    </w:p>
    <w:p w14:paraId="4F4ECABA" w14:textId="77777777" w:rsidR="0060074A" w:rsidRPr="0060074A" w:rsidRDefault="0060074A" w:rsidP="0060074A">
      <w:pPr>
        <w:rPr>
          <w:lang w:val="es-419" w:eastAsia="es-CO"/>
        </w:rPr>
      </w:pPr>
    </w:p>
    <w:p w14:paraId="2C7A0A1E" w14:textId="428A205C" w:rsidR="0060074A" w:rsidRDefault="0060074A" w:rsidP="0060074A">
      <w:pPr>
        <w:rPr>
          <w:lang w:val="es-419" w:eastAsia="es-CO"/>
        </w:rPr>
      </w:pPr>
      <w:r w:rsidRPr="0060074A">
        <w:rPr>
          <w:lang w:val="es-419" w:eastAsia="es-CO"/>
        </w:rPr>
        <w:lastRenderedPageBreak/>
        <w:t>Saber para qué sirve la contabilidad es el punto de partida, pero registrar y presentar esa información correctamente exige criterios técnicos precisos y uniformes. Esos criterios son los principios contables que determinan cómo se mide y comunica la situación financiera de una entidad de crédito, y cuyo cumplimiento tiene consecuencias directas sobre la solidez del sistema financiero.</w:t>
      </w:r>
    </w:p>
    <w:p w14:paraId="48084BCD" w14:textId="77777777" w:rsidR="00432042" w:rsidRPr="0060074A" w:rsidRDefault="00432042" w:rsidP="0060074A">
      <w:pPr>
        <w:rPr>
          <w:lang w:val="es-419" w:eastAsia="es-CO"/>
        </w:rPr>
      </w:pPr>
    </w:p>
    <w:p w14:paraId="09A2544A" w14:textId="6484010B" w:rsidR="0060074A" w:rsidRDefault="0060074A" w:rsidP="0060074A">
      <w:pPr>
        <w:pStyle w:val="Ttulo2"/>
      </w:pPr>
      <w:bookmarkStart w:id="3" w:name="_Toc232493827"/>
      <w:r w:rsidRPr="0060074A">
        <w:t>Principios de contabilidad del sector financiero</w:t>
      </w:r>
      <w:bookmarkEnd w:id="3"/>
    </w:p>
    <w:p w14:paraId="54312341" w14:textId="77777777" w:rsidR="0060074A" w:rsidRPr="0060074A" w:rsidRDefault="0060074A" w:rsidP="0060074A">
      <w:pPr>
        <w:rPr>
          <w:lang w:val="es-419" w:eastAsia="es-CO"/>
        </w:rPr>
      </w:pPr>
      <w:r w:rsidRPr="0060074A">
        <w:rPr>
          <w:lang w:val="es-419" w:eastAsia="es-CO"/>
        </w:rPr>
        <w:t>Los principios de contabilidad generalmente aceptados (PCGA) son el conjunto de normas, convenciones y criterios que rigen el registro y la presentación de la información financiera. En Colombia, el sistema financiero aplica estos principios a través de las instrucciones de la Superintendencia Financiera de Colombia, que establece normas técnicas específicas para las entidades vigiladas, con base en los estándares internacionales de información financiera (NIIF).</w:t>
      </w:r>
    </w:p>
    <w:p w14:paraId="7C226707" w14:textId="77777777" w:rsidR="0060074A" w:rsidRPr="0060074A" w:rsidRDefault="0060074A" w:rsidP="0060074A">
      <w:pPr>
        <w:rPr>
          <w:lang w:val="es-419" w:eastAsia="es-CO"/>
        </w:rPr>
      </w:pPr>
      <w:r w:rsidRPr="0060074A">
        <w:rPr>
          <w:lang w:val="es-419" w:eastAsia="es-CO"/>
        </w:rPr>
        <w:t>Asimismo, en las entidades financieras los principios contables adquieren especial relevancia porque su aplicación correcta o incorrecta tiene consecuencias directas sobre los indicadores que la Superintendencia Financiera utiliza para evaluar la salud del sistema financiero. Por ejemplo, si una entidad no aplica correctamente el principio de prudencia, puede registrar provisiones inferiores a las necesarias y mostrar una situación financiera mejor de la que realmente tiene.</w:t>
      </w:r>
    </w:p>
    <w:p w14:paraId="3773763D" w14:textId="77777777" w:rsidR="0060074A" w:rsidRPr="0060074A" w:rsidRDefault="0060074A" w:rsidP="0060074A">
      <w:pPr>
        <w:rPr>
          <w:lang w:val="es-419" w:eastAsia="es-CO"/>
        </w:rPr>
      </w:pPr>
      <w:r w:rsidRPr="0060074A">
        <w:rPr>
          <w:lang w:val="es-419" w:eastAsia="es-CO"/>
        </w:rPr>
        <w:t>Los principios más relevantes para la gestión de cartera y su aplicación específica en el sector financiero son los siguientes:</w:t>
      </w:r>
    </w:p>
    <w:p w14:paraId="638BE61D" w14:textId="30F194DC" w:rsidR="0060074A" w:rsidRPr="0060074A" w:rsidRDefault="0060074A" w:rsidP="00C52DBF">
      <w:pPr>
        <w:pStyle w:val="Prrafodelista"/>
        <w:numPr>
          <w:ilvl w:val="0"/>
          <w:numId w:val="8"/>
        </w:numPr>
        <w:rPr>
          <w:lang w:val="es-419" w:eastAsia="es-CO"/>
        </w:rPr>
      </w:pPr>
      <w:r w:rsidRPr="0060074A">
        <w:rPr>
          <w:b/>
          <w:bCs/>
          <w:lang w:val="es-419" w:eastAsia="es-CO"/>
        </w:rPr>
        <w:t>Principio de realización:</w:t>
      </w:r>
      <w:r w:rsidRPr="0060074A">
        <w:rPr>
          <w:lang w:val="es-419" w:eastAsia="es-CO"/>
        </w:rPr>
        <w:t xml:space="preserve"> establece que los ingresos por intereses solo deben reconocerse cuando existe certeza razonable de que serán </w:t>
      </w:r>
      <w:r w:rsidRPr="0060074A">
        <w:rPr>
          <w:lang w:val="es-419" w:eastAsia="es-CO"/>
        </w:rPr>
        <w:lastRenderedPageBreak/>
        <w:t>percibidos. Para la cartera de créditos, esto significa que los intereses de obligaciones en mora avanzada no se registran como ingreso hasta que se reciban efectivamente, lo que protege a la entidad de sobreestimar sus ingresos.</w:t>
      </w:r>
    </w:p>
    <w:p w14:paraId="0907CC37" w14:textId="69B5A317" w:rsidR="0060074A" w:rsidRPr="0060074A" w:rsidRDefault="0060074A" w:rsidP="00C52DBF">
      <w:pPr>
        <w:pStyle w:val="Prrafodelista"/>
        <w:numPr>
          <w:ilvl w:val="0"/>
          <w:numId w:val="8"/>
        </w:numPr>
        <w:rPr>
          <w:lang w:val="es-419" w:eastAsia="es-CO"/>
        </w:rPr>
      </w:pPr>
      <w:r w:rsidRPr="0060074A">
        <w:rPr>
          <w:b/>
          <w:bCs/>
          <w:lang w:val="es-419" w:eastAsia="es-CO"/>
        </w:rPr>
        <w:t>Principio de prudencia:</w:t>
      </w:r>
      <w:r w:rsidRPr="0060074A">
        <w:rPr>
          <w:lang w:val="es-419" w:eastAsia="es-CO"/>
        </w:rPr>
        <w:t xml:space="preserve"> exige reconocer las pérdidas potenciales en el momento en que se identifican, sin esperar a que se materialicen, y diferir el reconocimiento de las ganancias hasta que se confirmen. Para la gestión de cartera, este principio fundamenta todo el sistema de provisiones: la entidad debe reservar recursos para cubrir las pérdidas esperadas de sus obligaciones deterioradas antes de que esas pérdidas se produzcan.</w:t>
      </w:r>
    </w:p>
    <w:p w14:paraId="0B32201E" w14:textId="5BEC7C06" w:rsidR="0060074A" w:rsidRPr="0060074A" w:rsidRDefault="0060074A" w:rsidP="00C52DBF">
      <w:pPr>
        <w:pStyle w:val="Prrafodelista"/>
        <w:numPr>
          <w:ilvl w:val="0"/>
          <w:numId w:val="8"/>
        </w:numPr>
        <w:rPr>
          <w:lang w:val="es-419" w:eastAsia="es-CO"/>
        </w:rPr>
      </w:pPr>
      <w:r w:rsidRPr="0060074A">
        <w:rPr>
          <w:b/>
          <w:bCs/>
          <w:lang w:val="es-419" w:eastAsia="es-CO"/>
        </w:rPr>
        <w:t>Principio de uniformidad:</w:t>
      </w:r>
      <w:r w:rsidRPr="0060074A">
        <w:rPr>
          <w:lang w:val="es-419" w:eastAsia="es-CO"/>
        </w:rPr>
        <w:t xml:space="preserve"> exige que los criterios contables aplicados en un período se mantengan en los períodos siguientes, de manera que los estados financieros sean comparables a lo largo del tiempo. Para la cartera, esto significa que los criterios de clasificación de riesgo y los porcentajes de provisión deben aplicarse de manera consistente.</w:t>
      </w:r>
    </w:p>
    <w:p w14:paraId="1D06D2FA" w14:textId="2B7D973E" w:rsidR="0060074A" w:rsidRPr="0060074A" w:rsidRDefault="0060074A" w:rsidP="00C52DBF">
      <w:pPr>
        <w:pStyle w:val="Prrafodelista"/>
        <w:numPr>
          <w:ilvl w:val="0"/>
          <w:numId w:val="8"/>
        </w:numPr>
        <w:rPr>
          <w:lang w:val="es-419" w:eastAsia="es-CO"/>
        </w:rPr>
      </w:pPr>
      <w:r w:rsidRPr="0060074A">
        <w:rPr>
          <w:b/>
          <w:bCs/>
          <w:lang w:val="es-419" w:eastAsia="es-CO"/>
        </w:rPr>
        <w:t>Principio de revelación suficiente:</w:t>
      </w:r>
      <w:r w:rsidRPr="0060074A">
        <w:rPr>
          <w:lang w:val="es-419" w:eastAsia="es-CO"/>
        </w:rPr>
        <w:t xml:space="preserve"> obliga a las entidades a presentar en sus estados financieros y en las notas que los acompañan toda la información necesaria para que los usuarios puedan formarse un juicio correcto sobre la situación financiera. En la gestión de cartera, este principio se traduce en la obligación de revelar los saldos vencidos, los niveles de provisión y los indicadores de calidad del portafolio.</w:t>
      </w:r>
    </w:p>
    <w:p w14:paraId="29D87D84" w14:textId="56A44969" w:rsidR="0060074A" w:rsidRPr="0060074A" w:rsidRDefault="0060074A" w:rsidP="00C52DBF">
      <w:pPr>
        <w:pStyle w:val="Prrafodelista"/>
        <w:numPr>
          <w:ilvl w:val="0"/>
          <w:numId w:val="8"/>
        </w:numPr>
        <w:rPr>
          <w:lang w:val="es-419" w:eastAsia="es-CO"/>
        </w:rPr>
      </w:pPr>
      <w:r w:rsidRPr="0060074A">
        <w:rPr>
          <w:b/>
          <w:bCs/>
          <w:lang w:val="es-419" w:eastAsia="es-CO"/>
        </w:rPr>
        <w:t>Principio de continuidad:</w:t>
      </w:r>
      <w:r w:rsidRPr="0060074A">
        <w:rPr>
          <w:lang w:val="es-419" w:eastAsia="es-CO"/>
        </w:rPr>
        <w:t xml:space="preserve"> asume que la entidad continuará operando en el futuro previsible, lo que justifica valorar los activos a su valor en libros y no a su valor de liquidación. Para la cartera, este principio sustenta la lógica de la reestructuración: si la entidad y el deudor pueden continuar su relación, </w:t>
      </w:r>
      <w:r w:rsidRPr="0060074A">
        <w:rPr>
          <w:lang w:val="es-419" w:eastAsia="es-CO"/>
        </w:rPr>
        <w:lastRenderedPageBreak/>
        <w:t>es preferible ajustar las condiciones del crédito a proceder a la liquidación inmediata de la garantía.</w:t>
      </w:r>
    </w:p>
    <w:p w14:paraId="7153E95F" w14:textId="77777777" w:rsidR="0060074A" w:rsidRPr="0060074A" w:rsidRDefault="0060074A" w:rsidP="0060074A">
      <w:pPr>
        <w:rPr>
          <w:lang w:val="es-419" w:eastAsia="es-CO"/>
        </w:rPr>
      </w:pPr>
      <w:r w:rsidRPr="0060074A">
        <w:rPr>
          <w:lang w:val="es-419" w:eastAsia="es-CO"/>
        </w:rPr>
        <w:t>Estos principios conforman el marco de referencia técnico que guía el registro y la presentación de la información contable de la cartera. Su conocimiento permite al gestor comprender por qué la contabilidad de su entidad se organiza de la manera en que lo hace y cuáles son las consecuencias de no aplicarlos correctamente.</w:t>
      </w:r>
    </w:p>
    <w:p w14:paraId="37290021" w14:textId="1834758E" w:rsidR="0060074A" w:rsidRDefault="0060074A" w:rsidP="0060074A">
      <w:pPr>
        <w:rPr>
          <w:lang w:val="es-419" w:eastAsia="es-CO"/>
        </w:rPr>
      </w:pPr>
      <w:r w:rsidRPr="0060074A">
        <w:rPr>
          <w:lang w:val="es-419" w:eastAsia="es-CO"/>
        </w:rPr>
        <w:t>Los principios contables cobran sentido cuando se aplican a documentos concretos en los que la situación financiera de una entidad queda registrada, medida y comunicada. Esos documentos son los estados financieros, cuya estructura y contenido revelan dimensiones distintas del desempeño de la institución y permiten interpretar con precisión el comportamiento de la cartera.</w:t>
      </w:r>
    </w:p>
    <w:p w14:paraId="2F8E898D" w14:textId="77777777" w:rsidR="001707A3" w:rsidRPr="0060074A" w:rsidRDefault="001707A3" w:rsidP="0060074A">
      <w:pPr>
        <w:rPr>
          <w:lang w:val="es-419" w:eastAsia="es-CO"/>
        </w:rPr>
      </w:pPr>
    </w:p>
    <w:p w14:paraId="33885614" w14:textId="6C6CF12D" w:rsidR="0060074A" w:rsidRDefault="0060074A" w:rsidP="0060074A">
      <w:pPr>
        <w:pStyle w:val="Ttulo2"/>
      </w:pPr>
      <w:bookmarkStart w:id="4" w:name="_Toc232493828"/>
      <w:r w:rsidRPr="0060074A">
        <w:t>Estados financieros de una entidad de crédito</w:t>
      </w:r>
      <w:bookmarkEnd w:id="4"/>
    </w:p>
    <w:p w14:paraId="1E39DBA1" w14:textId="77777777" w:rsidR="001870A6" w:rsidRPr="001870A6" w:rsidRDefault="001870A6" w:rsidP="001870A6">
      <w:pPr>
        <w:rPr>
          <w:lang w:val="es-419" w:eastAsia="es-CO"/>
        </w:rPr>
      </w:pPr>
      <w:r w:rsidRPr="001870A6">
        <w:rPr>
          <w:lang w:val="es-419" w:eastAsia="es-CO"/>
        </w:rPr>
        <w:t>Los estados financieros de una entidad de crédito en Colombia comprenden cuatro documentos principales que presentan, de manera organizada y verificable, la situación económica y financiera de la institución en un período determinado. Cada uno de estos documentos revela una dimensión distinta del desempeño de la entidad y tiene implicaciones específicas para la gestión de cartera.</w:t>
      </w:r>
    </w:p>
    <w:p w14:paraId="2CAB783F" w14:textId="77777777" w:rsidR="001870A6" w:rsidRPr="001870A6" w:rsidRDefault="001870A6" w:rsidP="001870A6">
      <w:pPr>
        <w:rPr>
          <w:lang w:val="es-419" w:eastAsia="es-CO"/>
        </w:rPr>
      </w:pPr>
      <w:r w:rsidRPr="001870A6">
        <w:rPr>
          <w:lang w:val="es-419" w:eastAsia="es-CO"/>
        </w:rPr>
        <w:t>Asimismo, la comprensión de estos estados financieros no es exclusiva de los especialistas contables: el gestor de cartera los utiliza como insumo para interpretar los resultados de su gestión, dimensionar el impacto de sus decisiones y fundamentar sus informes ante la dirección. Un gestor que no comprende qué revelan estos documentos opera con información incompleta.</w:t>
      </w:r>
    </w:p>
    <w:p w14:paraId="4930CAAC" w14:textId="77777777" w:rsidR="001870A6" w:rsidRPr="001870A6" w:rsidRDefault="001870A6" w:rsidP="001870A6">
      <w:pPr>
        <w:rPr>
          <w:lang w:val="es-419" w:eastAsia="es-CO"/>
        </w:rPr>
      </w:pPr>
      <w:r w:rsidRPr="001870A6">
        <w:rPr>
          <w:lang w:val="es-419" w:eastAsia="es-CO"/>
        </w:rPr>
        <w:lastRenderedPageBreak/>
        <w:t>Los cuatro estados financieros principales de una entidad de crédito en Colombia y su relevancia para la gestión de cartera son los siguientes:</w:t>
      </w:r>
    </w:p>
    <w:p w14:paraId="6FDC14C1" w14:textId="7BA5F57C" w:rsidR="001870A6" w:rsidRPr="001870A6" w:rsidRDefault="001870A6" w:rsidP="00C52DBF">
      <w:pPr>
        <w:pStyle w:val="Prrafodelista"/>
        <w:numPr>
          <w:ilvl w:val="0"/>
          <w:numId w:val="9"/>
        </w:numPr>
        <w:rPr>
          <w:lang w:val="es-419" w:eastAsia="es-CO"/>
        </w:rPr>
      </w:pPr>
      <w:r w:rsidRPr="001870A6">
        <w:rPr>
          <w:b/>
          <w:bCs/>
          <w:lang w:val="es-419" w:eastAsia="es-CO"/>
        </w:rPr>
        <w:t>Balance general (estado de situación financiera):</w:t>
      </w:r>
      <w:r w:rsidRPr="001870A6">
        <w:rPr>
          <w:lang w:val="es-419" w:eastAsia="es-CO"/>
        </w:rPr>
        <w:t xml:space="preserve"> revela la posición patrimonial de la entidad en una fecha determinada: activos, pasivos y patrimonio. Para la gestión de cartera, este estado muestra el saldo total de la cartera por modalidad, el nivel de provisiones constituido y la relación entre la cartera y los recursos captados del público.</w:t>
      </w:r>
    </w:p>
    <w:p w14:paraId="69151C02" w14:textId="77777777" w:rsidR="001870A6" w:rsidRPr="001870A6" w:rsidRDefault="001870A6" w:rsidP="001707A3">
      <w:pPr>
        <w:ind w:left="1416" w:firstLine="1"/>
        <w:rPr>
          <w:lang w:val="es-419" w:eastAsia="es-CO"/>
        </w:rPr>
      </w:pPr>
      <w:r w:rsidRPr="001870A6">
        <w:rPr>
          <w:lang w:val="es-419" w:eastAsia="es-CO"/>
        </w:rPr>
        <w:t>Ejemplo: el gestor que revisa el balance de su entidad puede identificar que la cartera de consumo representa el 45 % del activo total y que las provisiones constituidas equivalen al 3,2 % del saldo bruto, lo que le permite dimensionar la exposición al riesgo de su portafolio en el contexto general de la institución.</w:t>
      </w:r>
    </w:p>
    <w:p w14:paraId="69E06825" w14:textId="575AE076" w:rsidR="001870A6" w:rsidRPr="001870A6" w:rsidRDefault="001870A6" w:rsidP="00C52DBF">
      <w:pPr>
        <w:pStyle w:val="Prrafodelista"/>
        <w:numPr>
          <w:ilvl w:val="0"/>
          <w:numId w:val="9"/>
        </w:numPr>
        <w:rPr>
          <w:lang w:val="es-419" w:eastAsia="es-CO"/>
        </w:rPr>
      </w:pPr>
      <w:r w:rsidRPr="001870A6">
        <w:rPr>
          <w:b/>
          <w:bCs/>
          <w:lang w:val="es-419" w:eastAsia="es-CO"/>
        </w:rPr>
        <w:t>Estado de resultados (estado de pérdidas y ganancias):</w:t>
      </w:r>
      <w:r w:rsidRPr="001870A6">
        <w:rPr>
          <w:lang w:val="es-419" w:eastAsia="es-CO"/>
        </w:rPr>
        <w:t xml:space="preserve"> presenta los ingresos, los gastos y la utilidad o pérdida del período. Revela el ingreso por intereses generado por la cartera, el gasto por provisiones reconocido durante el período y las recuperaciones de cartera castigada, que mejoran las utilidades cuando se producen.</w:t>
      </w:r>
    </w:p>
    <w:p w14:paraId="6108311A" w14:textId="77777777" w:rsidR="001870A6" w:rsidRPr="001870A6" w:rsidRDefault="001870A6" w:rsidP="001707A3">
      <w:pPr>
        <w:ind w:left="1416" w:firstLine="1"/>
        <w:rPr>
          <w:lang w:val="es-419" w:eastAsia="es-CO"/>
        </w:rPr>
      </w:pPr>
      <w:r w:rsidRPr="001870A6">
        <w:rPr>
          <w:lang w:val="es-419" w:eastAsia="es-CO"/>
        </w:rPr>
        <w:t>Ejemplo: si el gasto por provisiones de un período aumenta en $500 millones respecto del período anterior, el gestor puede relacionar ese incremento con el deterioro de la cartera bajo su administración y comprender su impacto directo sobre las utilidades de la entidad.</w:t>
      </w:r>
    </w:p>
    <w:p w14:paraId="12508E3C" w14:textId="560B52CC" w:rsidR="001870A6" w:rsidRPr="001870A6" w:rsidRDefault="001870A6" w:rsidP="00C52DBF">
      <w:pPr>
        <w:pStyle w:val="Prrafodelista"/>
        <w:numPr>
          <w:ilvl w:val="0"/>
          <w:numId w:val="9"/>
        </w:numPr>
        <w:rPr>
          <w:lang w:val="es-419" w:eastAsia="es-CO"/>
        </w:rPr>
      </w:pPr>
      <w:r w:rsidRPr="001870A6">
        <w:rPr>
          <w:b/>
          <w:bCs/>
          <w:lang w:val="es-419" w:eastAsia="es-CO"/>
        </w:rPr>
        <w:t>Estado de cambios en el patrimonio:</w:t>
      </w:r>
      <w:r w:rsidRPr="001870A6">
        <w:rPr>
          <w:lang w:val="es-419" w:eastAsia="es-CO"/>
        </w:rPr>
        <w:t xml:space="preserve"> muestra las variaciones en el patrimonio durante el período por utilidades, pérdidas, aportes o </w:t>
      </w:r>
      <w:r w:rsidRPr="001870A6">
        <w:rPr>
          <w:lang w:val="es-419" w:eastAsia="es-CO"/>
        </w:rPr>
        <w:lastRenderedPageBreak/>
        <w:t>distribuciones. Para la gestión de cartera, permite evaluar el impacto acumulado del deterioro del portafolio sobre la base patrimonial de la entidad, que es la que garantiza su solvencia frente a los depositantes.</w:t>
      </w:r>
    </w:p>
    <w:p w14:paraId="376D5AD4" w14:textId="77777777" w:rsidR="001870A6" w:rsidRPr="001870A6" w:rsidRDefault="001870A6" w:rsidP="001707A3">
      <w:pPr>
        <w:ind w:left="1416" w:firstLine="1"/>
        <w:rPr>
          <w:lang w:val="es-419" w:eastAsia="es-CO"/>
        </w:rPr>
      </w:pPr>
      <w:r w:rsidRPr="001870A6">
        <w:rPr>
          <w:lang w:val="es-419" w:eastAsia="es-CO"/>
        </w:rPr>
        <w:t>Ejemplo: si la entidad registra pérdidas por el deterioro de la cartera durante el período, el patrimonio puede disminuir. Esta información permite al gestor comprender cómo una baja recuperación afecta la solidez financiera de la institución.</w:t>
      </w:r>
    </w:p>
    <w:p w14:paraId="79425858" w14:textId="4AED03CE" w:rsidR="001870A6" w:rsidRPr="001870A6" w:rsidRDefault="001870A6" w:rsidP="00C52DBF">
      <w:pPr>
        <w:pStyle w:val="Prrafodelista"/>
        <w:numPr>
          <w:ilvl w:val="0"/>
          <w:numId w:val="9"/>
        </w:numPr>
        <w:rPr>
          <w:lang w:val="es-419" w:eastAsia="es-CO"/>
        </w:rPr>
      </w:pPr>
      <w:r w:rsidRPr="001870A6">
        <w:rPr>
          <w:b/>
          <w:bCs/>
          <w:lang w:val="es-419" w:eastAsia="es-CO"/>
        </w:rPr>
        <w:t>Estado de flujos de efectivo:</w:t>
      </w:r>
      <w:r w:rsidRPr="001870A6">
        <w:rPr>
          <w:lang w:val="es-419" w:eastAsia="es-CO"/>
        </w:rPr>
        <w:t xml:space="preserve"> registra las entradas y salidas de efectivo clasificadas por actividades operativas, de inversión y de financiación. Muestra el recaudo efectivo de capital e intereses de cartera y los desembolsos de nuevos créditos durante el período, lo que refleja con precisión la eficiencia real del proceso de recuperación.</w:t>
      </w:r>
    </w:p>
    <w:p w14:paraId="0144264D" w14:textId="77777777" w:rsidR="001870A6" w:rsidRPr="001870A6" w:rsidRDefault="001870A6" w:rsidP="001707A3">
      <w:pPr>
        <w:ind w:left="1416" w:firstLine="1"/>
        <w:rPr>
          <w:lang w:val="es-419" w:eastAsia="es-CO"/>
        </w:rPr>
      </w:pPr>
      <w:r w:rsidRPr="001870A6">
        <w:rPr>
          <w:lang w:val="es-419" w:eastAsia="es-CO"/>
        </w:rPr>
        <w:t>Ejemplo: si durante el mes se recuperan $300.000.000 en capital e intereses, el estado de flujos de efectivo evidencia la entrada real de dinero. Este dato permite evaluar si la gestión de cobranza está generando liquidez para la entidad.</w:t>
      </w:r>
    </w:p>
    <w:p w14:paraId="35F9FBE6" w14:textId="77777777" w:rsidR="001870A6" w:rsidRPr="001870A6" w:rsidRDefault="001870A6" w:rsidP="001870A6">
      <w:pPr>
        <w:rPr>
          <w:lang w:val="es-419" w:eastAsia="es-CO"/>
        </w:rPr>
      </w:pPr>
      <w:r w:rsidRPr="001870A6">
        <w:rPr>
          <w:lang w:val="es-419" w:eastAsia="es-CO"/>
        </w:rPr>
        <w:t>Estos cuatro estados conforman un sistema integrado de información financiera. Ninguno de ellos es suficiente por sí solo para describir la situación de la entidad: es su lectura conjunta la que permite formarse un juicio completo sobre el desempeño de la cartera y sus implicaciones para la sostenibilidad de la institución.</w:t>
      </w:r>
    </w:p>
    <w:p w14:paraId="52416EAC" w14:textId="77777777" w:rsidR="001870A6" w:rsidRPr="001870A6" w:rsidRDefault="001870A6" w:rsidP="001870A6">
      <w:pPr>
        <w:rPr>
          <w:lang w:val="es-419" w:eastAsia="es-CO"/>
        </w:rPr>
      </w:pPr>
      <w:r w:rsidRPr="001870A6">
        <w:rPr>
          <w:lang w:val="es-419" w:eastAsia="es-CO"/>
        </w:rPr>
        <w:t xml:space="preserve">La comprensión de los cuatro estados financieros le permite al gestor de cartera contextualizar sus resultados dentro del panorama financiero global de la entidad y </w:t>
      </w:r>
      <w:r w:rsidRPr="001870A6">
        <w:rPr>
          <w:lang w:val="es-419" w:eastAsia="es-CO"/>
        </w:rPr>
        <w:lastRenderedPageBreak/>
        <w:t>comunicarlos con precisión ante la dirección. Sin ese contexto, la información de gestión pierde parte de su valor como herramienta para la toma de decisiones.</w:t>
      </w:r>
    </w:p>
    <w:p w14:paraId="2A6D2D21" w14:textId="4D747113" w:rsidR="001870A6" w:rsidRDefault="001870A6" w:rsidP="001870A6">
      <w:pPr>
        <w:rPr>
          <w:lang w:val="es-419" w:eastAsia="es-CO"/>
        </w:rPr>
      </w:pPr>
      <w:r w:rsidRPr="001870A6">
        <w:rPr>
          <w:lang w:val="es-419" w:eastAsia="es-CO"/>
        </w:rPr>
        <w:t>La cartera ocupa una posición central en el balance general, pero su valor real depende del comportamiento de los deudores. Cuando ese comportamiento se deteriora y las obligaciones entran en mora, los efectos se trasladan al estado de resultados, los ingresos disminuyen y los gastos aumentan de manera simultánea, con un impacto desproporcionado sobre la rentabilidad de la entidad.</w:t>
      </w:r>
    </w:p>
    <w:p w14:paraId="0722D5ED" w14:textId="77777777" w:rsidR="001707A3" w:rsidRPr="001870A6" w:rsidRDefault="001707A3" w:rsidP="001870A6">
      <w:pPr>
        <w:rPr>
          <w:lang w:val="es-419" w:eastAsia="es-CO"/>
        </w:rPr>
      </w:pPr>
    </w:p>
    <w:p w14:paraId="105B03C7" w14:textId="7D548A50" w:rsidR="0060074A" w:rsidRDefault="0060074A" w:rsidP="0060074A">
      <w:pPr>
        <w:pStyle w:val="Ttulo2"/>
      </w:pPr>
      <w:bookmarkStart w:id="5" w:name="_Toc232493829"/>
      <w:r w:rsidRPr="0060074A">
        <w:t>La mora y su impacto en los ingresos financieros</w:t>
      </w:r>
      <w:bookmarkEnd w:id="5"/>
    </w:p>
    <w:p w14:paraId="7C69772D" w14:textId="77777777" w:rsidR="001870A6" w:rsidRPr="001870A6" w:rsidRDefault="001870A6" w:rsidP="001870A6">
      <w:pPr>
        <w:rPr>
          <w:lang w:val="es-419" w:eastAsia="es-CO"/>
        </w:rPr>
      </w:pPr>
      <w:r w:rsidRPr="001870A6">
        <w:rPr>
          <w:lang w:val="es-419" w:eastAsia="es-CO"/>
        </w:rPr>
        <w:t>El estado de resultados de una entidad financiera refleja el desempeño económico durante un período determinado. Para los bancos y demás entidades de crédito, la estructura del estado de resultados tiene una característica particular: sus ingresos operacionales provienen principalmente de los intereses que generan los créditos otorgados, lo que convierte la calidad de la cartera en el principal determinante de su rentabilidad.</w:t>
      </w:r>
    </w:p>
    <w:p w14:paraId="750DE5EA" w14:textId="77777777" w:rsidR="001870A6" w:rsidRPr="001870A6" w:rsidRDefault="001870A6" w:rsidP="001870A6">
      <w:pPr>
        <w:rPr>
          <w:lang w:val="es-419" w:eastAsia="es-CO"/>
        </w:rPr>
      </w:pPr>
      <w:r w:rsidRPr="001870A6">
        <w:rPr>
          <w:lang w:val="es-419" w:eastAsia="es-CO"/>
        </w:rPr>
        <w:t>Asimismo, la mora afecta el estado de resultados de una entidad financiera por dos vías simultáneas que se refuerzan mutuamente: por una parte, reduce los ingresos que la entidad puede reconocer contablemente; por otra, obliga a incrementar los gastos por provisiones. Esta doble incidencia explica por qué el deterioro de la cartera tiene un impacto desproporcionado sobre las utilidades de la institución.</w:t>
      </w:r>
    </w:p>
    <w:p w14:paraId="313A49DB" w14:textId="77777777" w:rsidR="001870A6" w:rsidRPr="001870A6" w:rsidRDefault="001870A6" w:rsidP="001870A6">
      <w:pPr>
        <w:rPr>
          <w:lang w:val="es-419" w:eastAsia="es-CO"/>
        </w:rPr>
      </w:pPr>
      <w:r w:rsidRPr="001870A6">
        <w:rPr>
          <w:lang w:val="es-419" w:eastAsia="es-CO"/>
        </w:rPr>
        <w:t>Los dos mecanismos mediante los cuales la mora deteriora el estado de resultados de una entidad financiera son los siguientes:</w:t>
      </w:r>
    </w:p>
    <w:p w14:paraId="2430162D" w14:textId="1A6534B1" w:rsidR="001870A6" w:rsidRPr="001870A6" w:rsidRDefault="001870A6" w:rsidP="00C52DBF">
      <w:pPr>
        <w:pStyle w:val="Prrafodelista"/>
        <w:numPr>
          <w:ilvl w:val="0"/>
          <w:numId w:val="34"/>
        </w:numPr>
        <w:rPr>
          <w:lang w:val="es-419" w:eastAsia="es-CO"/>
        </w:rPr>
      </w:pPr>
      <w:r w:rsidRPr="001870A6">
        <w:rPr>
          <w:b/>
          <w:bCs/>
          <w:lang w:val="es-419" w:eastAsia="es-CO"/>
        </w:rPr>
        <w:lastRenderedPageBreak/>
        <w:t>Reducción de ingresos por intereses:</w:t>
      </w:r>
      <w:r w:rsidRPr="001870A6">
        <w:rPr>
          <w:lang w:val="es-419" w:eastAsia="es-CO"/>
        </w:rPr>
        <w:t xml:space="preserve"> cuando un crédito entra en mora y es reclasificado a categorías de mayor riesgo, los intereses causados dejan de reconocerse como ingreso contable, porque el principio de realización impide registrar ingresos cuya percepción no es certera. Esto reduce directamente los ingresos operacionales del período, independientemente de que la obligación siga generando intereses teóricos. </w:t>
      </w:r>
    </w:p>
    <w:p w14:paraId="63CF77FD" w14:textId="77777777" w:rsidR="001870A6" w:rsidRPr="001870A6" w:rsidRDefault="001870A6" w:rsidP="001707A3">
      <w:pPr>
        <w:ind w:left="1416" w:firstLine="1"/>
        <w:rPr>
          <w:lang w:val="es-419" w:eastAsia="es-CO"/>
        </w:rPr>
      </w:pPr>
      <w:r w:rsidRPr="001870A6">
        <w:rPr>
          <w:lang w:val="es-419" w:eastAsia="es-CO"/>
        </w:rPr>
        <w:t>Ejemplo: una entidad con 500 créditos de consumo en mora de 60 días deja de reconocer los intereses de ese período. Si cada crédito genera en promedio $80.000 mensuales en intereses, la reducción de ingresos asciende a $40.000.000 en ese período, cifra que no se recuperará, aunque los deudores paguen posteriormente.</w:t>
      </w:r>
    </w:p>
    <w:p w14:paraId="293B153B" w14:textId="5486935B" w:rsidR="001870A6" w:rsidRPr="001870A6" w:rsidRDefault="001870A6" w:rsidP="00C52DBF">
      <w:pPr>
        <w:pStyle w:val="Prrafodelista"/>
        <w:numPr>
          <w:ilvl w:val="0"/>
          <w:numId w:val="34"/>
        </w:numPr>
        <w:rPr>
          <w:lang w:val="es-419" w:eastAsia="es-CO"/>
        </w:rPr>
      </w:pPr>
      <w:r w:rsidRPr="001870A6">
        <w:rPr>
          <w:b/>
          <w:bCs/>
          <w:lang w:val="es-419" w:eastAsia="es-CO"/>
        </w:rPr>
        <w:t>Incremento del gasto por provisiones:</w:t>
      </w:r>
      <w:r w:rsidRPr="001870A6">
        <w:rPr>
          <w:lang w:val="es-419" w:eastAsia="es-CO"/>
        </w:rPr>
        <w:t xml:space="preserve"> cada crédito que migra a una categoría de mayor riesgo obliga a constituir una provisión más elevada, lo que se registra como gasto en el estado de resultados y reduce directamente las utilidades del período. Cuanto más rápido se deteriora la cartera, mayor es el gasto por provisiones que la entidad debe registrar. </w:t>
      </w:r>
    </w:p>
    <w:p w14:paraId="5AAA369F" w14:textId="77777777" w:rsidR="001870A6" w:rsidRPr="001870A6" w:rsidRDefault="001870A6" w:rsidP="001707A3">
      <w:pPr>
        <w:ind w:left="1416" w:firstLine="1"/>
        <w:rPr>
          <w:lang w:val="es-419" w:eastAsia="es-CO"/>
        </w:rPr>
      </w:pPr>
      <w:r w:rsidRPr="001870A6">
        <w:rPr>
          <w:lang w:val="es-419" w:eastAsia="es-CO"/>
        </w:rPr>
        <w:t xml:space="preserve">Ejemplo: un crédito de $10.000.000 que migra de categoría A </w:t>
      </w:r>
      <w:proofErr w:type="spellStart"/>
      <w:r w:rsidRPr="001870A6">
        <w:rPr>
          <w:lang w:val="es-419" w:eastAsia="es-CO"/>
        </w:rPr>
        <w:t>a</w:t>
      </w:r>
      <w:proofErr w:type="spellEnd"/>
      <w:r w:rsidRPr="001870A6">
        <w:rPr>
          <w:lang w:val="es-419" w:eastAsia="es-CO"/>
        </w:rPr>
        <w:t xml:space="preserve"> categoría C incrementa la provisión requerida del 1 % al 20 %, lo que representa un cargo adicional de $1.900.000 al gasto del período. Si 200 créditos similares migran en el mismo período, el impacto total sobre las utilidades supera los $380.000.000.</w:t>
      </w:r>
    </w:p>
    <w:p w14:paraId="4EFE68D2" w14:textId="77777777" w:rsidR="001870A6" w:rsidRPr="001870A6" w:rsidRDefault="001870A6" w:rsidP="001870A6">
      <w:pPr>
        <w:rPr>
          <w:lang w:val="es-419" w:eastAsia="es-CO"/>
        </w:rPr>
      </w:pPr>
      <w:r w:rsidRPr="001870A6">
        <w:rPr>
          <w:lang w:val="es-419" w:eastAsia="es-CO"/>
        </w:rPr>
        <w:t xml:space="preserve">Esta doble incidencia de la mora sobre el estado de resultados explica por qué el deterioro de la cartera tiene un impacto desproporcionado sobre la rentabilidad de la </w:t>
      </w:r>
      <w:r w:rsidRPr="001870A6">
        <w:rPr>
          <w:lang w:val="es-419" w:eastAsia="es-CO"/>
        </w:rPr>
        <w:lastRenderedPageBreak/>
        <w:t>entidad. Cada crédito que entra en mora no solo deja de generar ingresos: además genera gastos adicionales, lo que produce un doble efecto negativo sobre las utilidades del período.</w:t>
      </w:r>
    </w:p>
    <w:p w14:paraId="2F4B0FC2" w14:textId="560BC9B9" w:rsidR="001870A6" w:rsidRDefault="001870A6" w:rsidP="001870A6">
      <w:pPr>
        <w:rPr>
          <w:lang w:val="es-419" w:eastAsia="es-CO"/>
        </w:rPr>
      </w:pPr>
      <w:r w:rsidRPr="001870A6">
        <w:rPr>
          <w:lang w:val="es-419" w:eastAsia="es-CO"/>
        </w:rPr>
        <w:t>El deterioro de la cartera no solo reduce los ingresos, también obliga a las entidades a reservar recursos para cubrir las pérdidas que ese deterioro puede generar antes de que se materialicen. Este reconocimiento anticipado de pérdidas se realiza a través de las provisiones, cuyo funcionamiento y cálculo determinan la manera en que el riesgo crediticio queda reflejado en la contabilidad de la entidad.</w:t>
      </w:r>
    </w:p>
    <w:p w14:paraId="1D469BF2" w14:textId="77777777" w:rsidR="001707A3" w:rsidRPr="001870A6" w:rsidRDefault="001707A3" w:rsidP="001870A6">
      <w:pPr>
        <w:rPr>
          <w:lang w:val="es-419" w:eastAsia="es-CO"/>
        </w:rPr>
      </w:pPr>
    </w:p>
    <w:p w14:paraId="0EAC99DA" w14:textId="3889A55A" w:rsidR="0060074A" w:rsidRDefault="0060074A" w:rsidP="0060074A">
      <w:pPr>
        <w:pStyle w:val="Ttulo2"/>
      </w:pPr>
      <w:bookmarkStart w:id="6" w:name="_Toc232493830"/>
      <w:r w:rsidRPr="0060074A">
        <w:t>El sistema de provisiones contables</w:t>
      </w:r>
      <w:bookmarkEnd w:id="6"/>
    </w:p>
    <w:p w14:paraId="55A2D94F" w14:textId="77777777" w:rsidR="001870A6" w:rsidRPr="001870A6" w:rsidRDefault="001870A6" w:rsidP="001870A6">
      <w:pPr>
        <w:rPr>
          <w:lang w:val="es-419" w:eastAsia="es-CO"/>
        </w:rPr>
      </w:pPr>
      <w:r w:rsidRPr="001870A6">
        <w:rPr>
          <w:lang w:val="es-419" w:eastAsia="es-CO"/>
        </w:rPr>
        <w:t>Las provisiones son el mecanismo contable mediante el cual las entidades financieras reconocen anticipadamente las pérdidas esperadas por el incumplimiento de sus deudores, afectando el estado de resultados antes de que esas pérdidas se materialicen efectivamente. Este reconocimiento anticipado responde al principio de prudencia y es una obligación regulatoria establecida por la Superintendencia Financiera de Colombia.</w:t>
      </w:r>
    </w:p>
    <w:p w14:paraId="63779472" w14:textId="77777777" w:rsidR="001870A6" w:rsidRPr="001870A6" w:rsidRDefault="001870A6" w:rsidP="001870A6">
      <w:pPr>
        <w:rPr>
          <w:lang w:val="es-419" w:eastAsia="es-CO"/>
        </w:rPr>
      </w:pPr>
      <w:r w:rsidRPr="001870A6">
        <w:rPr>
          <w:lang w:val="es-419" w:eastAsia="es-CO"/>
        </w:rPr>
        <w:t>Asimismo, la Superintendencia Financiera de Colombia establece dos componentes en el sistema de provisiones que las entidades deben constituir y mantener de manera diferenciada: la provisión individual y la provisión general. Cada componente tiene reglas específicas para su cálculo y registro contable, y su cumplimiento es verificado periódicamente por el regulador.</w:t>
      </w:r>
    </w:p>
    <w:p w14:paraId="7D86D711" w14:textId="77777777" w:rsidR="001870A6" w:rsidRPr="001870A6" w:rsidRDefault="001870A6" w:rsidP="001870A6">
      <w:pPr>
        <w:rPr>
          <w:lang w:val="es-419" w:eastAsia="es-CO"/>
        </w:rPr>
      </w:pPr>
      <w:r w:rsidRPr="001870A6">
        <w:rPr>
          <w:lang w:val="es-419" w:eastAsia="es-CO"/>
        </w:rPr>
        <w:t>Los dos componentes del sistema de provisiones y su impacto sobre la gestión de cartera se describen a continuación:</w:t>
      </w:r>
    </w:p>
    <w:p w14:paraId="38F59878" w14:textId="14E7F758" w:rsidR="001870A6" w:rsidRPr="001870A6" w:rsidRDefault="001870A6" w:rsidP="00C52DBF">
      <w:pPr>
        <w:pStyle w:val="Prrafodelista"/>
        <w:numPr>
          <w:ilvl w:val="0"/>
          <w:numId w:val="35"/>
        </w:numPr>
        <w:rPr>
          <w:lang w:val="es-419" w:eastAsia="es-CO"/>
        </w:rPr>
      </w:pPr>
      <w:r w:rsidRPr="001870A6">
        <w:rPr>
          <w:b/>
          <w:bCs/>
          <w:lang w:val="es-419" w:eastAsia="es-CO"/>
        </w:rPr>
        <w:lastRenderedPageBreak/>
        <w:t>Provisión individual:</w:t>
      </w:r>
      <w:r w:rsidRPr="001870A6">
        <w:rPr>
          <w:lang w:val="es-419" w:eastAsia="es-CO"/>
        </w:rPr>
        <w:t xml:space="preserve"> es la que se constituye específicamente sobre cada obligación crediticia en función de su categoría de riesgo. Su porcentaje aumenta progresivamente con el tiempo de mora: 1 % para categoría A, 3,2 % para categoría B, 20 % para categoría C, 50 % para categoría D y 100 % para categoría E. Esta progresión refleja la mayor probabilidad de pérdida a medida que se deteriora la obligación.</w:t>
      </w:r>
    </w:p>
    <w:p w14:paraId="40E6FFA5" w14:textId="77777777" w:rsidR="001870A6" w:rsidRPr="001870A6" w:rsidRDefault="001870A6" w:rsidP="001707A3">
      <w:pPr>
        <w:ind w:left="1416" w:firstLine="1"/>
        <w:rPr>
          <w:lang w:val="es-419" w:eastAsia="es-CO"/>
        </w:rPr>
      </w:pPr>
      <w:r w:rsidRPr="001870A6">
        <w:rPr>
          <w:lang w:val="es-419" w:eastAsia="es-CO"/>
        </w:rPr>
        <w:t>Ejemplo: el gestor que logra que un deudor en categoría C normalice su obligación y migre a categoría A genera un ahorro en provisiones del 18,8 % del saldo del crédito, lo que se traduce directamente en una reducción del gasto y un mejoramiento de las utilidades del período.</w:t>
      </w:r>
    </w:p>
    <w:p w14:paraId="78EA44CA" w14:textId="6B6AAAF1" w:rsidR="001870A6" w:rsidRPr="001870A6" w:rsidRDefault="001870A6" w:rsidP="00C52DBF">
      <w:pPr>
        <w:pStyle w:val="Prrafodelista"/>
        <w:numPr>
          <w:ilvl w:val="0"/>
          <w:numId w:val="35"/>
        </w:numPr>
        <w:rPr>
          <w:lang w:val="es-419" w:eastAsia="es-CO"/>
        </w:rPr>
      </w:pPr>
      <w:r w:rsidRPr="001870A6">
        <w:rPr>
          <w:b/>
          <w:bCs/>
          <w:lang w:val="es-419" w:eastAsia="es-CO"/>
        </w:rPr>
        <w:t>Provisión general:</w:t>
      </w:r>
      <w:r w:rsidRPr="001870A6">
        <w:rPr>
          <w:lang w:val="es-419" w:eastAsia="es-CO"/>
        </w:rPr>
        <w:t xml:space="preserve"> es la reserva equivalente al 1 % del saldo total bruto de la cartera, que todas las entidades deben constituir independientemente de la calidad de sus obligaciones. Funciona como un colchón de seguridad ante riesgos sistémicos o ante deterioros generalizados que no se reflejan aún en la calificación individual de los créditos.</w:t>
      </w:r>
    </w:p>
    <w:p w14:paraId="4E5DF025" w14:textId="77777777" w:rsidR="001870A6" w:rsidRPr="001870A6" w:rsidRDefault="001870A6" w:rsidP="001707A3">
      <w:pPr>
        <w:ind w:left="1416" w:firstLine="1"/>
        <w:rPr>
          <w:lang w:val="es-419" w:eastAsia="es-CO"/>
        </w:rPr>
      </w:pPr>
      <w:r w:rsidRPr="001870A6">
        <w:rPr>
          <w:lang w:val="es-419" w:eastAsia="es-CO"/>
        </w:rPr>
        <w:t>Ejemplo: una entidad con una cartera bruta de $5.000.000.000 debe constituir una provisión general del 1 %, equivalente a $50.000.000. Esta reserva no se asigna a un crédito específico; funciona como respaldo preventivo frente a posibles deterioros generales de la cartera.</w:t>
      </w:r>
    </w:p>
    <w:p w14:paraId="04D2918A" w14:textId="77777777" w:rsidR="001870A6" w:rsidRPr="001870A6" w:rsidRDefault="001870A6" w:rsidP="001870A6">
      <w:pPr>
        <w:rPr>
          <w:lang w:val="es-419" w:eastAsia="es-CO"/>
        </w:rPr>
      </w:pPr>
      <w:r w:rsidRPr="001870A6">
        <w:rPr>
          <w:lang w:val="es-419" w:eastAsia="es-CO"/>
        </w:rPr>
        <w:t xml:space="preserve">La provisión individual y la provisión general permiten reconocer de manera anticipada el posible deterioro de la cartera. Mientras la primera responde al riesgo específico de cada obligación, la segunda actúa como respaldo preventivo frente a riesgos generales del portafolio. Por ello, su cálculo oportuno fortalece la gestión </w:t>
      </w:r>
      <w:r w:rsidRPr="001870A6">
        <w:rPr>
          <w:lang w:val="es-419" w:eastAsia="es-CO"/>
        </w:rPr>
        <w:lastRenderedPageBreak/>
        <w:t>contable, facilita el seguimiento de la mora y contribuye a proteger la estabilidad financiera de la entidad.</w:t>
      </w:r>
    </w:p>
    <w:p w14:paraId="1D26034C" w14:textId="77777777" w:rsidR="001870A6" w:rsidRPr="001870A6" w:rsidRDefault="001870A6" w:rsidP="001870A6">
      <w:pPr>
        <w:rPr>
          <w:lang w:val="es-419" w:eastAsia="es-CO"/>
        </w:rPr>
      </w:pPr>
      <w:r w:rsidRPr="001870A6">
        <w:rPr>
          <w:lang w:val="es-419" w:eastAsia="es-CO"/>
        </w:rPr>
        <w:t>La clasificación del riesgo y el cálculo de provisiones permiten comprender cómo cambia el tratamiento contable de una obligación cuando aumenta la mora. En este proceso se relacionan los días de atraso, la categoría asignada, el porcentaje de provisión y el registro contable que debe realizar la entidad para reconocer oportunamente el deterioro de la cartera.</w:t>
      </w:r>
    </w:p>
    <w:p w14:paraId="56593BDF" w14:textId="77777777" w:rsidR="001870A6" w:rsidRPr="001870A6" w:rsidRDefault="001870A6" w:rsidP="001870A6">
      <w:pPr>
        <w:rPr>
          <w:lang w:val="es-419" w:eastAsia="es-CO"/>
        </w:rPr>
      </w:pPr>
      <w:r w:rsidRPr="001870A6">
        <w:rPr>
          <w:lang w:val="es-419" w:eastAsia="es-CO"/>
        </w:rPr>
        <w:t>A continuación, se presenta una síntesis del sistema de provisiones individuales según la categoría de riesgo. Esta información facilita identificar el impacto financiero de cada nivel de mora y evidencia por qué la gestión temprana de las obligaciones reduce pérdidas, provisiones y afectaciones en los estados financieros.</w:t>
      </w:r>
    </w:p>
    <w:p w14:paraId="13994909" w14:textId="4CF3C7DC" w:rsidR="001870A6" w:rsidRDefault="001870A6" w:rsidP="001707A3">
      <w:pPr>
        <w:pStyle w:val="Tabla"/>
        <w:rPr>
          <w:lang w:val="es-419" w:eastAsia="es-CO"/>
        </w:rPr>
      </w:pPr>
      <w:r w:rsidRPr="001870A6">
        <w:rPr>
          <w:lang w:val="es-419" w:eastAsia="es-CO"/>
        </w:rPr>
        <w:t>Sistema de provisiones individuales según categoría de riesgo</w:t>
      </w:r>
    </w:p>
    <w:tbl>
      <w:tblPr>
        <w:tblStyle w:val="SENA"/>
        <w:tblW w:w="0" w:type="auto"/>
        <w:tblLook w:val="00A0" w:firstRow="1" w:lastRow="0" w:firstColumn="1" w:lastColumn="0" w:noHBand="0" w:noVBand="0"/>
      </w:tblPr>
      <w:tblGrid>
        <w:gridCol w:w="1891"/>
        <w:gridCol w:w="1508"/>
        <w:gridCol w:w="1676"/>
        <w:gridCol w:w="4887"/>
      </w:tblGrid>
      <w:tr w:rsidR="001870A6" w:rsidRPr="001870A6" w14:paraId="3F4AFA31" w14:textId="77777777" w:rsidTr="001707A3">
        <w:trPr>
          <w:cnfStyle w:val="100000000000" w:firstRow="1" w:lastRow="0" w:firstColumn="0" w:lastColumn="0" w:oddVBand="0" w:evenVBand="0" w:oddHBand="0" w:evenHBand="0" w:firstRowFirstColumn="0" w:firstRowLastColumn="0" w:lastRowFirstColumn="0" w:lastRowLastColumn="0"/>
          <w:tblHeader/>
        </w:trPr>
        <w:tc>
          <w:tcPr>
            <w:tcW w:w="0" w:type="auto"/>
          </w:tcPr>
          <w:p w14:paraId="158898BE" w14:textId="77777777" w:rsidR="001870A6" w:rsidRPr="001870A6" w:rsidRDefault="001870A6" w:rsidP="001707A3">
            <w:pPr>
              <w:pStyle w:val="TextoTablas"/>
            </w:pPr>
            <w:r w:rsidRPr="001870A6">
              <w:t>Categoría de riesgo</w:t>
            </w:r>
          </w:p>
        </w:tc>
        <w:tc>
          <w:tcPr>
            <w:tcW w:w="1508" w:type="dxa"/>
          </w:tcPr>
          <w:p w14:paraId="34586194" w14:textId="77777777" w:rsidR="001870A6" w:rsidRPr="001870A6" w:rsidRDefault="001870A6" w:rsidP="001707A3">
            <w:pPr>
              <w:pStyle w:val="TextoTablas"/>
            </w:pPr>
            <w:r w:rsidRPr="001870A6">
              <w:t>Días de mora</w:t>
            </w:r>
          </w:p>
        </w:tc>
        <w:tc>
          <w:tcPr>
            <w:tcW w:w="1676" w:type="dxa"/>
          </w:tcPr>
          <w:p w14:paraId="3DA43937" w14:textId="77777777" w:rsidR="001870A6" w:rsidRPr="001870A6" w:rsidRDefault="001870A6" w:rsidP="001707A3">
            <w:pPr>
              <w:pStyle w:val="TextoTablas"/>
            </w:pPr>
            <w:r w:rsidRPr="001870A6">
              <w:t>% Provisión individual</w:t>
            </w:r>
          </w:p>
        </w:tc>
        <w:tc>
          <w:tcPr>
            <w:tcW w:w="0" w:type="auto"/>
          </w:tcPr>
          <w:p w14:paraId="6033D3A3" w14:textId="77777777" w:rsidR="001870A6" w:rsidRPr="001870A6" w:rsidRDefault="001870A6" w:rsidP="001707A3">
            <w:pPr>
              <w:pStyle w:val="TextoTablas"/>
            </w:pPr>
            <w:r w:rsidRPr="001870A6">
              <w:t>Registro contable</w:t>
            </w:r>
          </w:p>
        </w:tc>
      </w:tr>
      <w:tr w:rsidR="001870A6" w:rsidRPr="001870A6" w14:paraId="28C6F6D0" w14:textId="77777777" w:rsidTr="001707A3">
        <w:trPr>
          <w:cnfStyle w:val="000000100000" w:firstRow="0" w:lastRow="0" w:firstColumn="0" w:lastColumn="0" w:oddVBand="0" w:evenVBand="0" w:oddHBand="1" w:evenHBand="0" w:firstRowFirstColumn="0" w:firstRowLastColumn="0" w:lastRowFirstColumn="0" w:lastRowLastColumn="0"/>
        </w:trPr>
        <w:tc>
          <w:tcPr>
            <w:tcW w:w="0" w:type="auto"/>
          </w:tcPr>
          <w:p w14:paraId="3A6D0BCF" w14:textId="77777777" w:rsidR="001870A6" w:rsidRPr="001870A6" w:rsidRDefault="001870A6" w:rsidP="001707A3">
            <w:pPr>
              <w:pStyle w:val="TextoTablas"/>
              <w:rPr>
                <w:szCs w:val="24"/>
              </w:rPr>
            </w:pPr>
            <w:r w:rsidRPr="001870A6">
              <w:rPr>
                <w:szCs w:val="24"/>
              </w:rPr>
              <w:t>A – Normal</w:t>
            </w:r>
          </w:p>
        </w:tc>
        <w:tc>
          <w:tcPr>
            <w:tcW w:w="1508" w:type="dxa"/>
          </w:tcPr>
          <w:p w14:paraId="046ACE28" w14:textId="0A4AB482" w:rsidR="001870A6" w:rsidRPr="001870A6" w:rsidRDefault="001870A6" w:rsidP="001707A3">
            <w:pPr>
              <w:pStyle w:val="TextoTablas"/>
              <w:rPr>
                <w:szCs w:val="24"/>
              </w:rPr>
            </w:pPr>
            <w:r w:rsidRPr="001870A6">
              <w:rPr>
                <w:szCs w:val="24"/>
              </w:rPr>
              <w:t>0 a 30</w:t>
            </w:r>
          </w:p>
        </w:tc>
        <w:tc>
          <w:tcPr>
            <w:tcW w:w="1676" w:type="dxa"/>
          </w:tcPr>
          <w:p w14:paraId="107392BA" w14:textId="77777777" w:rsidR="001870A6" w:rsidRPr="001870A6" w:rsidRDefault="001870A6" w:rsidP="001707A3">
            <w:pPr>
              <w:pStyle w:val="TextoTablas"/>
              <w:rPr>
                <w:szCs w:val="24"/>
              </w:rPr>
            </w:pPr>
            <w:r w:rsidRPr="001870A6">
              <w:rPr>
                <w:szCs w:val="24"/>
              </w:rPr>
              <w:t>1 % del saldo.</w:t>
            </w:r>
          </w:p>
        </w:tc>
        <w:tc>
          <w:tcPr>
            <w:tcW w:w="0" w:type="auto"/>
          </w:tcPr>
          <w:p w14:paraId="3CD093E8" w14:textId="77777777" w:rsidR="001870A6" w:rsidRPr="001870A6" w:rsidRDefault="001870A6" w:rsidP="001707A3">
            <w:pPr>
              <w:pStyle w:val="TextoTablas"/>
              <w:rPr>
                <w:szCs w:val="24"/>
              </w:rPr>
            </w:pPr>
            <w:r w:rsidRPr="001870A6">
              <w:rPr>
                <w:szCs w:val="24"/>
              </w:rPr>
              <w:t>Gasto por provisiones (débito) / Provisión acumulada – Cartera (crédito).</w:t>
            </w:r>
          </w:p>
        </w:tc>
      </w:tr>
      <w:tr w:rsidR="001870A6" w:rsidRPr="001870A6" w14:paraId="77B43F39" w14:textId="77777777" w:rsidTr="001707A3">
        <w:tc>
          <w:tcPr>
            <w:tcW w:w="0" w:type="auto"/>
          </w:tcPr>
          <w:p w14:paraId="73F740A2" w14:textId="77777777" w:rsidR="001870A6" w:rsidRPr="001870A6" w:rsidRDefault="001870A6" w:rsidP="001707A3">
            <w:pPr>
              <w:pStyle w:val="TextoTablas"/>
              <w:rPr>
                <w:szCs w:val="24"/>
              </w:rPr>
            </w:pPr>
            <w:r w:rsidRPr="001870A6">
              <w:rPr>
                <w:szCs w:val="24"/>
              </w:rPr>
              <w:t>B – Aceptable</w:t>
            </w:r>
          </w:p>
        </w:tc>
        <w:tc>
          <w:tcPr>
            <w:tcW w:w="1508" w:type="dxa"/>
          </w:tcPr>
          <w:p w14:paraId="6F777418" w14:textId="6EFB854A" w:rsidR="001870A6" w:rsidRPr="001870A6" w:rsidRDefault="001870A6" w:rsidP="001707A3">
            <w:pPr>
              <w:pStyle w:val="TextoTablas"/>
              <w:rPr>
                <w:szCs w:val="24"/>
              </w:rPr>
            </w:pPr>
            <w:r w:rsidRPr="001870A6">
              <w:rPr>
                <w:szCs w:val="24"/>
              </w:rPr>
              <w:t>31 a 60</w:t>
            </w:r>
          </w:p>
        </w:tc>
        <w:tc>
          <w:tcPr>
            <w:tcW w:w="1676" w:type="dxa"/>
          </w:tcPr>
          <w:p w14:paraId="54ADB6A0" w14:textId="77777777" w:rsidR="001870A6" w:rsidRPr="001870A6" w:rsidRDefault="001870A6" w:rsidP="001707A3">
            <w:pPr>
              <w:pStyle w:val="TextoTablas"/>
              <w:rPr>
                <w:szCs w:val="24"/>
              </w:rPr>
            </w:pPr>
            <w:r w:rsidRPr="001870A6">
              <w:rPr>
                <w:szCs w:val="24"/>
              </w:rPr>
              <w:t>3.2 % del saldo.</w:t>
            </w:r>
          </w:p>
        </w:tc>
        <w:tc>
          <w:tcPr>
            <w:tcW w:w="0" w:type="auto"/>
          </w:tcPr>
          <w:p w14:paraId="27440659" w14:textId="77777777" w:rsidR="001870A6" w:rsidRPr="001870A6" w:rsidRDefault="001870A6" w:rsidP="001707A3">
            <w:pPr>
              <w:pStyle w:val="TextoTablas"/>
              <w:rPr>
                <w:szCs w:val="24"/>
              </w:rPr>
            </w:pPr>
            <w:r w:rsidRPr="001870A6">
              <w:rPr>
                <w:szCs w:val="24"/>
              </w:rPr>
              <w:t>Gasto por provisiones (débito) / Provisión acumulada – Cartera (crédito).</w:t>
            </w:r>
          </w:p>
        </w:tc>
      </w:tr>
      <w:tr w:rsidR="001870A6" w:rsidRPr="001870A6" w14:paraId="08B9D3A9" w14:textId="77777777" w:rsidTr="001707A3">
        <w:trPr>
          <w:cnfStyle w:val="000000100000" w:firstRow="0" w:lastRow="0" w:firstColumn="0" w:lastColumn="0" w:oddVBand="0" w:evenVBand="0" w:oddHBand="1" w:evenHBand="0" w:firstRowFirstColumn="0" w:firstRowLastColumn="0" w:lastRowFirstColumn="0" w:lastRowLastColumn="0"/>
        </w:trPr>
        <w:tc>
          <w:tcPr>
            <w:tcW w:w="0" w:type="auto"/>
          </w:tcPr>
          <w:p w14:paraId="58EA6511" w14:textId="77777777" w:rsidR="001870A6" w:rsidRPr="001870A6" w:rsidRDefault="001870A6" w:rsidP="001707A3">
            <w:pPr>
              <w:pStyle w:val="TextoTablas"/>
              <w:rPr>
                <w:szCs w:val="24"/>
              </w:rPr>
            </w:pPr>
            <w:r w:rsidRPr="001870A6">
              <w:rPr>
                <w:szCs w:val="24"/>
              </w:rPr>
              <w:t>C – Apreciable</w:t>
            </w:r>
          </w:p>
        </w:tc>
        <w:tc>
          <w:tcPr>
            <w:tcW w:w="1508" w:type="dxa"/>
          </w:tcPr>
          <w:p w14:paraId="333424A7" w14:textId="42354C36" w:rsidR="001870A6" w:rsidRPr="001870A6" w:rsidRDefault="001870A6" w:rsidP="001707A3">
            <w:pPr>
              <w:pStyle w:val="TextoTablas"/>
              <w:rPr>
                <w:szCs w:val="24"/>
              </w:rPr>
            </w:pPr>
            <w:r w:rsidRPr="001870A6">
              <w:rPr>
                <w:szCs w:val="24"/>
              </w:rPr>
              <w:t>61 a 90</w:t>
            </w:r>
          </w:p>
        </w:tc>
        <w:tc>
          <w:tcPr>
            <w:tcW w:w="1676" w:type="dxa"/>
          </w:tcPr>
          <w:p w14:paraId="726EEE96" w14:textId="77777777" w:rsidR="001870A6" w:rsidRPr="001870A6" w:rsidRDefault="001870A6" w:rsidP="001707A3">
            <w:pPr>
              <w:pStyle w:val="TextoTablas"/>
              <w:rPr>
                <w:szCs w:val="24"/>
              </w:rPr>
            </w:pPr>
            <w:r w:rsidRPr="001870A6">
              <w:rPr>
                <w:szCs w:val="24"/>
              </w:rPr>
              <w:t>20 % del saldo.</w:t>
            </w:r>
          </w:p>
        </w:tc>
        <w:tc>
          <w:tcPr>
            <w:tcW w:w="0" w:type="auto"/>
          </w:tcPr>
          <w:p w14:paraId="24C3DB1E" w14:textId="77777777" w:rsidR="001870A6" w:rsidRPr="001870A6" w:rsidRDefault="001870A6" w:rsidP="001707A3">
            <w:pPr>
              <w:pStyle w:val="TextoTablas"/>
              <w:rPr>
                <w:szCs w:val="24"/>
              </w:rPr>
            </w:pPr>
            <w:r w:rsidRPr="001870A6">
              <w:rPr>
                <w:szCs w:val="24"/>
              </w:rPr>
              <w:t>Gasto por provisiones (débito) / Provisión acumulada – Cartera (crédito).</w:t>
            </w:r>
          </w:p>
        </w:tc>
      </w:tr>
      <w:tr w:rsidR="001870A6" w:rsidRPr="001870A6" w14:paraId="2C0E400D" w14:textId="77777777" w:rsidTr="001707A3">
        <w:tc>
          <w:tcPr>
            <w:tcW w:w="0" w:type="auto"/>
          </w:tcPr>
          <w:p w14:paraId="5BF9B1FD" w14:textId="77777777" w:rsidR="001870A6" w:rsidRPr="001870A6" w:rsidRDefault="001870A6" w:rsidP="001707A3">
            <w:pPr>
              <w:pStyle w:val="TextoTablas"/>
              <w:rPr>
                <w:szCs w:val="24"/>
              </w:rPr>
            </w:pPr>
            <w:r w:rsidRPr="001870A6">
              <w:rPr>
                <w:szCs w:val="24"/>
              </w:rPr>
              <w:t>D – Significativo</w:t>
            </w:r>
          </w:p>
        </w:tc>
        <w:tc>
          <w:tcPr>
            <w:tcW w:w="1508" w:type="dxa"/>
          </w:tcPr>
          <w:p w14:paraId="152E2E93" w14:textId="11B995DA" w:rsidR="001870A6" w:rsidRPr="001870A6" w:rsidRDefault="001870A6" w:rsidP="001707A3">
            <w:pPr>
              <w:pStyle w:val="TextoTablas"/>
              <w:rPr>
                <w:szCs w:val="24"/>
              </w:rPr>
            </w:pPr>
            <w:r w:rsidRPr="001870A6">
              <w:rPr>
                <w:szCs w:val="24"/>
              </w:rPr>
              <w:t>91 a 180</w:t>
            </w:r>
          </w:p>
        </w:tc>
        <w:tc>
          <w:tcPr>
            <w:tcW w:w="1676" w:type="dxa"/>
          </w:tcPr>
          <w:p w14:paraId="27BD73F4" w14:textId="77777777" w:rsidR="001870A6" w:rsidRPr="001870A6" w:rsidRDefault="001870A6" w:rsidP="001707A3">
            <w:pPr>
              <w:pStyle w:val="TextoTablas"/>
              <w:rPr>
                <w:szCs w:val="24"/>
              </w:rPr>
            </w:pPr>
            <w:r w:rsidRPr="001870A6">
              <w:rPr>
                <w:szCs w:val="24"/>
              </w:rPr>
              <w:t>50 % del saldo.</w:t>
            </w:r>
          </w:p>
        </w:tc>
        <w:tc>
          <w:tcPr>
            <w:tcW w:w="0" w:type="auto"/>
          </w:tcPr>
          <w:p w14:paraId="2A16141C" w14:textId="77777777" w:rsidR="001870A6" w:rsidRPr="001870A6" w:rsidRDefault="001870A6" w:rsidP="001707A3">
            <w:pPr>
              <w:pStyle w:val="TextoTablas"/>
              <w:rPr>
                <w:szCs w:val="24"/>
              </w:rPr>
            </w:pPr>
            <w:r w:rsidRPr="001870A6">
              <w:rPr>
                <w:szCs w:val="24"/>
              </w:rPr>
              <w:t>Gasto por provisiones (débito) / Provisión acumulada – Cartera (crédito).</w:t>
            </w:r>
          </w:p>
        </w:tc>
      </w:tr>
      <w:tr w:rsidR="001870A6" w:rsidRPr="001870A6" w14:paraId="11557095" w14:textId="77777777" w:rsidTr="001707A3">
        <w:trPr>
          <w:cnfStyle w:val="000000100000" w:firstRow="0" w:lastRow="0" w:firstColumn="0" w:lastColumn="0" w:oddVBand="0" w:evenVBand="0" w:oddHBand="1" w:evenHBand="0" w:firstRowFirstColumn="0" w:firstRowLastColumn="0" w:lastRowFirstColumn="0" w:lastRowLastColumn="0"/>
        </w:trPr>
        <w:tc>
          <w:tcPr>
            <w:tcW w:w="0" w:type="auto"/>
          </w:tcPr>
          <w:p w14:paraId="39BC104F" w14:textId="77777777" w:rsidR="001870A6" w:rsidRPr="001870A6" w:rsidRDefault="001870A6" w:rsidP="001707A3">
            <w:pPr>
              <w:pStyle w:val="TextoTablas"/>
              <w:rPr>
                <w:szCs w:val="24"/>
              </w:rPr>
            </w:pPr>
            <w:r w:rsidRPr="001870A6">
              <w:rPr>
                <w:szCs w:val="24"/>
              </w:rPr>
              <w:t>E – Irrecuperable</w:t>
            </w:r>
          </w:p>
        </w:tc>
        <w:tc>
          <w:tcPr>
            <w:tcW w:w="1508" w:type="dxa"/>
          </w:tcPr>
          <w:p w14:paraId="7ECA7B84" w14:textId="17B684B2" w:rsidR="001870A6" w:rsidRPr="001870A6" w:rsidRDefault="001870A6" w:rsidP="001707A3">
            <w:pPr>
              <w:pStyle w:val="TextoTablas"/>
              <w:rPr>
                <w:szCs w:val="24"/>
              </w:rPr>
            </w:pPr>
            <w:r w:rsidRPr="001870A6">
              <w:rPr>
                <w:szCs w:val="24"/>
              </w:rPr>
              <w:t>Más de 180</w:t>
            </w:r>
          </w:p>
        </w:tc>
        <w:tc>
          <w:tcPr>
            <w:tcW w:w="1676" w:type="dxa"/>
          </w:tcPr>
          <w:p w14:paraId="38F16878" w14:textId="77777777" w:rsidR="001870A6" w:rsidRPr="001870A6" w:rsidRDefault="001870A6" w:rsidP="001707A3">
            <w:pPr>
              <w:pStyle w:val="TextoTablas"/>
              <w:rPr>
                <w:szCs w:val="24"/>
              </w:rPr>
            </w:pPr>
            <w:r w:rsidRPr="001870A6">
              <w:rPr>
                <w:szCs w:val="24"/>
              </w:rPr>
              <w:t>100 % del saldo.</w:t>
            </w:r>
          </w:p>
        </w:tc>
        <w:tc>
          <w:tcPr>
            <w:tcW w:w="0" w:type="auto"/>
          </w:tcPr>
          <w:p w14:paraId="2041A4A1" w14:textId="77777777" w:rsidR="001870A6" w:rsidRPr="001870A6" w:rsidRDefault="001870A6" w:rsidP="001707A3">
            <w:pPr>
              <w:pStyle w:val="TextoTablas"/>
              <w:rPr>
                <w:szCs w:val="24"/>
              </w:rPr>
            </w:pPr>
            <w:r w:rsidRPr="001870A6">
              <w:rPr>
                <w:szCs w:val="24"/>
              </w:rPr>
              <w:t>Gasto por provisiones (débito) / Provisión acumulada – Cartera (crédito).</w:t>
            </w:r>
          </w:p>
        </w:tc>
      </w:tr>
    </w:tbl>
    <w:p w14:paraId="5D77A019" w14:textId="77777777" w:rsidR="001870A6" w:rsidRPr="001870A6" w:rsidRDefault="001870A6" w:rsidP="001870A6">
      <w:pPr>
        <w:rPr>
          <w:lang w:val="es-419" w:eastAsia="es-CO"/>
        </w:rPr>
      </w:pPr>
      <w:r w:rsidRPr="001870A6">
        <w:rPr>
          <w:lang w:val="es-419" w:eastAsia="es-CO"/>
        </w:rPr>
        <w:lastRenderedPageBreak/>
        <w:t>Nota. Elaboración propia con base en la Circular Básica Contable y Financiera, Capítulo II, Superintendencia Financiera de Colombia (2023).</w:t>
      </w:r>
    </w:p>
    <w:p w14:paraId="5145D505" w14:textId="1F7BA2AD" w:rsidR="001870A6" w:rsidRPr="001870A6" w:rsidRDefault="001870A6" w:rsidP="001870A6">
      <w:pPr>
        <w:rPr>
          <w:lang w:val="es-419" w:eastAsia="es-CO"/>
        </w:rPr>
      </w:pPr>
      <w:r w:rsidRPr="001870A6">
        <w:rPr>
          <w:lang w:val="es-419" w:eastAsia="es-CO"/>
        </w:rPr>
        <w:t>La tabla evidencia que la gestión oportuna de cada obligación tiene consecuencias contables directas, actuar en mora temprana es significativamente menos costoso para la entidad que esperar a que la obligación migre a categorías de mayor riesgo. Cada categoría implica no solo una mayor reserva de capital, sino también un mayor gasto registrado en el estado de resultados del período.</w:t>
      </w:r>
    </w:p>
    <w:p w14:paraId="34F484CD" w14:textId="542727D9" w:rsidR="001707A3" w:rsidRDefault="001870A6" w:rsidP="001870A6">
      <w:pPr>
        <w:rPr>
          <w:lang w:val="es-419" w:eastAsia="es-CO"/>
        </w:rPr>
      </w:pPr>
      <w:r w:rsidRPr="001870A6">
        <w:rPr>
          <w:lang w:val="es-419" w:eastAsia="es-CO"/>
        </w:rPr>
        <w:t>La contabilidad revela el estado de la cartera desde una perspectiva financiera global. Para gestionar cada obligación con precisión técnica, es necesario además conocer las condiciones específicas de cada crédito, la forma en que el deudor debe devolver los recursos, los intereses que genera y las normas que determinan cuándo y cómo pueden modificarse esas condiciones.</w:t>
      </w:r>
    </w:p>
    <w:p w14:paraId="7D308DDD" w14:textId="77777777" w:rsidR="001707A3" w:rsidRDefault="001707A3">
      <w:pPr>
        <w:spacing w:before="0" w:after="160" w:line="259" w:lineRule="auto"/>
        <w:ind w:firstLine="0"/>
        <w:rPr>
          <w:lang w:val="es-419" w:eastAsia="es-CO"/>
        </w:rPr>
      </w:pPr>
      <w:r>
        <w:rPr>
          <w:lang w:val="es-419" w:eastAsia="es-CO"/>
        </w:rPr>
        <w:br w:type="page"/>
      </w:r>
    </w:p>
    <w:p w14:paraId="52995C6F" w14:textId="3C1B2712" w:rsidR="0060074A" w:rsidRDefault="0060074A" w:rsidP="0060074A">
      <w:pPr>
        <w:pStyle w:val="Ttulo1"/>
      </w:pPr>
      <w:bookmarkStart w:id="7" w:name="_Toc232493831"/>
      <w:r w:rsidRPr="0060074A">
        <w:lastRenderedPageBreak/>
        <w:t>Planes de pago y modalidades de crédito</w:t>
      </w:r>
      <w:bookmarkEnd w:id="7"/>
    </w:p>
    <w:p w14:paraId="5C384CC6" w14:textId="77777777" w:rsidR="001870A6" w:rsidRPr="001870A6" w:rsidRDefault="001870A6" w:rsidP="001870A6">
      <w:pPr>
        <w:rPr>
          <w:lang w:val="es-419" w:eastAsia="es-CO"/>
        </w:rPr>
      </w:pPr>
      <w:r w:rsidRPr="001870A6">
        <w:rPr>
          <w:lang w:val="es-419" w:eastAsia="es-CO"/>
        </w:rPr>
        <w:t>Los planes de pago en los créditos otorgados a personas y empresas en Colombia permiten organizar la devolución del dinero prestado, junto con los intereses pactados durante la vigencia de la obligación. Estos planes definen condiciones como el monto, el plazo, la tasa, la cuota y la modalidad de amortización, aspectos que orientan el cumplimiento periódico del deudor y el seguimiento técnico por parte de la entidad financiera.</w:t>
      </w:r>
    </w:p>
    <w:p w14:paraId="76E61D7F" w14:textId="77777777" w:rsidR="001870A6" w:rsidRPr="001870A6" w:rsidRDefault="001870A6" w:rsidP="001870A6">
      <w:pPr>
        <w:rPr>
          <w:lang w:val="es-419" w:eastAsia="es-CO"/>
        </w:rPr>
      </w:pPr>
      <w:r w:rsidRPr="001870A6">
        <w:rPr>
          <w:lang w:val="es-419" w:eastAsia="es-CO"/>
        </w:rPr>
        <w:t>Para el gestor de cartera, comprender los planes de pago es fundamental porque facilita el seguimiento de cada obligación, la identificación temprana de la mora y el cálculo correcto de los valores pendientes. Además, este conocimiento permite proponer alternativas de normalización o reestructuración con criterios técnicos, de acuerdo con la capacidad de pago del deudor y las políticas de la entidad financiera.</w:t>
      </w:r>
    </w:p>
    <w:p w14:paraId="14C0EDDC" w14:textId="77777777" w:rsidR="001870A6" w:rsidRPr="001870A6" w:rsidRDefault="001870A6" w:rsidP="001870A6">
      <w:pPr>
        <w:rPr>
          <w:lang w:val="es-419" w:eastAsia="es-CO"/>
        </w:rPr>
      </w:pPr>
      <w:r w:rsidRPr="001870A6">
        <w:rPr>
          <w:lang w:val="es-419" w:eastAsia="es-CO"/>
        </w:rPr>
        <w:t>Este tema aborda los siguientes aspectos del conocimiento de los planes de pago de crédito que el gestor de cartera debe dominar:</w:t>
      </w:r>
    </w:p>
    <w:p w14:paraId="4871D0D6" w14:textId="545138C4" w:rsidR="001870A6" w:rsidRPr="001870A6" w:rsidRDefault="001870A6" w:rsidP="00C52DBF">
      <w:pPr>
        <w:pStyle w:val="Prrafodelista"/>
        <w:numPr>
          <w:ilvl w:val="0"/>
          <w:numId w:val="35"/>
        </w:numPr>
        <w:rPr>
          <w:lang w:val="es-419" w:eastAsia="es-CO"/>
        </w:rPr>
      </w:pPr>
      <w:r w:rsidRPr="001870A6">
        <w:rPr>
          <w:b/>
          <w:bCs/>
          <w:lang w:val="es-419" w:eastAsia="es-CO"/>
        </w:rPr>
        <w:t>Concepto y función de los planes de pago:</w:t>
      </w:r>
      <w:r w:rsidRPr="001870A6">
        <w:rPr>
          <w:lang w:val="es-419" w:eastAsia="es-CO"/>
        </w:rPr>
        <w:t xml:space="preserve"> establece qué es un plan de pago, cuál es su función en el contrato de crédito y por qué su conocimiento es esencial para el gestor.</w:t>
      </w:r>
    </w:p>
    <w:p w14:paraId="51657942" w14:textId="724F6C39" w:rsidR="001870A6" w:rsidRPr="001870A6" w:rsidRDefault="001870A6" w:rsidP="00C52DBF">
      <w:pPr>
        <w:pStyle w:val="Prrafodelista"/>
        <w:numPr>
          <w:ilvl w:val="0"/>
          <w:numId w:val="35"/>
        </w:numPr>
        <w:rPr>
          <w:lang w:val="es-419" w:eastAsia="es-CO"/>
        </w:rPr>
      </w:pPr>
      <w:r w:rsidRPr="001870A6">
        <w:rPr>
          <w:b/>
          <w:bCs/>
          <w:lang w:val="es-419" w:eastAsia="es-CO"/>
        </w:rPr>
        <w:t xml:space="preserve">Modalidades de amortización: </w:t>
      </w:r>
      <w:r w:rsidRPr="001870A6">
        <w:rPr>
          <w:lang w:val="es-419" w:eastAsia="es-CO"/>
        </w:rPr>
        <w:t>describe las cuatro modalidades utilizadas en el sistema financiero colombiano y sus características desde la perspectiva de la gestión de cartera.</w:t>
      </w:r>
    </w:p>
    <w:p w14:paraId="3CE9B8CF" w14:textId="07AF8C60" w:rsidR="001870A6" w:rsidRPr="001870A6" w:rsidRDefault="001870A6" w:rsidP="00C52DBF">
      <w:pPr>
        <w:pStyle w:val="Prrafodelista"/>
        <w:numPr>
          <w:ilvl w:val="0"/>
          <w:numId w:val="35"/>
        </w:numPr>
        <w:rPr>
          <w:lang w:val="es-419" w:eastAsia="es-CO"/>
        </w:rPr>
      </w:pPr>
      <w:r w:rsidRPr="001870A6">
        <w:rPr>
          <w:b/>
          <w:bCs/>
          <w:lang w:val="es-419" w:eastAsia="es-CO"/>
        </w:rPr>
        <w:t>Tipos de crédito y sus características:</w:t>
      </w:r>
      <w:r w:rsidRPr="001870A6">
        <w:rPr>
          <w:lang w:val="es-419" w:eastAsia="es-CO"/>
        </w:rPr>
        <w:t xml:space="preserve"> presenta la clasificación de la cartera por destino del crédito y los rasgos distintivos de cada modalidad para la gestión de recuperación.</w:t>
      </w:r>
    </w:p>
    <w:p w14:paraId="6D63C340" w14:textId="3E4C0AEA" w:rsidR="001870A6" w:rsidRPr="001870A6" w:rsidRDefault="001870A6" w:rsidP="00C52DBF">
      <w:pPr>
        <w:pStyle w:val="Prrafodelista"/>
        <w:numPr>
          <w:ilvl w:val="0"/>
          <w:numId w:val="35"/>
        </w:numPr>
        <w:rPr>
          <w:lang w:val="es-419" w:eastAsia="es-CO"/>
        </w:rPr>
      </w:pPr>
      <w:r w:rsidRPr="001870A6">
        <w:rPr>
          <w:b/>
          <w:bCs/>
          <w:lang w:val="es-419" w:eastAsia="es-CO"/>
        </w:rPr>
        <w:lastRenderedPageBreak/>
        <w:t>Tasas de interés y límites legales:</w:t>
      </w:r>
      <w:r w:rsidRPr="001870A6">
        <w:rPr>
          <w:lang w:val="es-419" w:eastAsia="es-CO"/>
        </w:rPr>
        <w:t xml:space="preserve"> explica los tipos de tasas que el gestor debe conocer y los límites normativos que regulan su aplicación.</w:t>
      </w:r>
    </w:p>
    <w:p w14:paraId="2746573A" w14:textId="1D140D6A" w:rsidR="001870A6" w:rsidRPr="001870A6" w:rsidRDefault="001870A6" w:rsidP="00C52DBF">
      <w:pPr>
        <w:pStyle w:val="Prrafodelista"/>
        <w:numPr>
          <w:ilvl w:val="0"/>
          <w:numId w:val="35"/>
        </w:numPr>
        <w:rPr>
          <w:lang w:val="es-419" w:eastAsia="es-CO"/>
        </w:rPr>
      </w:pPr>
      <w:r w:rsidRPr="001870A6">
        <w:rPr>
          <w:b/>
          <w:bCs/>
          <w:lang w:val="es-419" w:eastAsia="es-CO"/>
        </w:rPr>
        <w:t>Reestructuración y refinanciación:</w:t>
      </w:r>
      <w:r w:rsidRPr="001870A6">
        <w:rPr>
          <w:lang w:val="es-419" w:eastAsia="es-CO"/>
        </w:rPr>
        <w:t xml:space="preserve"> describe el procedimiento para modificar las condiciones de un crédito y sus implicaciones contables.</w:t>
      </w:r>
    </w:p>
    <w:p w14:paraId="4EF78FB7" w14:textId="77777777" w:rsidR="001870A6" w:rsidRPr="001870A6" w:rsidRDefault="001870A6" w:rsidP="001870A6">
      <w:pPr>
        <w:rPr>
          <w:lang w:val="es-419" w:eastAsia="es-CO"/>
        </w:rPr>
      </w:pPr>
      <w:r w:rsidRPr="001870A6">
        <w:rPr>
          <w:lang w:val="es-419" w:eastAsia="es-CO"/>
        </w:rPr>
        <w:t>Estos cinco aspectos conforman un sistema de conocimiento integrado, ninguno opera de manera aislada, sino que cada uno aporta los elementos necesarios para administrar y recuperar las obligaciones con exactitud técnica en cada etapa del proceso crediticio.</w:t>
      </w:r>
    </w:p>
    <w:p w14:paraId="78B6B7F9" w14:textId="7DF7E014" w:rsidR="001870A6" w:rsidRDefault="001870A6" w:rsidP="001870A6">
      <w:pPr>
        <w:rPr>
          <w:lang w:val="es-419" w:eastAsia="es-CO"/>
        </w:rPr>
      </w:pPr>
      <w:r w:rsidRPr="001870A6">
        <w:rPr>
          <w:lang w:val="es-419" w:eastAsia="es-CO"/>
        </w:rPr>
        <w:t>Cada contrato de crédito traduce sus condiciones financieras en un cronograma preciso que determina cuánto, cuándo y en qué concepto debe pagar el deudor. Comprender ese cronograma con exactitud es el primer paso para verificar el cumplimiento de una obligación, calcular correctamente la mora y evaluar la viabilidad de una reestructuración.</w:t>
      </w:r>
    </w:p>
    <w:p w14:paraId="295C62B1" w14:textId="77777777" w:rsidR="001707A3" w:rsidRPr="001870A6" w:rsidRDefault="001707A3" w:rsidP="001870A6">
      <w:pPr>
        <w:rPr>
          <w:lang w:val="es-419" w:eastAsia="es-CO"/>
        </w:rPr>
      </w:pPr>
    </w:p>
    <w:p w14:paraId="607BFC18" w14:textId="53F87C4A" w:rsidR="0060074A" w:rsidRDefault="0060074A" w:rsidP="0060074A">
      <w:pPr>
        <w:pStyle w:val="Ttulo2"/>
      </w:pPr>
      <w:bookmarkStart w:id="8" w:name="_Toc232493832"/>
      <w:r w:rsidRPr="0060074A">
        <w:t>Concepto y función de los planes de pago</w:t>
      </w:r>
      <w:bookmarkEnd w:id="8"/>
    </w:p>
    <w:p w14:paraId="4743B4C0" w14:textId="77777777" w:rsidR="001870A6" w:rsidRPr="001870A6" w:rsidRDefault="001870A6" w:rsidP="001870A6">
      <w:pPr>
        <w:rPr>
          <w:lang w:val="es-419" w:eastAsia="es-CO"/>
        </w:rPr>
      </w:pPr>
      <w:r w:rsidRPr="001870A6">
        <w:rPr>
          <w:lang w:val="es-419" w:eastAsia="es-CO"/>
        </w:rPr>
        <w:t>Un plan de pago es el cronograma financiero que organiza la forma en que el deudor debe cumplir una obligación crediticia. En este se establece cuánto debe pagar, en qué fechas y por qué conceptos, como capital, intereses, seguros u otros cargos asociados al crédito. Su elaboración depende de las condiciones pactadas en el contrato, entre ellas el monto, el plazo, la tasa y la modalidad de amortización.</w:t>
      </w:r>
    </w:p>
    <w:p w14:paraId="0B79F6EE" w14:textId="77777777" w:rsidR="001870A6" w:rsidRPr="001870A6" w:rsidRDefault="001870A6" w:rsidP="001870A6">
      <w:pPr>
        <w:rPr>
          <w:lang w:val="es-419" w:eastAsia="es-CO"/>
        </w:rPr>
      </w:pPr>
      <w:r w:rsidRPr="001870A6">
        <w:rPr>
          <w:lang w:val="es-419" w:eastAsia="es-CO"/>
        </w:rPr>
        <w:t xml:space="preserve">Asimismo, el plan de pago permite hacer seguimiento al comportamiento del crédito durante toda su vigencia. Por medio de este instrumento, la entidad financiera </w:t>
      </w:r>
      <w:r w:rsidRPr="001870A6">
        <w:rPr>
          <w:lang w:val="es-419" w:eastAsia="es-CO"/>
        </w:rPr>
        <w:lastRenderedPageBreak/>
        <w:t>verifica el cumplimiento de las cuotas, identifica retrasos, calcula saldos pendientes y reconoce señales tempranas de mora que pueden afectar la recuperación de la cartera.</w:t>
      </w:r>
    </w:p>
    <w:p w14:paraId="4174F1E9" w14:textId="77777777" w:rsidR="001870A6" w:rsidRPr="001870A6" w:rsidRDefault="001870A6" w:rsidP="001870A6">
      <w:pPr>
        <w:rPr>
          <w:lang w:val="es-419" w:eastAsia="es-CO"/>
        </w:rPr>
      </w:pPr>
      <w:r w:rsidRPr="001870A6">
        <w:rPr>
          <w:lang w:val="es-419" w:eastAsia="es-CO"/>
        </w:rPr>
        <w:t>Para el gestor de cartera, comprender el plan de pago de cada obligación es fundamental, porque facilita el análisis técnico del crédito y la toma de decisiones en el proceso de recuperación. Este conocimiento permite diferenciar el abono a capital del pago de intereses, revisar si los valores cancelados corresponden a lo pactado y sustentar alternativas de normalización, refinanciación o reestructuración.</w:t>
      </w:r>
    </w:p>
    <w:p w14:paraId="1C94D09E" w14:textId="77777777" w:rsidR="001870A6" w:rsidRPr="001870A6" w:rsidRDefault="001870A6" w:rsidP="001870A6">
      <w:pPr>
        <w:rPr>
          <w:lang w:val="es-419" w:eastAsia="es-CO"/>
        </w:rPr>
      </w:pPr>
      <w:r w:rsidRPr="001870A6">
        <w:rPr>
          <w:lang w:val="es-419" w:eastAsia="es-CO"/>
        </w:rPr>
        <w:t>El plan de pago no solo organiza fechas y valores; también orienta acciones concretas de seguimiento, control y recuperación. A continuación, se presentan las principales razones por las cuales este instrumento resulta necesario en la gestión de cartera:</w:t>
      </w:r>
    </w:p>
    <w:p w14:paraId="1414009D" w14:textId="3BE6C2FE" w:rsidR="001870A6" w:rsidRPr="001870A6" w:rsidRDefault="001870A6" w:rsidP="00C52DBF">
      <w:pPr>
        <w:pStyle w:val="Prrafodelista"/>
        <w:numPr>
          <w:ilvl w:val="0"/>
          <w:numId w:val="10"/>
        </w:numPr>
        <w:rPr>
          <w:lang w:val="es-419" w:eastAsia="es-CO"/>
        </w:rPr>
      </w:pPr>
      <w:r w:rsidRPr="001870A6">
        <w:rPr>
          <w:b/>
          <w:bCs/>
          <w:lang w:val="es-419" w:eastAsia="es-CO"/>
        </w:rPr>
        <w:t>Verificación del cumplimiento:</w:t>
      </w:r>
      <w:r w:rsidRPr="001870A6">
        <w:rPr>
          <w:lang w:val="es-419" w:eastAsia="es-CO"/>
        </w:rPr>
        <w:t xml:space="preserve"> permite identificar si el deudor está pagando el monto correcto en la fecha y con la composición establecida en el cronograma original, diferenciando el abono a capital del pago de intereses y cargos adicionales.</w:t>
      </w:r>
    </w:p>
    <w:p w14:paraId="5E6837E3" w14:textId="51FD3116" w:rsidR="001870A6" w:rsidRPr="001870A6" w:rsidRDefault="001870A6" w:rsidP="00C52DBF">
      <w:pPr>
        <w:pStyle w:val="Prrafodelista"/>
        <w:numPr>
          <w:ilvl w:val="0"/>
          <w:numId w:val="10"/>
        </w:numPr>
        <w:rPr>
          <w:lang w:val="es-419" w:eastAsia="es-CO"/>
        </w:rPr>
      </w:pPr>
      <w:r w:rsidRPr="001870A6">
        <w:rPr>
          <w:b/>
          <w:bCs/>
          <w:lang w:val="es-419" w:eastAsia="es-CO"/>
        </w:rPr>
        <w:t>Cálculo de la mora:</w:t>
      </w:r>
      <w:r w:rsidRPr="001870A6">
        <w:rPr>
          <w:lang w:val="es-419" w:eastAsia="es-CO"/>
        </w:rPr>
        <w:t xml:space="preserve"> facilita determinar con precisión cuántas cuotas han sido incumplidas, cuál es el saldo vencido de capital e intereses y cuáles son los cargos por mora aplicables según la tasa de mora pactada en el contrato.</w:t>
      </w:r>
    </w:p>
    <w:p w14:paraId="5F34E9C9" w14:textId="1FABCEB9" w:rsidR="001870A6" w:rsidRPr="001870A6" w:rsidRDefault="001870A6" w:rsidP="00C52DBF">
      <w:pPr>
        <w:pStyle w:val="Prrafodelista"/>
        <w:numPr>
          <w:ilvl w:val="0"/>
          <w:numId w:val="10"/>
        </w:numPr>
        <w:rPr>
          <w:lang w:val="es-419" w:eastAsia="es-CO"/>
        </w:rPr>
      </w:pPr>
      <w:r w:rsidRPr="001870A6">
        <w:rPr>
          <w:b/>
          <w:bCs/>
          <w:lang w:val="es-419" w:eastAsia="es-CO"/>
        </w:rPr>
        <w:t>Evaluación de reestructuraciones:</w:t>
      </w:r>
      <w:r w:rsidRPr="001870A6">
        <w:rPr>
          <w:lang w:val="es-419" w:eastAsia="es-CO"/>
        </w:rPr>
        <w:t xml:space="preserve"> cuando un deudor solicita modificar las condiciones de su crédito, el plan de pago vigente es el punto de comparación para calcular el impacto financiero de los cambios propuestos, como ampliación del plazo, reducción de la cuota o período de gracia.</w:t>
      </w:r>
    </w:p>
    <w:p w14:paraId="0BF9BA8F" w14:textId="679DF58B" w:rsidR="001870A6" w:rsidRPr="001870A6" w:rsidRDefault="001870A6" w:rsidP="00C52DBF">
      <w:pPr>
        <w:pStyle w:val="Prrafodelista"/>
        <w:numPr>
          <w:ilvl w:val="0"/>
          <w:numId w:val="10"/>
        </w:numPr>
        <w:rPr>
          <w:lang w:val="es-419" w:eastAsia="es-CO"/>
        </w:rPr>
      </w:pPr>
      <w:r w:rsidRPr="001870A6">
        <w:rPr>
          <w:b/>
          <w:bCs/>
          <w:lang w:val="es-419" w:eastAsia="es-CO"/>
        </w:rPr>
        <w:lastRenderedPageBreak/>
        <w:t>Comunicación con el deudor:</w:t>
      </w:r>
      <w:r w:rsidRPr="001870A6">
        <w:rPr>
          <w:lang w:val="es-419" w:eastAsia="es-CO"/>
        </w:rPr>
        <w:t xml:space="preserve"> le permite al gestor explicar con precisión qué valores corresponden a capital, intereses, seguros y otros cargos en cada cuota, lo que fortalece la transparencia de la gestión y previene malentendidos sobre el saldo real de la obligación.</w:t>
      </w:r>
    </w:p>
    <w:p w14:paraId="0676C111" w14:textId="77777777" w:rsidR="001870A6" w:rsidRPr="001870A6" w:rsidRDefault="001870A6" w:rsidP="001870A6">
      <w:pPr>
        <w:rPr>
          <w:lang w:val="es-419" w:eastAsia="es-CO"/>
        </w:rPr>
      </w:pPr>
      <w:r w:rsidRPr="001870A6">
        <w:rPr>
          <w:lang w:val="es-419" w:eastAsia="es-CO"/>
        </w:rPr>
        <w:t>El conocimiento del plan de pago convierte al gestor en un interlocutor técnicamente competente frente al deudor y frente a la entidad, porque fundamenta cada decisión de gestión en información objetiva y verificable.</w:t>
      </w:r>
    </w:p>
    <w:p w14:paraId="7EC5002A" w14:textId="09D72573" w:rsidR="001870A6" w:rsidRDefault="001870A6" w:rsidP="001870A6">
      <w:pPr>
        <w:rPr>
          <w:lang w:val="es-419" w:eastAsia="es-CO"/>
        </w:rPr>
      </w:pPr>
      <w:r w:rsidRPr="001870A6">
        <w:rPr>
          <w:lang w:val="es-419" w:eastAsia="es-CO"/>
        </w:rPr>
        <w:t>Una vez comprendido el concepto y la función de los planes de pago, es necesario revisar las modalidades de amortización que el sistema financiero colombiano utiliza para estructurar esos planes. Cada modalidad produce un perfil de pagos diferente, con implicaciones específicas para la gestión de cartera.</w:t>
      </w:r>
    </w:p>
    <w:p w14:paraId="1DC454F1" w14:textId="77777777" w:rsidR="001707A3" w:rsidRPr="001870A6" w:rsidRDefault="001707A3" w:rsidP="001870A6">
      <w:pPr>
        <w:rPr>
          <w:lang w:val="es-419" w:eastAsia="es-CO"/>
        </w:rPr>
      </w:pPr>
    </w:p>
    <w:p w14:paraId="0F830288" w14:textId="6694CC70" w:rsidR="0060074A" w:rsidRDefault="0060074A" w:rsidP="0060074A">
      <w:pPr>
        <w:pStyle w:val="Ttulo2"/>
      </w:pPr>
      <w:bookmarkStart w:id="9" w:name="_Toc232493833"/>
      <w:r w:rsidRPr="0060074A">
        <w:t>Modalidades de amortización de créditos</w:t>
      </w:r>
      <w:bookmarkEnd w:id="9"/>
    </w:p>
    <w:p w14:paraId="4B407410" w14:textId="77777777" w:rsidR="001870A6" w:rsidRPr="001870A6" w:rsidRDefault="001870A6" w:rsidP="001870A6">
      <w:pPr>
        <w:rPr>
          <w:lang w:val="es-419" w:eastAsia="es-CO"/>
        </w:rPr>
      </w:pPr>
      <w:r w:rsidRPr="001870A6">
        <w:rPr>
          <w:lang w:val="es-419" w:eastAsia="es-CO"/>
        </w:rPr>
        <w:t>El sistema financiero colombiano utiliza principalmente cuatro modalidades de amortización para sus productos crediticios. Cada una tiene características específicas que determinan el perfil de pagos del deudor, la evolución del saldo de capital a lo largo del tiempo y los aspectos que el gestor de cartera debe monitorear con mayor atención.</w:t>
      </w:r>
    </w:p>
    <w:p w14:paraId="02B17530" w14:textId="77777777" w:rsidR="001870A6" w:rsidRPr="001870A6" w:rsidRDefault="001870A6" w:rsidP="001870A6">
      <w:pPr>
        <w:rPr>
          <w:lang w:val="es-419" w:eastAsia="es-CO"/>
        </w:rPr>
      </w:pPr>
      <w:r w:rsidRPr="001870A6">
        <w:rPr>
          <w:lang w:val="es-419" w:eastAsia="es-CO"/>
        </w:rPr>
        <w:t>Asimismo, el conocimiento de las modalidades de amortización le permite al gestor identificar correctamente la composición de cada cuota, interpretar el plan de pagos del deudor y detectar situaciones en las que el pago recibido no corresponde con lo esperado según la modalidad del crédito.</w:t>
      </w:r>
    </w:p>
    <w:p w14:paraId="6CE97113" w14:textId="77777777" w:rsidR="001870A6" w:rsidRPr="001870A6" w:rsidRDefault="001870A6" w:rsidP="001870A6">
      <w:pPr>
        <w:rPr>
          <w:lang w:val="es-419" w:eastAsia="es-CO"/>
        </w:rPr>
      </w:pPr>
      <w:r w:rsidRPr="001870A6">
        <w:rPr>
          <w:lang w:val="es-419" w:eastAsia="es-CO"/>
        </w:rPr>
        <w:lastRenderedPageBreak/>
        <w:t>Las cuatro modalidades de amortización utilizadas en el sistema financiero colombiano y sus características para la gestión de cartera son las siguientes:</w:t>
      </w:r>
    </w:p>
    <w:p w14:paraId="52A3E069" w14:textId="3DE06A2A" w:rsidR="001870A6" w:rsidRPr="001870A6" w:rsidRDefault="001870A6" w:rsidP="00C52DBF">
      <w:pPr>
        <w:pStyle w:val="Prrafodelista"/>
        <w:numPr>
          <w:ilvl w:val="0"/>
          <w:numId w:val="11"/>
        </w:numPr>
        <w:rPr>
          <w:lang w:val="es-419" w:eastAsia="es-CO"/>
        </w:rPr>
      </w:pPr>
      <w:r w:rsidRPr="001870A6">
        <w:rPr>
          <w:b/>
          <w:bCs/>
          <w:lang w:val="es-419" w:eastAsia="es-CO"/>
        </w:rPr>
        <w:t>Cuota fija (sistema francés):</w:t>
      </w:r>
      <w:r w:rsidRPr="001870A6">
        <w:rPr>
          <w:lang w:val="es-419" w:eastAsia="es-CO"/>
        </w:rPr>
        <w:t xml:space="preserve"> cada cuota tiene el mismo valor total durante toda la vigencia del crédito. Al inicio del plazo, la mayor parte de la cuota corresponde a intereses; hacia el final, la mayor parte corresponde a capital. Es la modalidad más común en créditos de consumo e hipotecarios, y permite al deudor planear su flujo de pagos con certeza.</w:t>
      </w:r>
    </w:p>
    <w:p w14:paraId="73E50C4F" w14:textId="0D4E32CF" w:rsidR="001870A6" w:rsidRPr="001870A6" w:rsidRDefault="001870A6" w:rsidP="00C52DBF">
      <w:pPr>
        <w:pStyle w:val="Prrafodelista"/>
        <w:numPr>
          <w:ilvl w:val="0"/>
          <w:numId w:val="11"/>
        </w:numPr>
        <w:rPr>
          <w:lang w:val="es-419" w:eastAsia="es-CO"/>
        </w:rPr>
      </w:pPr>
      <w:r w:rsidRPr="001870A6">
        <w:rPr>
          <w:b/>
          <w:bCs/>
          <w:lang w:val="es-419" w:eastAsia="es-CO"/>
        </w:rPr>
        <w:t>Cuota variable con capital fijo:</w:t>
      </w:r>
      <w:r w:rsidRPr="001870A6">
        <w:rPr>
          <w:lang w:val="es-419" w:eastAsia="es-CO"/>
        </w:rPr>
        <w:t xml:space="preserve"> el abono a capital es constante en cada período, pero los intereses disminuyen a medida que se amortiza el saldo. Esto produce cuotas más altas al inicio y más bajas hacia el final del plazo. Se usa frecuentemente en créditos comerciales y permite una amortización más rápida del capital.</w:t>
      </w:r>
    </w:p>
    <w:p w14:paraId="35162FAE" w14:textId="5E887D5A" w:rsidR="001870A6" w:rsidRPr="001870A6" w:rsidRDefault="001870A6" w:rsidP="00C52DBF">
      <w:pPr>
        <w:pStyle w:val="Prrafodelista"/>
        <w:numPr>
          <w:ilvl w:val="0"/>
          <w:numId w:val="11"/>
        </w:numPr>
        <w:rPr>
          <w:lang w:val="es-419" w:eastAsia="es-CO"/>
        </w:rPr>
      </w:pPr>
      <w:r w:rsidRPr="001707A3">
        <w:rPr>
          <w:rStyle w:val="Extranjerismo"/>
          <w:b/>
          <w:bCs/>
        </w:rPr>
        <w:t xml:space="preserve">Bullet </w:t>
      </w:r>
      <w:r w:rsidRPr="001870A6">
        <w:rPr>
          <w:b/>
          <w:bCs/>
          <w:lang w:val="es-419" w:eastAsia="es-CO"/>
        </w:rPr>
        <w:t>(pago único al vencimiento):</w:t>
      </w:r>
      <w:r w:rsidRPr="001870A6">
        <w:rPr>
          <w:lang w:val="es-419" w:eastAsia="es-CO"/>
        </w:rPr>
        <w:t xml:space="preserve"> el capital se paga íntegramente al vencimiento del crédito. Durante la vigencia, el deudor solo cancela los intereses periódicamente. Se usa principalmente en créditos comerciales de corto plazo y exige un seguimiento especial, porque el riesgo de incumplimiento se concentra en el vencimiento final.</w:t>
      </w:r>
    </w:p>
    <w:p w14:paraId="2F2FFF27" w14:textId="547416A5" w:rsidR="001870A6" w:rsidRPr="001870A6" w:rsidRDefault="001870A6" w:rsidP="00C52DBF">
      <w:pPr>
        <w:pStyle w:val="Prrafodelista"/>
        <w:numPr>
          <w:ilvl w:val="0"/>
          <w:numId w:val="11"/>
        </w:numPr>
        <w:rPr>
          <w:lang w:val="es-419" w:eastAsia="es-CO"/>
        </w:rPr>
      </w:pPr>
      <w:r w:rsidRPr="001870A6">
        <w:rPr>
          <w:b/>
          <w:bCs/>
          <w:lang w:val="es-419" w:eastAsia="es-CO"/>
        </w:rPr>
        <w:t>Amortización irregular o flexible:</w:t>
      </w:r>
      <w:r w:rsidRPr="001870A6">
        <w:rPr>
          <w:lang w:val="es-419" w:eastAsia="es-CO"/>
        </w:rPr>
        <w:t xml:space="preserve"> las cuotas de capital e intereses se acuerdan de manera personalizada según el flujo de caja esperado del deudor. Se usa en microcrédito y en créditos agropecuarios con flujos estacionales. Requiere un seguimiento más detallado del plan de pagos, porque no existe una cuota estándar de referencia.</w:t>
      </w:r>
    </w:p>
    <w:p w14:paraId="5F5C45F2" w14:textId="77777777" w:rsidR="001870A6" w:rsidRPr="001870A6" w:rsidRDefault="001870A6" w:rsidP="001870A6">
      <w:pPr>
        <w:rPr>
          <w:lang w:val="es-419" w:eastAsia="es-CO"/>
        </w:rPr>
      </w:pPr>
      <w:r w:rsidRPr="001870A6">
        <w:rPr>
          <w:lang w:val="es-419" w:eastAsia="es-CO"/>
        </w:rPr>
        <w:t xml:space="preserve">El conocimiento de estas cuatro modalidades permite al gestor de cartera interpretar correctamente el plan de pagos de cada obligación, identificar las </w:t>
      </w:r>
      <w:r w:rsidRPr="001870A6">
        <w:rPr>
          <w:lang w:val="es-419" w:eastAsia="es-CO"/>
        </w:rPr>
        <w:lastRenderedPageBreak/>
        <w:t>desviaciones respecto del cronograma pactado y seleccionar la estrategia de cobranza más adecuada según el comportamiento de pago observado.</w:t>
      </w:r>
    </w:p>
    <w:p w14:paraId="7573E350" w14:textId="2100E756" w:rsidR="001870A6" w:rsidRDefault="001870A6" w:rsidP="001870A6">
      <w:pPr>
        <w:rPr>
          <w:lang w:val="es-419" w:eastAsia="es-CO"/>
        </w:rPr>
      </w:pPr>
      <w:r w:rsidRPr="001870A6">
        <w:rPr>
          <w:lang w:val="es-419" w:eastAsia="es-CO"/>
        </w:rPr>
        <w:t>Una vez identificadas las modalidades de amortización, es necesario revisar los tipos de crédito que el sistema financiero colombiano distingue según el destino de los recursos y el perfil del deudor. Esta clasificación determina las características específicas de cada segmento de cartera y las estrategias de gestión más adecuadas para cada uno.</w:t>
      </w:r>
    </w:p>
    <w:p w14:paraId="3AB78371" w14:textId="77777777" w:rsidR="001707A3" w:rsidRPr="001870A6" w:rsidRDefault="001707A3" w:rsidP="001870A6">
      <w:pPr>
        <w:rPr>
          <w:lang w:val="es-419" w:eastAsia="es-CO"/>
        </w:rPr>
      </w:pPr>
    </w:p>
    <w:p w14:paraId="3004DEC5" w14:textId="032057C0" w:rsidR="0060074A" w:rsidRDefault="0060074A" w:rsidP="0060074A">
      <w:pPr>
        <w:pStyle w:val="Ttulo2"/>
      </w:pPr>
      <w:bookmarkStart w:id="10" w:name="_Toc232493834"/>
      <w:r w:rsidRPr="0060074A">
        <w:t>Tipos de crédito y sus características</w:t>
      </w:r>
      <w:bookmarkEnd w:id="10"/>
    </w:p>
    <w:p w14:paraId="079089E8" w14:textId="77777777" w:rsidR="001870A6" w:rsidRPr="001870A6" w:rsidRDefault="001870A6" w:rsidP="001870A6">
      <w:pPr>
        <w:rPr>
          <w:lang w:val="es-419" w:eastAsia="es-CO"/>
        </w:rPr>
      </w:pPr>
      <w:r w:rsidRPr="001870A6">
        <w:rPr>
          <w:lang w:val="es-419" w:eastAsia="es-CO"/>
        </w:rPr>
        <w:t>La Superintendencia Financiera de Colombia clasifica la cartera de créditos en cuatro modalidades según el destino del crédito y el perfil del deudor. Cada modalidad tiene sus propias características en cuanto a montos, plazos, tasas, garantías y perfil de riesgo, lo que determina las estrategias de seguimiento y cobranza más adecuadas para cada segmento.</w:t>
      </w:r>
    </w:p>
    <w:p w14:paraId="4F073B42" w14:textId="77777777" w:rsidR="001870A6" w:rsidRPr="001870A6" w:rsidRDefault="001870A6" w:rsidP="001870A6">
      <w:pPr>
        <w:rPr>
          <w:lang w:val="es-419" w:eastAsia="es-CO"/>
        </w:rPr>
      </w:pPr>
      <w:r w:rsidRPr="001870A6">
        <w:rPr>
          <w:lang w:val="es-419" w:eastAsia="es-CO"/>
        </w:rPr>
        <w:t>Asimismo, cada modalidad de crédito está sujeta a normas específicas en materia de tasas de interés máximas, requisitos de provisión y criterios de calificación de riesgo. El gestor de cartera que conoce estas especificidades puede adaptar su gestión al contexto normativo y comercial de cada tipo de obligación, evitando errores que podrían comprometer la validez jurídica de las gestiones realizadas.</w:t>
      </w:r>
    </w:p>
    <w:p w14:paraId="637932BC" w14:textId="77777777" w:rsidR="001870A6" w:rsidRPr="001870A6" w:rsidRDefault="001870A6" w:rsidP="001870A6">
      <w:pPr>
        <w:rPr>
          <w:lang w:val="es-419" w:eastAsia="es-CO"/>
        </w:rPr>
      </w:pPr>
      <w:r w:rsidRPr="001870A6">
        <w:rPr>
          <w:lang w:val="es-419" w:eastAsia="es-CO"/>
        </w:rPr>
        <w:t>Las cuatro modalidades de crédito del sistema financiero colombiano, según la clasificación de la Superintendencia Financiera, son las siguientes:</w:t>
      </w:r>
    </w:p>
    <w:p w14:paraId="3B9C3562" w14:textId="5C33239E" w:rsidR="001870A6" w:rsidRPr="001870A6" w:rsidRDefault="001870A6" w:rsidP="00C52DBF">
      <w:pPr>
        <w:pStyle w:val="Prrafodelista"/>
        <w:numPr>
          <w:ilvl w:val="0"/>
          <w:numId w:val="12"/>
        </w:numPr>
        <w:rPr>
          <w:lang w:val="es-419" w:eastAsia="es-CO"/>
        </w:rPr>
      </w:pPr>
      <w:r w:rsidRPr="001870A6">
        <w:rPr>
          <w:b/>
          <w:bCs/>
          <w:lang w:val="es-419" w:eastAsia="es-CO"/>
        </w:rPr>
        <w:t>Créditos de consumo:</w:t>
      </w:r>
      <w:r w:rsidRPr="001870A6">
        <w:rPr>
          <w:lang w:val="es-419" w:eastAsia="es-CO"/>
        </w:rPr>
        <w:t xml:space="preserve"> otorgados a personas naturales para financiar la adquisición de bienes de consumo o el pago de servicios para fines no empresariales: vehículos, electrodomésticos, libre inversión. Son los de </w:t>
      </w:r>
      <w:r w:rsidRPr="001870A6">
        <w:rPr>
          <w:lang w:val="es-419" w:eastAsia="es-CO"/>
        </w:rPr>
        <w:lastRenderedPageBreak/>
        <w:t xml:space="preserve">mayor volumen en términos de número de operaciones. Su gestión de cobranza se caracteriza por un alto número de casos, montos relativamente bajos y la necesidad de canales de contacto masivos y eficientes. </w:t>
      </w:r>
    </w:p>
    <w:p w14:paraId="72B8B755" w14:textId="77777777" w:rsidR="001870A6" w:rsidRPr="001870A6" w:rsidRDefault="001870A6" w:rsidP="001707A3">
      <w:pPr>
        <w:ind w:left="1416" w:firstLine="1"/>
        <w:rPr>
          <w:lang w:val="es-419" w:eastAsia="es-CO"/>
        </w:rPr>
      </w:pPr>
      <w:r w:rsidRPr="001870A6">
        <w:rPr>
          <w:lang w:val="es-419" w:eastAsia="es-CO"/>
        </w:rPr>
        <w:t>Ejemplo: un empleado solicita un crédito de libre inversión por $8.000.000 para comprar electrodomésticos. La entidad segmenta la obligación como crédito de consumo y, si presenta mora temprana, realiza recordatorios por mensaje, llamada telefónica y propuesta de normalización antes de que aumente el riesgo.</w:t>
      </w:r>
    </w:p>
    <w:p w14:paraId="335E23B4" w14:textId="0E27B651" w:rsidR="001870A6" w:rsidRPr="001870A6" w:rsidRDefault="001870A6" w:rsidP="00C52DBF">
      <w:pPr>
        <w:pStyle w:val="Prrafodelista"/>
        <w:numPr>
          <w:ilvl w:val="0"/>
          <w:numId w:val="12"/>
        </w:numPr>
        <w:rPr>
          <w:lang w:val="es-419" w:eastAsia="es-CO"/>
        </w:rPr>
      </w:pPr>
      <w:r w:rsidRPr="001870A6">
        <w:rPr>
          <w:b/>
          <w:bCs/>
          <w:lang w:val="es-419" w:eastAsia="es-CO"/>
        </w:rPr>
        <w:t>Créditos comerciales:</w:t>
      </w:r>
      <w:r w:rsidRPr="001870A6">
        <w:rPr>
          <w:lang w:val="es-419" w:eastAsia="es-CO"/>
        </w:rPr>
        <w:t xml:space="preserve"> destinados a financiar actividades productivas de personas naturales o jurídicas con fines empresariales. Incluyen operaciones de mayor monto, plazos más amplios y, en muchos casos, garantías reales como hipotecas o prendas. Su gestión requiere un análisis más detallado de la situación financiera del deudor y una mayor capacidad de negociación de reestructuraciones.</w:t>
      </w:r>
    </w:p>
    <w:p w14:paraId="3D8C728E" w14:textId="77777777" w:rsidR="001870A6" w:rsidRPr="001870A6" w:rsidRDefault="001870A6" w:rsidP="001707A3">
      <w:pPr>
        <w:ind w:left="1416" w:firstLine="0"/>
        <w:rPr>
          <w:lang w:val="es-419" w:eastAsia="es-CO"/>
        </w:rPr>
      </w:pPr>
      <w:r w:rsidRPr="001870A6">
        <w:rPr>
          <w:lang w:val="es-419" w:eastAsia="es-CO"/>
        </w:rPr>
        <w:t>Ejemplo: una pequeña empresa solicita un crédito por $80.000.000 para comprar maquinaria y ampliar su producción. La entidad analiza sus ingresos, flujo de caja y garantías. Si el pago se retrasa, el gestor revisa la situación financiera del negocio y propone una reestructuración viable.</w:t>
      </w:r>
    </w:p>
    <w:p w14:paraId="501373F9" w14:textId="6DDA9ADF" w:rsidR="001870A6" w:rsidRPr="001870A6" w:rsidRDefault="001870A6" w:rsidP="00C52DBF">
      <w:pPr>
        <w:pStyle w:val="Prrafodelista"/>
        <w:numPr>
          <w:ilvl w:val="0"/>
          <w:numId w:val="12"/>
        </w:numPr>
        <w:rPr>
          <w:lang w:val="es-419" w:eastAsia="es-CO"/>
        </w:rPr>
      </w:pPr>
      <w:r w:rsidRPr="001870A6">
        <w:rPr>
          <w:b/>
          <w:bCs/>
          <w:lang w:val="es-419" w:eastAsia="es-CO"/>
        </w:rPr>
        <w:t>Créditos hipotecarios:</w:t>
      </w:r>
      <w:r w:rsidRPr="001870A6">
        <w:rPr>
          <w:lang w:val="es-419" w:eastAsia="es-CO"/>
        </w:rPr>
        <w:t xml:space="preserve"> financian la adquisición o construcción de vivienda y están respaldados con garantía hipotecaria sobre el inmueble. Su regulación específica incluye disposiciones de la Ley 546 de 1999 sobre financiación de vivienda. Son los de mayor plazo (hasta 30 años) y los que </w:t>
      </w:r>
      <w:r w:rsidRPr="001870A6">
        <w:rPr>
          <w:lang w:val="es-419" w:eastAsia="es-CO"/>
        </w:rPr>
        <w:lastRenderedPageBreak/>
        <w:t>generan mayor impacto sobre las familias cuando la gestión de cobranza no es adecuada.</w:t>
      </w:r>
    </w:p>
    <w:p w14:paraId="1554EEC0" w14:textId="77777777" w:rsidR="001870A6" w:rsidRPr="001870A6" w:rsidRDefault="001870A6" w:rsidP="001707A3">
      <w:pPr>
        <w:ind w:left="1416" w:firstLine="13"/>
        <w:rPr>
          <w:lang w:val="es-419" w:eastAsia="es-CO"/>
        </w:rPr>
      </w:pPr>
      <w:r w:rsidRPr="001870A6">
        <w:rPr>
          <w:lang w:val="es-419" w:eastAsia="es-CO"/>
        </w:rPr>
        <w:t>Ejemplo: una familia adquiere un crédito de vivienda a largo plazo para comprar su casa. Como la obligación está respaldada con hipoteca, la entidad realiza seguimiento preventivo cuando se presentan retrasos, procurando acuerdos de pago que eviten el deterioro de la cartera y protejan el patrimonio familiar.</w:t>
      </w:r>
    </w:p>
    <w:p w14:paraId="765806AD" w14:textId="79E004BE" w:rsidR="001870A6" w:rsidRPr="001870A6" w:rsidRDefault="001870A6" w:rsidP="00C52DBF">
      <w:pPr>
        <w:pStyle w:val="Prrafodelista"/>
        <w:numPr>
          <w:ilvl w:val="0"/>
          <w:numId w:val="12"/>
        </w:numPr>
        <w:rPr>
          <w:lang w:val="es-419" w:eastAsia="es-CO"/>
        </w:rPr>
      </w:pPr>
      <w:r w:rsidRPr="001870A6">
        <w:rPr>
          <w:b/>
          <w:bCs/>
          <w:lang w:val="es-419" w:eastAsia="es-CO"/>
        </w:rPr>
        <w:t>Microcréditos:</w:t>
      </w:r>
      <w:r w:rsidRPr="001870A6">
        <w:rPr>
          <w:lang w:val="es-419" w:eastAsia="es-CO"/>
        </w:rPr>
        <w:t xml:space="preserve"> dirigidos a microempresarios y trabajadores independientes de bajos ingresos, con montos reducidos y condiciones adaptadas a flujos de caja irregulares. Cuentan con una regulación diferencial en materia de tasas, que reconoce los mayores costos de operación de este segmento. Su gestión de cobranza exige un enfoque más personalizado y frecuente, dado el perfil de los deudores y la informalidad de sus ingresos.</w:t>
      </w:r>
    </w:p>
    <w:p w14:paraId="2A050D44" w14:textId="77777777" w:rsidR="001870A6" w:rsidRPr="001870A6" w:rsidRDefault="001870A6" w:rsidP="001707A3">
      <w:pPr>
        <w:ind w:left="1416" w:firstLine="1"/>
        <w:rPr>
          <w:lang w:val="es-419" w:eastAsia="es-CO"/>
        </w:rPr>
      </w:pPr>
      <w:r w:rsidRPr="001870A6">
        <w:rPr>
          <w:lang w:val="es-419" w:eastAsia="es-CO"/>
        </w:rPr>
        <w:t>Ejemplo: una vendedora independiente solicita $3.000.000 para comprar insumos y fortalecer su negocio. Debido a que sus ingresos son variables, la entidad realiza acompañamiento cercano, verifica su capacidad de pago y propone cuotas acordes con el flujo de dinero generado por la actividad económica.</w:t>
      </w:r>
    </w:p>
    <w:p w14:paraId="1EDAAB45" w14:textId="77777777" w:rsidR="001870A6" w:rsidRPr="001870A6" w:rsidRDefault="001870A6" w:rsidP="001870A6">
      <w:pPr>
        <w:rPr>
          <w:lang w:val="es-419" w:eastAsia="es-CO"/>
        </w:rPr>
      </w:pPr>
      <w:r w:rsidRPr="001870A6">
        <w:rPr>
          <w:lang w:val="es-419" w:eastAsia="es-CO"/>
        </w:rPr>
        <w:t xml:space="preserve">Las cuatro modalidades de crédito exigen estrategias de seguimiento y cobranza diferenciadas, porque cada una tiene un perfil de deudor distinto, una normativa específica y un nivel de riesgo particular. Lo que resulta eficaz para recuperar un crédito </w:t>
      </w:r>
      <w:r w:rsidRPr="001870A6">
        <w:rPr>
          <w:lang w:val="es-419" w:eastAsia="es-CO"/>
        </w:rPr>
        <w:lastRenderedPageBreak/>
        <w:t>de consumo puede ser insuficiente o inapropiado para un microcrédito o un crédito comercial de mayor envergadura.</w:t>
      </w:r>
    </w:p>
    <w:p w14:paraId="0AD3131B" w14:textId="177FC244" w:rsidR="001870A6" w:rsidRDefault="001870A6" w:rsidP="001870A6">
      <w:pPr>
        <w:rPr>
          <w:lang w:val="es-419" w:eastAsia="es-CO"/>
        </w:rPr>
      </w:pPr>
      <w:r w:rsidRPr="001870A6">
        <w:rPr>
          <w:lang w:val="es-419" w:eastAsia="es-CO"/>
        </w:rPr>
        <w:t>Con la comprensión de los tipos de crédito y sus características, es posible abordar un aspecto técnico fundamental para el cálculo correcto de los pagos y la determinación de la mora, las tasas de interés y los límites legales que regulan su aplicación en el sistema financiero colombiano.</w:t>
      </w:r>
    </w:p>
    <w:p w14:paraId="1B4C7B67" w14:textId="77777777" w:rsidR="001707A3" w:rsidRPr="001870A6" w:rsidRDefault="001707A3" w:rsidP="001870A6">
      <w:pPr>
        <w:rPr>
          <w:lang w:val="es-419" w:eastAsia="es-CO"/>
        </w:rPr>
      </w:pPr>
    </w:p>
    <w:p w14:paraId="45E2EA5B" w14:textId="0B9FF53A" w:rsidR="0060074A" w:rsidRDefault="0060074A" w:rsidP="0060074A">
      <w:pPr>
        <w:pStyle w:val="Ttulo2"/>
      </w:pPr>
      <w:bookmarkStart w:id="11" w:name="_Toc232493835"/>
      <w:r w:rsidRPr="0060074A">
        <w:t>Tasas de interés y límites legales</w:t>
      </w:r>
      <w:bookmarkEnd w:id="11"/>
    </w:p>
    <w:p w14:paraId="7D275A38" w14:textId="4011E4D1" w:rsidR="001870A6" w:rsidRPr="001870A6" w:rsidRDefault="001870A6" w:rsidP="001870A6">
      <w:pPr>
        <w:rPr>
          <w:lang w:val="es-419" w:eastAsia="es-CO"/>
        </w:rPr>
      </w:pPr>
      <w:r w:rsidRPr="001870A6">
        <w:rPr>
          <w:lang w:val="es-419" w:eastAsia="es-CO"/>
        </w:rPr>
        <w:t>La tasa de interés es el precio del dinero prestado, la remuneración que el deudor paga a la entidad financiera por el uso temporal de los recursos que esta le ha entregado. En el sistema financiero colombiano, las tasas de interés están sujetas a límites legales</w:t>
      </w:r>
      <w:r w:rsidR="00A6002B">
        <w:rPr>
          <w:lang w:val="es-419" w:eastAsia="es-CO"/>
        </w:rPr>
        <w:t>,</w:t>
      </w:r>
      <w:r w:rsidRPr="001870A6">
        <w:rPr>
          <w:lang w:val="es-419" w:eastAsia="es-CO"/>
        </w:rPr>
        <w:t xml:space="preserve"> cuyo incumplimiento constituye el delito de usura, tipificado en el Código Penal colombiano.</w:t>
      </w:r>
    </w:p>
    <w:p w14:paraId="69BD06A9" w14:textId="0983FBA6" w:rsidR="001870A6" w:rsidRPr="001870A6" w:rsidRDefault="001870A6" w:rsidP="001870A6">
      <w:pPr>
        <w:rPr>
          <w:lang w:val="es-419" w:eastAsia="es-CO"/>
        </w:rPr>
      </w:pPr>
      <w:r w:rsidRPr="001870A6">
        <w:rPr>
          <w:lang w:val="es-419" w:eastAsia="es-CO"/>
        </w:rPr>
        <w:t>Asimismo, para el gestor de cartera</w:t>
      </w:r>
      <w:r w:rsidR="00A6002B">
        <w:rPr>
          <w:lang w:val="es-419" w:eastAsia="es-CO"/>
        </w:rPr>
        <w:t>,</w:t>
      </w:r>
      <w:r w:rsidRPr="001870A6">
        <w:rPr>
          <w:lang w:val="es-419" w:eastAsia="es-CO"/>
        </w:rPr>
        <w:t xml:space="preserve"> el conocimiento de las tasas de interés no es solo un asunto de comprensión técnica, es una obligación normativa. Al gestionar el cobro de una obligación, el gestor debe verificar que los intereses de mora cobrados al deudor se encuentren dentro de los límites legales vigentes, porque el cobro de intereses por encima de la tasa de usura expone a la entidad a sanciones graves y al deudor a derechos de reclamación.</w:t>
      </w:r>
    </w:p>
    <w:p w14:paraId="13B56607" w14:textId="77777777" w:rsidR="001870A6" w:rsidRPr="001870A6" w:rsidRDefault="001870A6" w:rsidP="001870A6">
      <w:pPr>
        <w:rPr>
          <w:lang w:val="es-419" w:eastAsia="es-CO"/>
        </w:rPr>
      </w:pPr>
      <w:r w:rsidRPr="001870A6">
        <w:rPr>
          <w:lang w:val="es-419" w:eastAsia="es-CO"/>
        </w:rPr>
        <w:t xml:space="preserve">Además de conocer los tipos de tasas, el gestor de cartera debe interpretar cómo estas afectan el valor final de la obligación y la capacidad de pago del deudor. Una tasa mal aplicada puede generar errores en el cálculo de intereses, aumentar el valor de la mora y afectar la transparencia del proceso de cobranza. Por ello, su revisión debe </w:t>
      </w:r>
      <w:r w:rsidRPr="001870A6">
        <w:rPr>
          <w:lang w:val="es-419" w:eastAsia="es-CO"/>
        </w:rPr>
        <w:lastRenderedPageBreak/>
        <w:t>realizarse con precisión técnica, respeto por los límites legales y coherencia con las condiciones pactadas en el contrato de crédito.</w:t>
      </w:r>
    </w:p>
    <w:p w14:paraId="78F40B3C" w14:textId="77777777" w:rsidR="001870A6" w:rsidRPr="001870A6" w:rsidRDefault="001870A6" w:rsidP="001870A6">
      <w:pPr>
        <w:rPr>
          <w:lang w:val="es-419" w:eastAsia="es-CO"/>
        </w:rPr>
      </w:pPr>
      <w:r w:rsidRPr="001870A6">
        <w:rPr>
          <w:lang w:val="es-419" w:eastAsia="es-CO"/>
        </w:rPr>
        <w:t>Los tipos de tasas de interés que el gestor de cartera debe conocer y su aplicación en la gestión de las obligaciones son las siguientes:</w:t>
      </w:r>
    </w:p>
    <w:p w14:paraId="456000F8" w14:textId="0D1C74B6" w:rsidR="001870A6" w:rsidRPr="001870A6" w:rsidRDefault="001870A6" w:rsidP="00C52DBF">
      <w:pPr>
        <w:pStyle w:val="Prrafodelista"/>
        <w:numPr>
          <w:ilvl w:val="0"/>
          <w:numId w:val="12"/>
        </w:numPr>
        <w:rPr>
          <w:lang w:val="es-419" w:eastAsia="es-CO"/>
        </w:rPr>
      </w:pPr>
      <w:r w:rsidRPr="001870A6">
        <w:rPr>
          <w:b/>
          <w:bCs/>
          <w:lang w:val="es-419" w:eastAsia="es-CO"/>
        </w:rPr>
        <w:t>Tasa nominal:</w:t>
      </w:r>
      <w:r w:rsidRPr="001870A6">
        <w:rPr>
          <w:lang w:val="es-419" w:eastAsia="es-CO"/>
        </w:rPr>
        <w:t xml:space="preserve"> es la tasa pactada en el contrato de crédito, expresada para un período diferente al año. Las formas más comunes son: N.M.V. (nominal mensual vencida), N.T.A. (nominal trimestral anticipada) y N.A. (nominal anual). Se usa en la liquidación periódica de los intereses de cada cuota y debe convertirse a tasa efectiva para comparaciones.</w:t>
      </w:r>
    </w:p>
    <w:p w14:paraId="0F1213D2" w14:textId="345BC48A" w:rsidR="001870A6" w:rsidRPr="001870A6" w:rsidRDefault="001870A6" w:rsidP="00C52DBF">
      <w:pPr>
        <w:pStyle w:val="Prrafodelista"/>
        <w:numPr>
          <w:ilvl w:val="0"/>
          <w:numId w:val="12"/>
        </w:numPr>
        <w:rPr>
          <w:lang w:val="es-419" w:eastAsia="es-CO"/>
        </w:rPr>
      </w:pPr>
      <w:r w:rsidRPr="001870A6">
        <w:rPr>
          <w:b/>
          <w:bCs/>
          <w:lang w:val="es-419" w:eastAsia="es-CO"/>
        </w:rPr>
        <w:t xml:space="preserve">Tasa efectiva anual (E.A.): </w:t>
      </w:r>
      <w:r w:rsidRPr="001870A6">
        <w:rPr>
          <w:lang w:val="es-419" w:eastAsia="es-CO"/>
        </w:rPr>
        <w:t>incorpora el efecto de la capitalización y expresa el costo real del crédito en términos anuales, independientemente de la periodicidad del pago. Es la tasa estándar de comparación entre productos financieros y la que determina si una operación supera o no la tasa de usura certificada por la Superintendencia Financiera.</w:t>
      </w:r>
    </w:p>
    <w:p w14:paraId="438F1E14" w14:textId="5248AE15" w:rsidR="001870A6" w:rsidRPr="001870A6" w:rsidRDefault="001870A6" w:rsidP="00C52DBF">
      <w:pPr>
        <w:pStyle w:val="Prrafodelista"/>
        <w:numPr>
          <w:ilvl w:val="0"/>
          <w:numId w:val="12"/>
        </w:numPr>
        <w:rPr>
          <w:lang w:val="es-419" w:eastAsia="es-CO"/>
        </w:rPr>
      </w:pPr>
      <w:r w:rsidRPr="001870A6">
        <w:rPr>
          <w:b/>
          <w:bCs/>
          <w:lang w:val="es-419" w:eastAsia="es-CO"/>
        </w:rPr>
        <w:t>Tasa de mora:</w:t>
      </w:r>
      <w:r w:rsidRPr="001870A6">
        <w:rPr>
          <w:lang w:val="es-419" w:eastAsia="es-CO"/>
        </w:rPr>
        <w:t xml:space="preserve"> tasa adicional cobrada sobre el saldo vencido por el incumplimiento del deudor. La normativa colombiana establece que la tasa de mora máxima es 1,5 veces la tasa de interés remuneratorio pactada en el contrato. Su cálculo correcto es fundamental para el gestor, porque determina el monto real de la mora acumulada.</w:t>
      </w:r>
    </w:p>
    <w:p w14:paraId="6481C758" w14:textId="3A1B4211" w:rsidR="001870A6" w:rsidRPr="001870A6" w:rsidRDefault="001870A6" w:rsidP="00C52DBF">
      <w:pPr>
        <w:pStyle w:val="Prrafodelista"/>
        <w:numPr>
          <w:ilvl w:val="0"/>
          <w:numId w:val="12"/>
        </w:numPr>
        <w:rPr>
          <w:lang w:val="es-419" w:eastAsia="es-CO"/>
        </w:rPr>
      </w:pPr>
      <w:r w:rsidRPr="001870A6">
        <w:rPr>
          <w:b/>
          <w:bCs/>
          <w:lang w:val="es-419" w:eastAsia="es-CO"/>
        </w:rPr>
        <w:t xml:space="preserve">Tasa de usura: </w:t>
      </w:r>
      <w:r w:rsidRPr="001870A6">
        <w:rPr>
          <w:lang w:val="es-419" w:eastAsia="es-CO"/>
        </w:rPr>
        <w:t xml:space="preserve">límite máximo legal para el cobro de intereses en las operaciones crediticias, certificado trimestralmente por la Superintendencia Financiera de Colombia. Varía según la modalidad de crédito: para consumo y comercial ordinario es 1,5 veces el interés </w:t>
      </w:r>
      <w:r w:rsidRPr="001870A6">
        <w:rPr>
          <w:lang w:val="es-419" w:eastAsia="es-CO"/>
        </w:rPr>
        <w:lastRenderedPageBreak/>
        <w:t>bancario corriente; para microcrédito existe una tasa máxima diferente que reconoce sus mayores costos de operación.</w:t>
      </w:r>
    </w:p>
    <w:p w14:paraId="0831080D" w14:textId="77777777" w:rsidR="001870A6" w:rsidRPr="001870A6" w:rsidRDefault="001870A6" w:rsidP="001870A6">
      <w:pPr>
        <w:rPr>
          <w:lang w:val="es-419" w:eastAsia="es-CO"/>
        </w:rPr>
      </w:pPr>
      <w:r w:rsidRPr="001870A6">
        <w:rPr>
          <w:lang w:val="es-419" w:eastAsia="es-CO"/>
        </w:rPr>
        <w:t>El dominio de las tasas de interés y de los límites legales que las regulan le permite al gestor de cartera calcular correctamente los valores adeudados, informar con precisión al deudor y evitar prácticas que puedan calificarse como usura o cobros indebidos, con las consecuencias jurídicas que estas acarrean.</w:t>
      </w:r>
    </w:p>
    <w:p w14:paraId="128F5C2F" w14:textId="6026E9F2" w:rsidR="001870A6" w:rsidRDefault="001870A6" w:rsidP="001870A6">
      <w:pPr>
        <w:rPr>
          <w:lang w:val="es-419" w:eastAsia="es-CO"/>
        </w:rPr>
      </w:pPr>
      <w:r w:rsidRPr="001870A6">
        <w:rPr>
          <w:lang w:val="es-419" w:eastAsia="es-CO"/>
        </w:rPr>
        <w:t>Las tasas y los plazos pactados en el contrato original pueden dejar de ser sostenibles cuando la situación financiera del deudor cambia. En esos casos, modificar las condiciones del crédito ofrece una alternativa real para preservar la relación crediticia, reducir el riesgo de pérdida y evitar que una dificultad temporal se convierta en un incumplimiento definitivo.</w:t>
      </w:r>
    </w:p>
    <w:p w14:paraId="4FE9C659" w14:textId="77777777" w:rsidR="001707A3" w:rsidRPr="001870A6" w:rsidRDefault="001707A3" w:rsidP="001870A6">
      <w:pPr>
        <w:rPr>
          <w:lang w:val="es-419" w:eastAsia="es-CO"/>
        </w:rPr>
      </w:pPr>
    </w:p>
    <w:p w14:paraId="2D458724" w14:textId="7C6EFC89" w:rsidR="0060074A" w:rsidRDefault="0060074A" w:rsidP="0060074A">
      <w:pPr>
        <w:pStyle w:val="Ttulo2"/>
      </w:pPr>
      <w:bookmarkStart w:id="12" w:name="_Toc232493836"/>
      <w:r w:rsidRPr="0060074A">
        <w:t>Reestructuración y refinanciación de créditos</w:t>
      </w:r>
      <w:bookmarkEnd w:id="12"/>
    </w:p>
    <w:p w14:paraId="3887DBEA" w14:textId="77777777" w:rsidR="001870A6" w:rsidRPr="001870A6" w:rsidRDefault="001870A6" w:rsidP="001870A6">
      <w:pPr>
        <w:rPr>
          <w:lang w:val="es-419" w:eastAsia="es-CO"/>
        </w:rPr>
      </w:pPr>
      <w:r w:rsidRPr="001870A6">
        <w:rPr>
          <w:lang w:val="es-419" w:eastAsia="es-CO"/>
        </w:rPr>
        <w:t>La reestructuración de un crédito consiste en modificar algunas condiciones originales de la obligación, como el plazo, la tasa, la cuota o las garantías, con el propósito de ajustarlas a la nueva capacidad de pago del deudor. Esta alternativa se aplica cuando existen dificultades financieras verificables, pero también posibilidades reales de continuar cumpliendo las nuevas condiciones pactadas.</w:t>
      </w:r>
    </w:p>
    <w:p w14:paraId="4F0C664B" w14:textId="77777777" w:rsidR="001870A6" w:rsidRPr="001870A6" w:rsidRDefault="001870A6" w:rsidP="001870A6">
      <w:pPr>
        <w:rPr>
          <w:lang w:val="es-419" w:eastAsia="es-CO"/>
        </w:rPr>
      </w:pPr>
      <w:r w:rsidRPr="001870A6">
        <w:rPr>
          <w:lang w:val="es-419" w:eastAsia="es-CO"/>
        </w:rPr>
        <w:t>La refinanciación, por su parte, implica cancelar o sustituir el crédito existente mediante una nueva operación crediticia. Aunque también busca facilitar el pago, se diferencia de la reestructuración porque no modifica directamente el crédito inicial, sino que genera una nueva obligación. Por esta razón, ambas alternativas deben analizarse con criterios técnicos, contables y normativos.</w:t>
      </w:r>
    </w:p>
    <w:p w14:paraId="5824F016" w14:textId="77777777" w:rsidR="001870A6" w:rsidRPr="001870A6" w:rsidRDefault="001870A6" w:rsidP="001870A6">
      <w:pPr>
        <w:rPr>
          <w:lang w:val="es-419" w:eastAsia="es-CO"/>
        </w:rPr>
      </w:pPr>
      <w:r w:rsidRPr="001870A6">
        <w:rPr>
          <w:lang w:val="es-419" w:eastAsia="es-CO"/>
        </w:rPr>
        <w:lastRenderedPageBreak/>
        <w:t>La definición de una alternativa de normalización requiere analizar las condiciones que inciden directamente en el comportamiento del crédito. Este análisis permite establecer si la obligación puede ajustarse a la nueva capacidad de pago del deudor, sin desconocer las políticas institucionales, los límites normativos y el nivel de riesgo de la operación.</w:t>
      </w:r>
    </w:p>
    <w:p w14:paraId="60B2B2CC" w14:textId="77777777" w:rsidR="001870A6" w:rsidRPr="001870A6" w:rsidRDefault="001870A6" w:rsidP="001870A6">
      <w:pPr>
        <w:rPr>
          <w:lang w:val="es-419" w:eastAsia="es-CO"/>
        </w:rPr>
      </w:pPr>
      <w:r w:rsidRPr="001870A6">
        <w:rPr>
          <w:lang w:val="es-419" w:eastAsia="es-CO"/>
        </w:rPr>
        <w:t>En este sentido, la decisión técnica no debe basarse únicamente en ampliar el tiempo de pago o reducir el valor de la cuota. También es necesario revisar el costo financiero del crédito y los respaldos que protegen la obligación.</w:t>
      </w:r>
    </w:p>
    <w:p w14:paraId="48DB1D6A" w14:textId="6C2B154E" w:rsidR="001870A6" w:rsidRDefault="001870A6" w:rsidP="001870A6">
      <w:pPr>
        <w:rPr>
          <w:lang w:val="es-419" w:eastAsia="es-CO"/>
        </w:rPr>
      </w:pPr>
      <w:r w:rsidRPr="001870A6">
        <w:rPr>
          <w:lang w:val="es-419" w:eastAsia="es-CO"/>
        </w:rPr>
        <w:t>A continuación, se describen los aspectos que orientan este proceso:</w:t>
      </w:r>
    </w:p>
    <w:p w14:paraId="46C8119B" w14:textId="1FD57D40" w:rsidR="001870A6" w:rsidRPr="001870A6" w:rsidRDefault="001870A6" w:rsidP="001870A6">
      <w:pPr>
        <w:rPr>
          <w:b/>
          <w:bCs/>
          <w:lang w:val="es-419" w:eastAsia="es-CO"/>
        </w:rPr>
      </w:pPr>
      <w:r w:rsidRPr="001870A6">
        <w:rPr>
          <w:b/>
          <w:bCs/>
          <w:lang w:val="es-419" w:eastAsia="es-CO"/>
        </w:rPr>
        <w:t>Condiciones de pago sostenibles</w:t>
      </w:r>
    </w:p>
    <w:p w14:paraId="4B3AC448" w14:textId="24F6E0C3" w:rsidR="001870A6" w:rsidRPr="001870A6" w:rsidRDefault="001870A6" w:rsidP="00C52DBF">
      <w:pPr>
        <w:pStyle w:val="Prrafodelista"/>
        <w:numPr>
          <w:ilvl w:val="0"/>
          <w:numId w:val="13"/>
        </w:numPr>
        <w:rPr>
          <w:lang w:val="es-419" w:eastAsia="es-CO"/>
        </w:rPr>
      </w:pPr>
      <w:r w:rsidRPr="001870A6">
        <w:rPr>
          <w:b/>
          <w:bCs/>
          <w:lang w:val="es-419" w:eastAsia="es-CO"/>
        </w:rPr>
        <w:t>Plazo:</w:t>
      </w:r>
      <w:r w:rsidRPr="001870A6">
        <w:rPr>
          <w:lang w:val="es-419" w:eastAsia="es-CO"/>
        </w:rPr>
        <w:t xml:space="preserve"> corresponde al tiempo otorgado para pagar la obligación. Puede ampliarse para reducir el valor de la cuota, siempre que el nuevo periodo sea viable para la entidad y para el deudor.</w:t>
      </w:r>
    </w:p>
    <w:p w14:paraId="2888EDE0" w14:textId="656A74E7" w:rsidR="001870A6" w:rsidRPr="001870A6" w:rsidRDefault="001870A6" w:rsidP="00C52DBF">
      <w:pPr>
        <w:pStyle w:val="Prrafodelista"/>
        <w:numPr>
          <w:ilvl w:val="0"/>
          <w:numId w:val="13"/>
        </w:numPr>
        <w:rPr>
          <w:lang w:val="es-419" w:eastAsia="es-CO"/>
        </w:rPr>
      </w:pPr>
      <w:r w:rsidRPr="001870A6">
        <w:rPr>
          <w:b/>
          <w:bCs/>
          <w:lang w:val="es-419" w:eastAsia="es-CO"/>
        </w:rPr>
        <w:t>Tasa:</w:t>
      </w:r>
      <w:r w:rsidRPr="001870A6">
        <w:rPr>
          <w:lang w:val="es-419" w:eastAsia="es-CO"/>
        </w:rPr>
        <w:t xml:space="preserve"> es el porcentaje de interés aplicado al crédito. En una reestructuración puede revisarse según las políticas institucionales, los límites legales y el nivel de riesgo del deudor.</w:t>
      </w:r>
    </w:p>
    <w:p w14:paraId="281A7D8C" w14:textId="7CB7D058" w:rsidR="001870A6" w:rsidRPr="001870A6" w:rsidRDefault="001870A6" w:rsidP="00C52DBF">
      <w:pPr>
        <w:pStyle w:val="Prrafodelista"/>
        <w:numPr>
          <w:ilvl w:val="0"/>
          <w:numId w:val="13"/>
        </w:numPr>
        <w:rPr>
          <w:lang w:val="es-419" w:eastAsia="es-CO"/>
        </w:rPr>
      </w:pPr>
      <w:r w:rsidRPr="001870A6">
        <w:rPr>
          <w:b/>
          <w:bCs/>
          <w:lang w:val="es-419" w:eastAsia="es-CO"/>
        </w:rPr>
        <w:t>Cuota:</w:t>
      </w:r>
      <w:r w:rsidRPr="001870A6">
        <w:rPr>
          <w:lang w:val="es-419" w:eastAsia="es-CO"/>
        </w:rPr>
        <w:t xml:space="preserve"> es el valor periódico que debe pagar el deudor. Debe ajustarse a su capacidad real de pago para evitar nuevos incumplimientos.</w:t>
      </w:r>
    </w:p>
    <w:p w14:paraId="5666E6CD" w14:textId="7DE1AC88" w:rsidR="001870A6" w:rsidRPr="001870A6" w:rsidRDefault="001870A6" w:rsidP="00C52DBF">
      <w:pPr>
        <w:pStyle w:val="Prrafodelista"/>
        <w:numPr>
          <w:ilvl w:val="0"/>
          <w:numId w:val="13"/>
        </w:numPr>
        <w:rPr>
          <w:lang w:val="es-419" w:eastAsia="es-CO"/>
        </w:rPr>
      </w:pPr>
      <w:r w:rsidRPr="001870A6">
        <w:rPr>
          <w:b/>
          <w:bCs/>
          <w:lang w:val="es-419" w:eastAsia="es-CO"/>
        </w:rPr>
        <w:t>Garantía:</w:t>
      </w:r>
      <w:r w:rsidRPr="001870A6">
        <w:rPr>
          <w:lang w:val="es-419" w:eastAsia="es-CO"/>
        </w:rPr>
        <w:t xml:space="preserve"> es el respaldo que protege la obligación. Puede mantenerse, actualizarse o reforzarse cuando el nivel de riesgo del crédito lo exige.</w:t>
      </w:r>
    </w:p>
    <w:p w14:paraId="132B926C" w14:textId="77777777" w:rsidR="001870A6" w:rsidRPr="001870A6" w:rsidRDefault="001870A6" w:rsidP="001870A6">
      <w:pPr>
        <w:rPr>
          <w:lang w:val="es-419" w:eastAsia="es-CO"/>
        </w:rPr>
      </w:pPr>
      <w:r w:rsidRPr="001870A6">
        <w:rPr>
          <w:lang w:val="es-419" w:eastAsia="es-CO"/>
        </w:rPr>
        <w:t xml:space="preserve">Con el propósito de adaptar el cronograma de pagos a la nueva capacidad de pago del deudor, esta alternativa debe sustentarse en información verificable y en condiciones realistas de cumplimiento. La reestructuración no resuelve por sí sola el </w:t>
      </w:r>
      <w:r w:rsidRPr="001870A6">
        <w:rPr>
          <w:lang w:val="es-419" w:eastAsia="es-CO"/>
        </w:rPr>
        <w:lastRenderedPageBreak/>
        <w:t>deterioro de la cartera; su efectividad depende del análisis previo, la formalización adecuada y el seguimiento posterior.</w:t>
      </w:r>
    </w:p>
    <w:p w14:paraId="55A4E181" w14:textId="1BE44A1F" w:rsidR="001870A6" w:rsidRDefault="001870A6" w:rsidP="001870A6">
      <w:pPr>
        <w:rPr>
          <w:lang w:val="es-419" w:eastAsia="es-CO"/>
        </w:rPr>
      </w:pPr>
      <w:r w:rsidRPr="001870A6">
        <w:rPr>
          <w:lang w:val="es-419" w:eastAsia="es-CO"/>
        </w:rPr>
        <w:t>Asimismo, la decisión de reestructurar un crédito implica un análisis riguroso de la situación financiera del deudor y de la viabilidad de las nuevas condiciones propuestas. Una reestructuración que no considera la capacidad de pago real del deudor no resuelve el problema, solo lo posterga y puede agravar el deterioro de la obligación al crear expectativas que tampoco podrán cumplirse.</w:t>
      </w:r>
    </w:p>
    <w:p w14:paraId="1FFC471A" w14:textId="021223E9" w:rsidR="001870A6" w:rsidRDefault="001870A6" w:rsidP="001870A6">
      <w:pPr>
        <w:rPr>
          <w:lang w:val="es-419" w:eastAsia="es-CO"/>
        </w:rPr>
      </w:pPr>
      <w:r w:rsidRPr="001870A6">
        <w:rPr>
          <w:lang w:val="es-419" w:eastAsia="es-CO"/>
        </w:rPr>
        <w:t>La reestructuración debe sustentarse en información verificable sobre la capacidad de pago del deudor. Cuando las nuevas condiciones son realistas, la entidad puede facilitar la normalización de la obligación y reducir el riesgo de incumplimiento definitivo.</w:t>
      </w:r>
    </w:p>
    <w:p w14:paraId="78B470B0" w14:textId="77777777" w:rsidR="001870A6" w:rsidRPr="001870A6" w:rsidRDefault="001870A6" w:rsidP="001870A6">
      <w:pPr>
        <w:rPr>
          <w:lang w:val="es-419" w:eastAsia="es-CO"/>
        </w:rPr>
      </w:pPr>
      <w:r w:rsidRPr="001870A6">
        <w:rPr>
          <w:lang w:val="es-419" w:eastAsia="es-CO"/>
        </w:rPr>
        <w:t>De igual manera, la reestructuración tiene implicaciones contables que el gestor debe conocer para aplicarla correctamente. Desde una perspectiva contable, la reestructuración puede implicar el reconocimiento de una pérdida si las nuevas condiciones del crédito representan una concesión que la entidad no habría otorgado en condiciones normales de mercado.</w:t>
      </w:r>
    </w:p>
    <w:p w14:paraId="59922E24" w14:textId="77777777" w:rsidR="001870A6" w:rsidRPr="001870A6" w:rsidRDefault="001870A6" w:rsidP="001870A6">
      <w:pPr>
        <w:rPr>
          <w:lang w:val="es-419" w:eastAsia="es-CO"/>
        </w:rPr>
      </w:pPr>
      <w:r w:rsidRPr="001870A6">
        <w:rPr>
          <w:lang w:val="es-419" w:eastAsia="es-CO"/>
        </w:rPr>
        <w:t>El procedimiento para una reestructuración y sus elementos principales son los siguientes:</w:t>
      </w:r>
    </w:p>
    <w:p w14:paraId="36C0D88E" w14:textId="59C90735" w:rsidR="001870A6" w:rsidRPr="001870A6" w:rsidRDefault="001870A6" w:rsidP="00C52DBF">
      <w:pPr>
        <w:pStyle w:val="Prrafodelista"/>
        <w:numPr>
          <w:ilvl w:val="0"/>
          <w:numId w:val="14"/>
        </w:numPr>
        <w:rPr>
          <w:lang w:val="es-419" w:eastAsia="es-CO"/>
        </w:rPr>
      </w:pPr>
      <w:r w:rsidRPr="001870A6">
        <w:rPr>
          <w:b/>
          <w:bCs/>
          <w:lang w:val="es-419" w:eastAsia="es-CO"/>
        </w:rPr>
        <w:t>Evaluación de la capacidad de pago:</w:t>
      </w:r>
      <w:r w:rsidRPr="001870A6">
        <w:rPr>
          <w:lang w:val="es-419" w:eastAsia="es-CO"/>
        </w:rPr>
        <w:t xml:space="preserve"> consiste en obtener y analizar información actualizada sobre los ingresos, gastos, activos y pasivos del deudor, para determinar si las nuevas condiciones propuestas son sostenibles. Sin este análisis, la reestructuración carece de fundamento técnico.</w:t>
      </w:r>
    </w:p>
    <w:p w14:paraId="1F40881E" w14:textId="77777777" w:rsidR="001870A6" w:rsidRPr="001870A6" w:rsidRDefault="001870A6" w:rsidP="001707A3">
      <w:pPr>
        <w:ind w:left="1416" w:firstLine="1"/>
        <w:rPr>
          <w:lang w:val="es-419" w:eastAsia="es-CO"/>
        </w:rPr>
      </w:pPr>
      <w:r w:rsidRPr="001870A6">
        <w:rPr>
          <w:lang w:val="es-419" w:eastAsia="es-CO"/>
        </w:rPr>
        <w:lastRenderedPageBreak/>
        <w:t>Ejemplo: antes de proponer una reestructuración a plazo de 48 meses para un crédito de consumo en mora, el gestor solicita los desprendibles de pago del deudor de los últimos tres meses y verifica que la nueva cuota propuesta no supere el 30 % de sus ingresos mensuales.</w:t>
      </w:r>
    </w:p>
    <w:p w14:paraId="289BEFB7" w14:textId="3F6A5AD3" w:rsidR="001870A6" w:rsidRPr="001870A6" w:rsidRDefault="001870A6" w:rsidP="00C52DBF">
      <w:pPr>
        <w:pStyle w:val="Prrafodelista"/>
        <w:numPr>
          <w:ilvl w:val="0"/>
          <w:numId w:val="14"/>
        </w:numPr>
        <w:rPr>
          <w:lang w:val="es-419" w:eastAsia="es-CO"/>
        </w:rPr>
      </w:pPr>
      <w:r w:rsidRPr="001870A6">
        <w:rPr>
          <w:b/>
          <w:bCs/>
          <w:lang w:val="es-419" w:eastAsia="es-CO"/>
        </w:rPr>
        <w:t>Análisis de viabilidad:</w:t>
      </w:r>
      <w:r w:rsidRPr="001870A6">
        <w:rPr>
          <w:lang w:val="es-419" w:eastAsia="es-CO"/>
        </w:rPr>
        <w:t xml:space="preserve"> permite determinar si la dificultad de pago del deudor es temporal y superable o si, por el contrario, sus condiciones financieras no le permitirán cumplir ninguna alternativa razonable de pago. Solo en el primer caso la reestructuración es una solución viable.</w:t>
      </w:r>
    </w:p>
    <w:p w14:paraId="014803E5" w14:textId="77777777" w:rsidR="001870A6" w:rsidRPr="001870A6" w:rsidRDefault="001870A6" w:rsidP="001707A3">
      <w:pPr>
        <w:ind w:left="1416" w:firstLine="1"/>
        <w:rPr>
          <w:lang w:val="es-419" w:eastAsia="es-CO"/>
        </w:rPr>
      </w:pPr>
      <w:r w:rsidRPr="001870A6">
        <w:rPr>
          <w:lang w:val="es-419" w:eastAsia="es-CO"/>
        </w:rPr>
        <w:t>Ejemplo: un comerciante presenta mora porque sus ventas disminuyeron durante dos meses por el cierre temporal de su local. Al comprobar que la actividad económica continúa y que los ingresos se están recuperando, la entidad puede proponer cuotas más bajas durante los primeros meses.</w:t>
      </w:r>
    </w:p>
    <w:p w14:paraId="5DA5AB87" w14:textId="0780DF53" w:rsidR="001870A6" w:rsidRPr="001870A6" w:rsidRDefault="001870A6" w:rsidP="00C52DBF">
      <w:pPr>
        <w:pStyle w:val="Prrafodelista"/>
        <w:numPr>
          <w:ilvl w:val="0"/>
          <w:numId w:val="14"/>
        </w:numPr>
        <w:rPr>
          <w:lang w:val="es-419" w:eastAsia="es-CO"/>
        </w:rPr>
      </w:pPr>
      <w:r w:rsidRPr="001870A6">
        <w:rPr>
          <w:b/>
          <w:bCs/>
          <w:lang w:val="es-419" w:eastAsia="es-CO"/>
        </w:rPr>
        <w:t>Diseño de las nuevas condiciones:</w:t>
      </w:r>
      <w:r w:rsidRPr="001870A6">
        <w:rPr>
          <w:lang w:val="es-419" w:eastAsia="es-CO"/>
        </w:rPr>
        <w:t xml:space="preserve"> implica definir los nuevos parámetros del crédito: plazo ampliado, cuota reducida, período de gracia, capitalización de intereses o combinación de estas alternativas, según lo que sea técnicamente viable y esté dentro de las facultades del gestor o del nivel de autorización requerido.</w:t>
      </w:r>
    </w:p>
    <w:p w14:paraId="37B23BAD" w14:textId="77777777" w:rsidR="001870A6" w:rsidRPr="001870A6" w:rsidRDefault="001870A6" w:rsidP="001707A3">
      <w:pPr>
        <w:ind w:left="1416" w:firstLine="1"/>
        <w:rPr>
          <w:lang w:val="es-419" w:eastAsia="es-CO"/>
        </w:rPr>
      </w:pPr>
      <w:r w:rsidRPr="001870A6">
        <w:rPr>
          <w:lang w:val="es-419" w:eastAsia="es-CO"/>
        </w:rPr>
        <w:t>Ejemplo: una entidad amplía el plazo de un crédito comercial de 24 a 36 meses y reduce el valor de la cuota mensual, sin superar los límites de tasa permitidos. Además, solicita actualizar la garantía para cubrir el mayor riesgo de la operación.</w:t>
      </w:r>
    </w:p>
    <w:p w14:paraId="0D4627F4" w14:textId="67093C85" w:rsidR="001870A6" w:rsidRPr="001870A6" w:rsidRDefault="001870A6" w:rsidP="00C52DBF">
      <w:pPr>
        <w:pStyle w:val="Prrafodelista"/>
        <w:numPr>
          <w:ilvl w:val="0"/>
          <w:numId w:val="14"/>
        </w:numPr>
        <w:rPr>
          <w:lang w:val="es-419" w:eastAsia="es-CO"/>
        </w:rPr>
      </w:pPr>
      <w:r w:rsidRPr="001870A6">
        <w:rPr>
          <w:b/>
          <w:bCs/>
          <w:lang w:val="es-419" w:eastAsia="es-CO"/>
        </w:rPr>
        <w:t>Registro contable:</w:t>
      </w:r>
      <w:r w:rsidRPr="001870A6">
        <w:rPr>
          <w:lang w:val="es-419" w:eastAsia="es-CO"/>
        </w:rPr>
        <w:t xml:space="preserve"> la reestructuración puede implicar la capitalización de intereses en mora, la reclasificación de la obligación y el ajuste de las </w:t>
      </w:r>
      <w:r w:rsidRPr="001870A6">
        <w:rPr>
          <w:lang w:val="es-419" w:eastAsia="es-CO"/>
        </w:rPr>
        <w:lastRenderedPageBreak/>
        <w:t xml:space="preserve">provisiones. Estos movimientos deben registrarse correctamente para reflejar la nueva situación contable del crédito reestructurado. </w:t>
      </w:r>
    </w:p>
    <w:p w14:paraId="5777641A" w14:textId="77777777" w:rsidR="001870A6" w:rsidRPr="001870A6" w:rsidRDefault="001870A6" w:rsidP="001707A3">
      <w:pPr>
        <w:ind w:left="1416" w:firstLine="1"/>
        <w:rPr>
          <w:lang w:val="es-419" w:eastAsia="es-CO"/>
        </w:rPr>
      </w:pPr>
      <w:r w:rsidRPr="001870A6">
        <w:rPr>
          <w:lang w:val="es-419" w:eastAsia="es-CO"/>
        </w:rPr>
        <w:t>Ejemplo: después de aprobar la reestructuración, el área contable actualiza la categoría de riesgo del crédito, registra los intereses capitalizados y ajusta la provisión correspondiente, de acuerdo con las políticas internas y la normativa aplicable.</w:t>
      </w:r>
    </w:p>
    <w:p w14:paraId="5A972380" w14:textId="45D11171" w:rsidR="001870A6" w:rsidRPr="001870A6" w:rsidRDefault="001870A6" w:rsidP="00C52DBF">
      <w:pPr>
        <w:pStyle w:val="Prrafodelista"/>
        <w:numPr>
          <w:ilvl w:val="0"/>
          <w:numId w:val="14"/>
        </w:numPr>
        <w:rPr>
          <w:lang w:val="es-419" w:eastAsia="es-CO"/>
        </w:rPr>
      </w:pPr>
      <w:r w:rsidRPr="001870A6">
        <w:rPr>
          <w:b/>
          <w:bCs/>
          <w:lang w:val="es-419" w:eastAsia="es-CO"/>
        </w:rPr>
        <w:t>Seguimiento posterior:</w:t>
      </w:r>
      <w:r w:rsidRPr="001870A6">
        <w:rPr>
          <w:lang w:val="es-419" w:eastAsia="es-CO"/>
        </w:rPr>
        <w:t xml:space="preserve"> una vez formalizada la reestructuración, el gestor debe monitorear el cumplimiento de las nuevas condiciones de manera más estricta que en créditos ordinarios, porque el historial de incumplimiento del deudor indica mayor riesgo de recaída. </w:t>
      </w:r>
    </w:p>
    <w:p w14:paraId="7339C960" w14:textId="77777777" w:rsidR="001870A6" w:rsidRPr="001870A6" w:rsidRDefault="001870A6" w:rsidP="001707A3">
      <w:pPr>
        <w:ind w:left="1416" w:firstLine="1"/>
        <w:rPr>
          <w:lang w:val="es-419" w:eastAsia="es-CO"/>
        </w:rPr>
      </w:pPr>
      <w:r w:rsidRPr="001870A6">
        <w:rPr>
          <w:lang w:val="es-419" w:eastAsia="es-CO"/>
        </w:rPr>
        <w:t>Ejemplo: durante los seis meses siguientes a la reestructuración, el gestor revisa mensualmente el pago oportuno de la cuota y contacta de manera preventiva al deudor si identifica retrasos, con el fin de evitar un nuevo deterioro de la obligación.</w:t>
      </w:r>
    </w:p>
    <w:p w14:paraId="0CF8593F" w14:textId="2506412C" w:rsidR="001870A6" w:rsidRDefault="001870A6" w:rsidP="001870A6">
      <w:pPr>
        <w:rPr>
          <w:lang w:val="es-419" w:eastAsia="es-CO"/>
        </w:rPr>
      </w:pPr>
      <w:r w:rsidRPr="001870A6">
        <w:rPr>
          <w:lang w:val="es-419" w:eastAsia="es-CO"/>
        </w:rPr>
        <w:t>La diferencia entre reestructuración y refinanciación debe reconocerse con claridad. La reestructuración modifica las condiciones del crédito vigente, mientras que la refinanciación sustituye la obligación inicial por un nuevo crédito. Por ello, cada alternativa genera efectos distintos en la calificación del riesgo, el tratamiento contable y el historial crediticio del deudor.</w:t>
      </w:r>
    </w:p>
    <w:p w14:paraId="7BFF0202" w14:textId="4B82C5F6" w:rsidR="001870A6" w:rsidRDefault="001870A6" w:rsidP="001870A6">
      <w:pPr>
        <w:rPr>
          <w:lang w:val="es-419" w:eastAsia="es-CO"/>
        </w:rPr>
      </w:pPr>
      <w:r w:rsidRPr="001870A6">
        <w:rPr>
          <w:lang w:val="es-419" w:eastAsia="es-CO"/>
        </w:rPr>
        <w:t>Una decisión de normalización solo es adecuada cuando se sustenta en la capacidad real de pago, el análisis del riesgo y el cumplimiento de las políticas institucionales.</w:t>
      </w:r>
    </w:p>
    <w:p w14:paraId="72F13DA3" w14:textId="71A256B2" w:rsidR="001707A3" w:rsidRDefault="001870A6" w:rsidP="001870A6">
      <w:pPr>
        <w:rPr>
          <w:lang w:val="es-419" w:eastAsia="es-CO"/>
        </w:rPr>
      </w:pPr>
      <w:r w:rsidRPr="001870A6">
        <w:rPr>
          <w:lang w:val="es-419" w:eastAsia="es-CO"/>
        </w:rPr>
        <w:lastRenderedPageBreak/>
        <w:t>El estudio de los planes de pago, las modalidades de crédito y las alternativas de normalización permite comprender cómo se administra una obligación desde su origen hasta su posible ajuste. Sin embargo, esta gestión también exige aplicar el marco normativo que regula la actividad crediticia en Colombia, tema que se desarrolla en el siguiente apartado.</w:t>
      </w:r>
    </w:p>
    <w:p w14:paraId="7BE4E698" w14:textId="77777777" w:rsidR="001707A3" w:rsidRDefault="001707A3">
      <w:pPr>
        <w:spacing w:before="0" w:after="160" w:line="259" w:lineRule="auto"/>
        <w:ind w:firstLine="0"/>
        <w:rPr>
          <w:lang w:val="es-419" w:eastAsia="es-CO"/>
        </w:rPr>
      </w:pPr>
      <w:r>
        <w:rPr>
          <w:lang w:val="es-419" w:eastAsia="es-CO"/>
        </w:rPr>
        <w:br w:type="page"/>
      </w:r>
    </w:p>
    <w:p w14:paraId="5F5E4100" w14:textId="574EED8A" w:rsidR="0060074A" w:rsidRDefault="0060074A" w:rsidP="0060074A">
      <w:pPr>
        <w:pStyle w:val="Ttulo1"/>
      </w:pPr>
      <w:bookmarkStart w:id="13" w:name="_Toc232493837"/>
      <w:r w:rsidRPr="0060074A">
        <w:lastRenderedPageBreak/>
        <w:t>Marco normativo del crédito en Colombia</w:t>
      </w:r>
      <w:bookmarkEnd w:id="13"/>
    </w:p>
    <w:p w14:paraId="45A4F71A" w14:textId="77777777" w:rsidR="001870A6" w:rsidRPr="001870A6" w:rsidRDefault="001870A6" w:rsidP="001870A6">
      <w:pPr>
        <w:rPr>
          <w:lang w:val="es-419" w:eastAsia="es-CO"/>
        </w:rPr>
      </w:pPr>
      <w:r w:rsidRPr="001870A6">
        <w:rPr>
          <w:lang w:val="es-419" w:eastAsia="es-CO"/>
        </w:rPr>
        <w:t>El marco normativo del crédito en Colombia reúne las disposiciones que orientan la actividad crediticia de las entidades financieras. Estas normas regulan aspectos como la autorización para operar, la administración del riesgo, la clasificación de la cartera, el cálculo de provisiones, el cobro de intereses y la protección del consumidor financiero.</w:t>
      </w:r>
    </w:p>
    <w:p w14:paraId="64A86BBF" w14:textId="77777777" w:rsidR="001870A6" w:rsidRPr="001870A6" w:rsidRDefault="001870A6" w:rsidP="001870A6">
      <w:pPr>
        <w:rPr>
          <w:lang w:val="es-419" w:eastAsia="es-CO"/>
        </w:rPr>
      </w:pPr>
      <w:r w:rsidRPr="001870A6">
        <w:rPr>
          <w:lang w:val="es-419" w:eastAsia="es-CO"/>
        </w:rPr>
        <w:t>Para el gestor de cartera, conocer este marco no es opcional, porque cada acción de seguimiento, cobranza, reestructuración o reporte debe realizarse conforme a las reglas establecidas por la ley y por los organismos de control. Actuar por fuera de estas disposiciones puede generar sanciones para la entidad y afectar los derechos del deudor.</w:t>
      </w:r>
    </w:p>
    <w:p w14:paraId="2C3A6D48" w14:textId="77777777" w:rsidR="001870A6" w:rsidRPr="001870A6" w:rsidRDefault="001870A6" w:rsidP="001870A6">
      <w:pPr>
        <w:rPr>
          <w:lang w:val="es-419" w:eastAsia="es-CO"/>
        </w:rPr>
      </w:pPr>
      <w:r w:rsidRPr="001870A6">
        <w:rPr>
          <w:lang w:val="es-419" w:eastAsia="es-CO"/>
        </w:rPr>
        <w:t>Asimismo, la normativa permite que la gestión de cartera se realice con criterios técnicos, transparencia y seguridad jurídica. Su aplicación adecuada ayuda a prevenir prácticas indebidas, sustentar decisiones de recuperación y garantizar que las obligaciones crediticias se administren de acuerdo con las condiciones pactadas y los límites legales vigentes.</w:t>
      </w:r>
    </w:p>
    <w:p w14:paraId="587F3667" w14:textId="77777777" w:rsidR="001870A6" w:rsidRPr="001870A6" w:rsidRDefault="001870A6" w:rsidP="001870A6">
      <w:pPr>
        <w:rPr>
          <w:lang w:val="es-419" w:eastAsia="es-CO"/>
        </w:rPr>
      </w:pPr>
      <w:r w:rsidRPr="001870A6">
        <w:rPr>
          <w:lang w:val="es-419" w:eastAsia="es-CO"/>
        </w:rPr>
        <w:t>Las normas del sistema financiero colombiano con mayor relevancia para la gestión de cartera se abordan a continuación:</w:t>
      </w:r>
    </w:p>
    <w:p w14:paraId="2356DFB1" w14:textId="273F4A97" w:rsidR="001870A6" w:rsidRPr="001870A6" w:rsidRDefault="001870A6" w:rsidP="00C52DBF">
      <w:pPr>
        <w:pStyle w:val="Prrafodelista"/>
        <w:numPr>
          <w:ilvl w:val="0"/>
          <w:numId w:val="14"/>
        </w:numPr>
        <w:rPr>
          <w:lang w:val="es-419" w:eastAsia="es-CO"/>
        </w:rPr>
      </w:pPr>
      <w:r w:rsidRPr="001870A6">
        <w:rPr>
          <w:b/>
          <w:bCs/>
          <w:lang w:val="es-419" w:eastAsia="es-CO"/>
        </w:rPr>
        <w:t>Estatuto Orgánico del Sistema Financiero:</w:t>
      </w:r>
      <w:r w:rsidRPr="001870A6">
        <w:rPr>
          <w:lang w:val="es-419" w:eastAsia="es-CO"/>
        </w:rPr>
        <w:t xml:space="preserve"> norma base que define la estructura, los límites y las operaciones autorizadas para las entidades del sistema financiero colombiano.</w:t>
      </w:r>
    </w:p>
    <w:p w14:paraId="56D04DB6" w14:textId="6A29D992" w:rsidR="001870A6" w:rsidRPr="001870A6" w:rsidRDefault="001870A6" w:rsidP="00C52DBF">
      <w:pPr>
        <w:pStyle w:val="Prrafodelista"/>
        <w:numPr>
          <w:ilvl w:val="0"/>
          <w:numId w:val="14"/>
        </w:numPr>
        <w:rPr>
          <w:lang w:val="es-419" w:eastAsia="es-CO"/>
        </w:rPr>
      </w:pPr>
      <w:r w:rsidRPr="001870A6">
        <w:rPr>
          <w:b/>
          <w:bCs/>
          <w:lang w:val="es-419" w:eastAsia="es-CO"/>
        </w:rPr>
        <w:t>Circular Básica Contable y Financiera:</w:t>
      </w:r>
      <w:r w:rsidRPr="001870A6">
        <w:rPr>
          <w:lang w:val="es-419" w:eastAsia="es-CO"/>
        </w:rPr>
        <w:t xml:space="preserve"> instrumento técnico que regula la clasificación, calificación y provisionamiento de la cartera de créditos.</w:t>
      </w:r>
    </w:p>
    <w:p w14:paraId="104212BE" w14:textId="4EE8AA99" w:rsidR="001870A6" w:rsidRPr="001870A6" w:rsidRDefault="001870A6" w:rsidP="00C52DBF">
      <w:pPr>
        <w:pStyle w:val="Prrafodelista"/>
        <w:numPr>
          <w:ilvl w:val="0"/>
          <w:numId w:val="14"/>
        </w:numPr>
        <w:rPr>
          <w:lang w:val="es-419" w:eastAsia="es-CO"/>
        </w:rPr>
      </w:pPr>
      <w:r w:rsidRPr="001870A6">
        <w:rPr>
          <w:b/>
          <w:bCs/>
          <w:lang w:val="es-419" w:eastAsia="es-CO"/>
        </w:rPr>
        <w:lastRenderedPageBreak/>
        <w:t>Sistema de Administración del Riesgo Crediticio:</w:t>
      </w:r>
      <w:r w:rsidRPr="001870A6">
        <w:rPr>
          <w:lang w:val="es-419" w:eastAsia="es-CO"/>
        </w:rPr>
        <w:t xml:space="preserve"> conjunto de políticas y procedimientos que las entidades deben implementar para identificar, medir y controlar el riesgo de sus portafolios.</w:t>
      </w:r>
    </w:p>
    <w:p w14:paraId="51D5AB69" w14:textId="72E4CF12" w:rsidR="001870A6" w:rsidRPr="001870A6" w:rsidRDefault="001870A6" w:rsidP="00C52DBF">
      <w:pPr>
        <w:pStyle w:val="Prrafodelista"/>
        <w:numPr>
          <w:ilvl w:val="0"/>
          <w:numId w:val="14"/>
        </w:numPr>
        <w:rPr>
          <w:lang w:val="es-419" w:eastAsia="es-CO"/>
        </w:rPr>
      </w:pPr>
      <w:r w:rsidRPr="001870A6">
        <w:rPr>
          <w:b/>
          <w:bCs/>
          <w:lang w:val="es-419" w:eastAsia="es-CO"/>
        </w:rPr>
        <w:t>Normas sobre tasas de interés y usura:</w:t>
      </w:r>
      <w:r w:rsidRPr="001870A6">
        <w:rPr>
          <w:lang w:val="es-419" w:eastAsia="es-CO"/>
        </w:rPr>
        <w:t xml:space="preserve"> regulaciones que establecen los límites máximos al cobro de intereses en las operaciones crediticias.</w:t>
      </w:r>
    </w:p>
    <w:p w14:paraId="0D1DB151" w14:textId="025895BD" w:rsidR="001870A6" w:rsidRPr="001870A6" w:rsidRDefault="001870A6" w:rsidP="00C52DBF">
      <w:pPr>
        <w:pStyle w:val="Prrafodelista"/>
        <w:numPr>
          <w:ilvl w:val="0"/>
          <w:numId w:val="14"/>
        </w:numPr>
        <w:rPr>
          <w:lang w:val="es-419" w:eastAsia="es-CO"/>
        </w:rPr>
      </w:pPr>
      <w:r w:rsidRPr="001870A6">
        <w:rPr>
          <w:b/>
          <w:bCs/>
          <w:lang w:val="es-419" w:eastAsia="es-CO"/>
        </w:rPr>
        <w:t>Protección al consumidor financiero:</w:t>
      </w:r>
      <w:r w:rsidRPr="001870A6">
        <w:rPr>
          <w:lang w:val="es-419" w:eastAsia="es-CO"/>
        </w:rPr>
        <w:t xml:space="preserve"> estatuto que establece los derechos y garantías de los usuarios del sistema financiero durante el proceso de cobranza.</w:t>
      </w:r>
    </w:p>
    <w:p w14:paraId="09FBB774" w14:textId="176F3FD8" w:rsidR="001870A6" w:rsidRDefault="001870A6" w:rsidP="001870A6">
      <w:pPr>
        <w:rPr>
          <w:lang w:val="es-419" w:eastAsia="es-CO"/>
        </w:rPr>
      </w:pPr>
      <w:r w:rsidRPr="001870A6">
        <w:rPr>
          <w:lang w:val="es-419" w:eastAsia="es-CO"/>
        </w:rPr>
        <w:t>El conocimiento integrado de estas normas permite al gestor de cartera actuar con precisión técnica y seguridad jurídica en cada etapa del proceso de recuperación. Para comprender su aplicación, se inicia con el Estatuto Orgánico del Sistema Financiero, norma que establece las bases generales de organización y funcionamiento del sistema financiero colombiano.</w:t>
      </w:r>
    </w:p>
    <w:p w14:paraId="21F1073B" w14:textId="77777777" w:rsidR="001707A3" w:rsidRPr="001870A6" w:rsidRDefault="001707A3" w:rsidP="001870A6">
      <w:pPr>
        <w:rPr>
          <w:lang w:val="es-419" w:eastAsia="es-CO"/>
        </w:rPr>
      </w:pPr>
    </w:p>
    <w:p w14:paraId="3DF07D6F" w14:textId="3D7CBE92" w:rsidR="0060074A" w:rsidRDefault="0060074A" w:rsidP="0060074A">
      <w:pPr>
        <w:pStyle w:val="Ttulo2"/>
      </w:pPr>
      <w:bookmarkStart w:id="14" w:name="_Toc232493838"/>
      <w:r w:rsidRPr="0060074A">
        <w:t>Estatuto orgánico del sistema financiero</w:t>
      </w:r>
      <w:bookmarkEnd w:id="14"/>
    </w:p>
    <w:p w14:paraId="0B88779B" w14:textId="77777777" w:rsidR="001870A6" w:rsidRPr="001870A6" w:rsidRDefault="001870A6" w:rsidP="001870A6">
      <w:pPr>
        <w:rPr>
          <w:lang w:val="es-419" w:eastAsia="es-CO"/>
        </w:rPr>
      </w:pPr>
      <w:r w:rsidRPr="001870A6">
        <w:rPr>
          <w:lang w:val="es-419" w:eastAsia="es-CO"/>
        </w:rPr>
        <w:t>El Decreto 663 de 1993, conocido como el Estatuto Orgánico del Sistema Financiero (EOSF), es la norma de mayor jerarquía en la regulación del sistema financiero colombiano después de la Constitución. Compila las disposiciones legales fundamentales sobre la estructura, las operaciones autorizadas y los límites de actuación de las instituciones financieras vigiladas por la Superintendencia Financiera.</w:t>
      </w:r>
    </w:p>
    <w:p w14:paraId="0D61209F" w14:textId="77777777" w:rsidR="001870A6" w:rsidRPr="001870A6" w:rsidRDefault="001870A6" w:rsidP="001870A6">
      <w:pPr>
        <w:rPr>
          <w:lang w:val="es-419" w:eastAsia="es-CO"/>
        </w:rPr>
      </w:pPr>
      <w:r w:rsidRPr="001870A6">
        <w:rPr>
          <w:lang w:val="es-419" w:eastAsia="es-CO"/>
        </w:rPr>
        <w:t xml:space="preserve">Asimismo, el EOSF no solo define qué puede hacer cada tipo de entidad financiera, también establece los mecanismos de supervisión, las facultades </w:t>
      </w:r>
      <w:r w:rsidRPr="001870A6">
        <w:rPr>
          <w:lang w:val="es-419" w:eastAsia="es-CO"/>
        </w:rPr>
        <w:lastRenderedPageBreak/>
        <w:t>sancionatorias del regulador y las reglas generales sobre operaciones activas de crédito, que son las que generan la cartera que el gestor administra.</w:t>
      </w:r>
    </w:p>
    <w:p w14:paraId="7935E19B" w14:textId="77777777" w:rsidR="001870A6" w:rsidRPr="001870A6" w:rsidRDefault="001870A6" w:rsidP="001870A6">
      <w:pPr>
        <w:rPr>
          <w:lang w:val="es-419" w:eastAsia="es-CO"/>
        </w:rPr>
      </w:pPr>
      <w:r w:rsidRPr="001870A6">
        <w:rPr>
          <w:lang w:val="es-419" w:eastAsia="es-CO"/>
        </w:rPr>
        <w:t>Las disposiciones del EOSF más relevantes para la gestión de cartera son las siguientes:</w:t>
      </w:r>
    </w:p>
    <w:p w14:paraId="231CE96D" w14:textId="43C3AAEA" w:rsidR="001870A6" w:rsidRPr="001870A6" w:rsidRDefault="001870A6" w:rsidP="00C52DBF">
      <w:pPr>
        <w:pStyle w:val="Prrafodelista"/>
        <w:numPr>
          <w:ilvl w:val="0"/>
          <w:numId w:val="15"/>
        </w:numPr>
        <w:rPr>
          <w:lang w:val="es-419" w:eastAsia="es-CO"/>
        </w:rPr>
      </w:pPr>
      <w:r w:rsidRPr="001870A6">
        <w:rPr>
          <w:b/>
          <w:bCs/>
          <w:lang w:val="es-419" w:eastAsia="es-CO"/>
        </w:rPr>
        <w:t>Operaciones activas de crédito:</w:t>
      </w:r>
      <w:r w:rsidRPr="001870A6">
        <w:rPr>
          <w:lang w:val="es-419" w:eastAsia="es-CO"/>
        </w:rPr>
        <w:t xml:space="preserve"> el EOSF define y regula los préstamos, descuentos, operaciones de </w:t>
      </w:r>
      <w:r w:rsidRPr="001707A3">
        <w:rPr>
          <w:rStyle w:val="Extranjerismo"/>
        </w:rPr>
        <w:t xml:space="preserve">leasing </w:t>
      </w:r>
      <w:r w:rsidRPr="001870A6">
        <w:rPr>
          <w:lang w:val="es-419" w:eastAsia="es-CO"/>
        </w:rPr>
        <w:t xml:space="preserve">y </w:t>
      </w:r>
      <w:r w:rsidRPr="001707A3">
        <w:rPr>
          <w:rStyle w:val="Extranjerismo"/>
        </w:rPr>
        <w:t>factoring</w:t>
      </w:r>
      <w:r w:rsidRPr="001870A6">
        <w:rPr>
          <w:lang w:val="es-419" w:eastAsia="es-CO"/>
        </w:rPr>
        <w:t xml:space="preserve"> que las entidades pueden realizar. Esta regulación determina qué tipos de crédito puede otorgar cada entidad y en qué condiciones, lo que define el universo de obligaciones que el gestor puede administrar.</w:t>
      </w:r>
    </w:p>
    <w:p w14:paraId="2733C6A7" w14:textId="5E385CB0" w:rsidR="001870A6" w:rsidRPr="001870A6" w:rsidRDefault="001870A6" w:rsidP="00C52DBF">
      <w:pPr>
        <w:pStyle w:val="Prrafodelista"/>
        <w:numPr>
          <w:ilvl w:val="0"/>
          <w:numId w:val="15"/>
        </w:numPr>
        <w:rPr>
          <w:lang w:val="es-419" w:eastAsia="es-CO"/>
        </w:rPr>
      </w:pPr>
      <w:r w:rsidRPr="001870A6">
        <w:rPr>
          <w:b/>
          <w:bCs/>
          <w:lang w:val="es-419" w:eastAsia="es-CO"/>
        </w:rPr>
        <w:t>Límites de endeudamiento:</w:t>
      </w:r>
      <w:r w:rsidRPr="001870A6">
        <w:rPr>
          <w:lang w:val="es-419" w:eastAsia="es-CO"/>
        </w:rPr>
        <w:t xml:space="preserve"> el estatuto establece los cupos individuales máximos de endeudamiento para evitar la concentración de riesgo en un solo deudor o grupo económico. El gestor debe conocer estos límites para identificar si una obligación de alto valor requiere tratamiento diferenciado.</w:t>
      </w:r>
    </w:p>
    <w:p w14:paraId="0858B629" w14:textId="47052DA0" w:rsidR="001870A6" w:rsidRPr="001870A6" w:rsidRDefault="001870A6" w:rsidP="00C52DBF">
      <w:pPr>
        <w:pStyle w:val="Prrafodelista"/>
        <w:numPr>
          <w:ilvl w:val="0"/>
          <w:numId w:val="15"/>
        </w:numPr>
        <w:rPr>
          <w:lang w:val="es-419" w:eastAsia="es-CO"/>
        </w:rPr>
      </w:pPr>
      <w:r w:rsidRPr="001870A6">
        <w:rPr>
          <w:b/>
          <w:bCs/>
          <w:lang w:val="es-419" w:eastAsia="es-CO"/>
        </w:rPr>
        <w:t>Garantías admisibles:</w:t>
      </w:r>
      <w:r w:rsidRPr="001870A6">
        <w:rPr>
          <w:lang w:val="es-419" w:eastAsia="es-CO"/>
        </w:rPr>
        <w:t xml:space="preserve"> regula qué tipos de garantías pueden aceptar las entidades para respaldar sus operaciones de crédito. El conocimiento de la garantía asociada a cada obligación es fundamental para el gestor, porque determina las opciones de recuperación disponibles en caso de incumplimiento definitivo.</w:t>
      </w:r>
    </w:p>
    <w:p w14:paraId="4E50ECEE" w14:textId="0D01F36D" w:rsidR="001870A6" w:rsidRPr="001870A6" w:rsidRDefault="001870A6" w:rsidP="00C52DBF">
      <w:pPr>
        <w:pStyle w:val="Prrafodelista"/>
        <w:numPr>
          <w:ilvl w:val="0"/>
          <w:numId w:val="15"/>
        </w:numPr>
        <w:rPr>
          <w:lang w:val="es-419" w:eastAsia="es-CO"/>
        </w:rPr>
      </w:pPr>
      <w:r w:rsidRPr="001870A6">
        <w:rPr>
          <w:b/>
          <w:bCs/>
          <w:lang w:val="es-419" w:eastAsia="es-CO"/>
        </w:rPr>
        <w:t>Secreto bancario:</w:t>
      </w:r>
      <w:r w:rsidRPr="001870A6">
        <w:rPr>
          <w:lang w:val="es-419" w:eastAsia="es-CO"/>
        </w:rPr>
        <w:t xml:space="preserve"> el EOSF establece la obligación de confidencialidad sobre la información financiera de los clientes. El gestor de cartera está sujeto a esta obligación y debe abstenerse de revelar información de las obligaciones a personas no autorizadas.</w:t>
      </w:r>
    </w:p>
    <w:p w14:paraId="75A7C466" w14:textId="37865030" w:rsidR="001870A6" w:rsidRDefault="001870A6" w:rsidP="001870A6">
      <w:pPr>
        <w:rPr>
          <w:lang w:val="es-419" w:eastAsia="es-CO"/>
        </w:rPr>
      </w:pPr>
      <w:r w:rsidRPr="001870A6">
        <w:rPr>
          <w:lang w:val="es-419" w:eastAsia="es-CO"/>
        </w:rPr>
        <w:lastRenderedPageBreak/>
        <w:t>El conocimiento del EOSF le permite al gestor comprender el marco legal dentro del cual opera su entidad y los límites que esa normativa impone a las gestiones de cobranza. Sin embargo, las reglas operativas más específicas para la gestión cotidiana de la cartera se encuentran en la Circular Básica Contable y Financiera, que se aborda en el siguiente subtema.</w:t>
      </w:r>
    </w:p>
    <w:p w14:paraId="36BF1C07" w14:textId="77777777" w:rsidR="001707A3" w:rsidRPr="001870A6" w:rsidRDefault="001707A3" w:rsidP="001870A6">
      <w:pPr>
        <w:rPr>
          <w:lang w:val="es-419" w:eastAsia="es-CO"/>
        </w:rPr>
      </w:pPr>
    </w:p>
    <w:p w14:paraId="4E08DC65" w14:textId="649E3098" w:rsidR="0060074A" w:rsidRDefault="0060074A" w:rsidP="0060074A">
      <w:pPr>
        <w:pStyle w:val="Ttulo2"/>
      </w:pPr>
      <w:bookmarkStart w:id="15" w:name="_Toc232493839"/>
      <w:r w:rsidRPr="0060074A">
        <w:t>Circular Básica Contable y Financiera (CBCF)</w:t>
      </w:r>
      <w:bookmarkEnd w:id="15"/>
    </w:p>
    <w:p w14:paraId="1C809159" w14:textId="77777777" w:rsidR="001870A6" w:rsidRPr="001870A6" w:rsidRDefault="001870A6" w:rsidP="001870A6">
      <w:pPr>
        <w:rPr>
          <w:lang w:val="es-419" w:eastAsia="es-CO"/>
        </w:rPr>
      </w:pPr>
      <w:r w:rsidRPr="001870A6">
        <w:rPr>
          <w:lang w:val="es-419" w:eastAsia="es-CO"/>
        </w:rPr>
        <w:t>La Circular Básica Contable y Financiera (CBCF) es el instrumento técnico mediante el cual la Superintendencia Financiera de Colombia regula los aspectos contables, financieros y de riesgo de las entidades vigiladas. Es la norma que con mayor frecuencia impacta el trabajo cotidiano del gestor de cartera, porque establece los criterios precisos para clasificar, calificar y provisionar cada obligación del portafolio.</w:t>
      </w:r>
    </w:p>
    <w:p w14:paraId="0B54B5D6" w14:textId="77777777" w:rsidR="001870A6" w:rsidRPr="001870A6" w:rsidRDefault="001870A6" w:rsidP="001870A6">
      <w:pPr>
        <w:rPr>
          <w:lang w:val="es-419" w:eastAsia="es-CO"/>
        </w:rPr>
      </w:pPr>
      <w:r w:rsidRPr="001870A6">
        <w:rPr>
          <w:lang w:val="es-419" w:eastAsia="es-CO"/>
        </w:rPr>
        <w:t>Asimismo, la CBCF se actualiza periódicamente para incorporar cambios en la normativa internacional de gestión de riesgos y para corregir aspectos identificados en los procesos de supervisión. El gestor de cartera debe mantenerse informado sobre estas actualizaciones, porque pueden modificar los porcentajes de provisión aplicables o los criterios de clasificación de riesgo que utiliza en su trabajo diario.</w:t>
      </w:r>
    </w:p>
    <w:p w14:paraId="1C2C87D3" w14:textId="77777777" w:rsidR="001870A6" w:rsidRPr="001870A6" w:rsidRDefault="001870A6" w:rsidP="001870A6">
      <w:pPr>
        <w:rPr>
          <w:lang w:val="es-419" w:eastAsia="es-CO"/>
        </w:rPr>
      </w:pPr>
      <w:r w:rsidRPr="001870A6">
        <w:rPr>
          <w:lang w:val="es-419" w:eastAsia="es-CO"/>
        </w:rPr>
        <w:t>El Capítulo II de la CBCF, que regula la gestión del riesgo crediticio, establece los siguientes elementos fundamentales para la gestión de cartera:</w:t>
      </w:r>
    </w:p>
    <w:p w14:paraId="73637301" w14:textId="5689486C" w:rsidR="001870A6" w:rsidRPr="001870A6" w:rsidRDefault="001870A6" w:rsidP="00C52DBF">
      <w:pPr>
        <w:pStyle w:val="Prrafodelista"/>
        <w:numPr>
          <w:ilvl w:val="0"/>
          <w:numId w:val="16"/>
        </w:numPr>
        <w:rPr>
          <w:lang w:val="es-419" w:eastAsia="es-CO"/>
        </w:rPr>
      </w:pPr>
      <w:r w:rsidRPr="006B72E5">
        <w:rPr>
          <w:b/>
          <w:bCs/>
          <w:lang w:val="es-419" w:eastAsia="es-CO"/>
        </w:rPr>
        <w:t>Criterios de clasificación por modalidad:</w:t>
      </w:r>
      <w:r w:rsidRPr="001870A6">
        <w:rPr>
          <w:lang w:val="es-419" w:eastAsia="es-CO"/>
        </w:rPr>
        <w:t xml:space="preserve"> define cómo se clasifican las obligaciones en las cuatro modalidades de cartera (consumo, comercial, hipotecario y microcrédito) y establece las reglas para migrar un crédito de una modalidad a otra cuando cambia el destino del recurso.</w:t>
      </w:r>
    </w:p>
    <w:p w14:paraId="493FE6E6" w14:textId="7A431911" w:rsidR="001870A6" w:rsidRPr="006B72E5" w:rsidRDefault="001870A6" w:rsidP="00C52DBF">
      <w:pPr>
        <w:pStyle w:val="Prrafodelista"/>
        <w:numPr>
          <w:ilvl w:val="0"/>
          <w:numId w:val="16"/>
        </w:numPr>
        <w:rPr>
          <w:lang w:val="es-419" w:eastAsia="es-CO"/>
        </w:rPr>
      </w:pPr>
      <w:r w:rsidRPr="006B72E5">
        <w:rPr>
          <w:b/>
          <w:bCs/>
          <w:lang w:val="es-419" w:eastAsia="es-CO"/>
        </w:rPr>
        <w:lastRenderedPageBreak/>
        <w:t>Categorías de riesgo:</w:t>
      </w:r>
      <w:r w:rsidRPr="006B72E5">
        <w:rPr>
          <w:lang w:val="es-419" w:eastAsia="es-CO"/>
        </w:rPr>
        <w:t xml:space="preserve"> establece las cinco categorías de calificación (A </w:t>
      </w:r>
      <w:proofErr w:type="spellStart"/>
      <w:r w:rsidRPr="006B72E5">
        <w:rPr>
          <w:lang w:val="es-419" w:eastAsia="es-CO"/>
        </w:rPr>
        <w:t>a</w:t>
      </w:r>
      <w:proofErr w:type="spellEnd"/>
      <w:r w:rsidRPr="006B72E5">
        <w:rPr>
          <w:lang w:val="es-419" w:eastAsia="es-CO"/>
        </w:rPr>
        <w:t xml:space="preserve"> E) con sus respectivos criterios de días de mora, perfil del deudor y perspectivas de recuperación, así como los porcentajes de provisión individual requeridos para cada categoría.</w:t>
      </w:r>
    </w:p>
    <w:p w14:paraId="3389D102" w14:textId="380871AC" w:rsidR="001870A6" w:rsidRPr="006B72E5" w:rsidRDefault="001870A6" w:rsidP="00C52DBF">
      <w:pPr>
        <w:pStyle w:val="Prrafodelista"/>
        <w:numPr>
          <w:ilvl w:val="0"/>
          <w:numId w:val="16"/>
        </w:numPr>
        <w:rPr>
          <w:lang w:val="es-419" w:eastAsia="es-CO"/>
        </w:rPr>
      </w:pPr>
      <w:r w:rsidRPr="006B72E5">
        <w:rPr>
          <w:b/>
          <w:bCs/>
          <w:lang w:val="es-419" w:eastAsia="es-CO"/>
        </w:rPr>
        <w:t>Reglas de calificación:</w:t>
      </w:r>
      <w:r w:rsidRPr="006B72E5">
        <w:rPr>
          <w:lang w:val="es-419" w:eastAsia="es-CO"/>
        </w:rPr>
        <w:t xml:space="preserve"> define cuándo una entidad está obligada a reclasificar una obligación a una categoría de mayor riesgo y en qué circunstancias puede reclasificarla a una categoría de menor riesgo, estableciendo condiciones mínimas de comportamiento que el deudor debe demostrar.</w:t>
      </w:r>
    </w:p>
    <w:p w14:paraId="49241032" w14:textId="3B4813EB" w:rsidR="001870A6" w:rsidRPr="006B72E5" w:rsidRDefault="001870A6" w:rsidP="00C52DBF">
      <w:pPr>
        <w:pStyle w:val="Prrafodelista"/>
        <w:numPr>
          <w:ilvl w:val="0"/>
          <w:numId w:val="16"/>
        </w:numPr>
        <w:rPr>
          <w:lang w:val="es-419" w:eastAsia="es-CO"/>
        </w:rPr>
      </w:pPr>
      <w:r w:rsidRPr="006B72E5">
        <w:rPr>
          <w:b/>
          <w:bCs/>
          <w:lang w:val="es-419" w:eastAsia="es-CO"/>
        </w:rPr>
        <w:t>Normas de reporte:</w:t>
      </w:r>
      <w:r w:rsidRPr="006B72E5">
        <w:rPr>
          <w:lang w:val="es-419" w:eastAsia="es-CO"/>
        </w:rPr>
        <w:t xml:space="preserve"> establece los formatos, plazos y contenidos de la información que las entidades deben transmitir periódicamente a la Superintendencia Financiera sobre el estado de su cartera, sus provisiones y sus indicadores de calidad.</w:t>
      </w:r>
    </w:p>
    <w:p w14:paraId="078E192C" w14:textId="77777777" w:rsidR="001870A6" w:rsidRPr="001870A6" w:rsidRDefault="001870A6" w:rsidP="001870A6">
      <w:pPr>
        <w:rPr>
          <w:lang w:val="es-419" w:eastAsia="es-CO"/>
        </w:rPr>
      </w:pPr>
      <w:r w:rsidRPr="001870A6">
        <w:rPr>
          <w:lang w:val="es-419" w:eastAsia="es-CO"/>
        </w:rPr>
        <w:t>La comprensión del Capítulo II de la CBCF es una competencia técnica esencial para el gestor de cartera, porque le permite interpretar correctamente los criterios de calificación de riesgo que su entidad aplica, comprender por qué se exigen determinadas provisiones para cada obligación y verificar que las gestiones que realiza están alineadas con los parámetros del regulador.</w:t>
      </w:r>
    </w:p>
    <w:p w14:paraId="23BB21D8" w14:textId="716859A4" w:rsidR="001870A6" w:rsidRPr="001870A6" w:rsidRDefault="001870A6" w:rsidP="001870A6">
      <w:pPr>
        <w:rPr>
          <w:lang w:val="es-419" w:eastAsia="es-CO"/>
        </w:rPr>
      </w:pPr>
      <w:r w:rsidRPr="001870A6">
        <w:rPr>
          <w:lang w:val="es-419" w:eastAsia="es-CO"/>
        </w:rPr>
        <w:t>Una vez comprendida la Circular Básica Contable y Financiera como instrumento de regulación de la cartera, corresponde revisar el sistema que las entidades deben implementar para aplicar esa normativa de manera integral: el Sistema de Administración del Riesgo Crediticio.</w:t>
      </w:r>
    </w:p>
    <w:p w14:paraId="44FBFD10" w14:textId="2C2B7095" w:rsidR="0060074A" w:rsidRDefault="0060074A" w:rsidP="0060074A">
      <w:pPr>
        <w:pStyle w:val="Ttulo2"/>
      </w:pPr>
      <w:bookmarkStart w:id="16" w:name="_Toc232493840"/>
      <w:r w:rsidRPr="0060074A">
        <w:lastRenderedPageBreak/>
        <w:t>Sistema de Administración del Riesgo Crediticio (SARC)</w:t>
      </w:r>
      <w:bookmarkEnd w:id="16"/>
    </w:p>
    <w:p w14:paraId="3E668514" w14:textId="77777777" w:rsidR="006B72E5" w:rsidRPr="006B72E5" w:rsidRDefault="006B72E5" w:rsidP="006B72E5">
      <w:pPr>
        <w:rPr>
          <w:lang w:val="es-419" w:eastAsia="es-CO"/>
        </w:rPr>
      </w:pPr>
      <w:r w:rsidRPr="006B72E5">
        <w:rPr>
          <w:lang w:val="es-419" w:eastAsia="es-CO"/>
        </w:rPr>
        <w:t>El Sistema de Administración del Riesgo Crediticio (SARC) es el conjunto de políticas, procedimientos, modelos y controles que cada entidad financiera debe implementar para identificar, medir, controlar y monitorear el riesgo de crédito de su portafolio. Su implementación es obligatoria para todas las entidades vigiladas por la Superintendencia Financiera y su efectividad es evaluada en las visitas de inspección.</w:t>
      </w:r>
    </w:p>
    <w:p w14:paraId="32BE0ABC" w14:textId="77777777" w:rsidR="006B72E5" w:rsidRPr="006B72E5" w:rsidRDefault="006B72E5" w:rsidP="006B72E5">
      <w:pPr>
        <w:rPr>
          <w:lang w:val="es-419" w:eastAsia="es-CO"/>
        </w:rPr>
      </w:pPr>
      <w:r w:rsidRPr="006B72E5">
        <w:rPr>
          <w:lang w:val="es-419" w:eastAsia="es-CO"/>
        </w:rPr>
        <w:t>Asimismo, el SARC no es solo un requisito regulatorio formal, sino el marco que organiza los criterios técnicos para cada etapa del crédito, desde su otorgamiento hasta su recuperación. Una entidad con un SARC implementado cuenta con reglas claras para aprobar créditos, monitorear su comportamiento y gestionar su recuperación, lo que reduce las decisiones improvisadas y fortalece la calidad de la gestión de cartera.</w:t>
      </w:r>
    </w:p>
    <w:p w14:paraId="26A3C45C" w14:textId="77777777" w:rsidR="006B72E5" w:rsidRPr="006B72E5" w:rsidRDefault="006B72E5" w:rsidP="006B72E5">
      <w:pPr>
        <w:rPr>
          <w:lang w:val="es-419" w:eastAsia="es-CO"/>
        </w:rPr>
      </w:pPr>
      <w:r w:rsidRPr="006B72E5">
        <w:rPr>
          <w:lang w:val="es-419" w:eastAsia="es-CO"/>
        </w:rPr>
        <w:t>Los cuatro componentes fundamentales del SARC que toda entidad financiera debe implementar son los siguientes:</w:t>
      </w:r>
    </w:p>
    <w:p w14:paraId="73B0C487" w14:textId="3D4260FE" w:rsidR="006B72E5" w:rsidRPr="006B72E5" w:rsidRDefault="006B72E5" w:rsidP="00C52DBF">
      <w:pPr>
        <w:pStyle w:val="Prrafodelista"/>
        <w:numPr>
          <w:ilvl w:val="0"/>
          <w:numId w:val="17"/>
        </w:numPr>
        <w:rPr>
          <w:lang w:val="es-419" w:eastAsia="es-CO"/>
        </w:rPr>
      </w:pPr>
      <w:r w:rsidRPr="006B72E5">
        <w:rPr>
          <w:b/>
          <w:bCs/>
          <w:lang w:val="es-419" w:eastAsia="es-CO"/>
        </w:rPr>
        <w:t>Políticas de administración del riesgo crediticio:</w:t>
      </w:r>
      <w:r w:rsidRPr="006B72E5">
        <w:rPr>
          <w:lang w:val="es-419" w:eastAsia="es-CO"/>
        </w:rPr>
        <w:t xml:space="preserve"> establece los criterios generales para el otorgamiento, seguimiento y recuperación de créditos, así como los límites de concentración de riesgo y los parámetros de apetito de riesgo de la entidad. Estas políticas deben ser aprobadas por la Junta Directiva y revisadas periódicamente.</w:t>
      </w:r>
    </w:p>
    <w:p w14:paraId="5F705757" w14:textId="2949A3CA" w:rsidR="006B72E5" w:rsidRPr="006B72E5" w:rsidRDefault="006B72E5" w:rsidP="00C52DBF">
      <w:pPr>
        <w:pStyle w:val="Prrafodelista"/>
        <w:numPr>
          <w:ilvl w:val="0"/>
          <w:numId w:val="17"/>
        </w:numPr>
        <w:rPr>
          <w:lang w:val="es-419" w:eastAsia="es-CO"/>
        </w:rPr>
      </w:pPr>
      <w:r w:rsidRPr="006B72E5">
        <w:rPr>
          <w:b/>
          <w:bCs/>
          <w:lang w:val="es-419" w:eastAsia="es-CO"/>
        </w:rPr>
        <w:t>Procesos de administración del riesgo crediticio:</w:t>
      </w:r>
      <w:r w:rsidRPr="006B72E5">
        <w:rPr>
          <w:lang w:val="es-419" w:eastAsia="es-CO"/>
        </w:rPr>
        <w:t xml:space="preserve"> comprende los procedimientos documentados para cada etapa del ciclo de crédito, desde la solicitud hasta la recuperación, incluyendo los mecanismos de control en cada fase. El gestor de cartera debe conocer y aplicar los procedimientos de seguimiento y recuperación establecidos en este componente.</w:t>
      </w:r>
    </w:p>
    <w:p w14:paraId="73D39ED0" w14:textId="1BD58684" w:rsidR="006B72E5" w:rsidRPr="006B72E5" w:rsidRDefault="006B72E5" w:rsidP="001707A3">
      <w:pPr>
        <w:ind w:left="1416" w:firstLine="1"/>
        <w:rPr>
          <w:lang w:val="es-419" w:eastAsia="es-CO"/>
        </w:rPr>
      </w:pPr>
      <w:r w:rsidRPr="006B72E5">
        <w:rPr>
          <w:lang w:val="es-419" w:eastAsia="es-CO"/>
        </w:rPr>
        <w:lastRenderedPageBreak/>
        <w:t>Ejemplo: la entidad tiene definido en sus procesos del SARC que los créditos con mora entre 30 y 60 días reciben gestión telefónica; entre 61 y 90 días, gestión de campo; y con mora superior a 90 días, remisión al área jurídica. El gestor debe seguir este procedimiento en cada caso de su portafolio.</w:t>
      </w:r>
    </w:p>
    <w:p w14:paraId="18807538" w14:textId="433B760D" w:rsidR="006B72E5" w:rsidRPr="006B72E5" w:rsidRDefault="006B72E5" w:rsidP="00C52DBF">
      <w:pPr>
        <w:pStyle w:val="Prrafodelista"/>
        <w:numPr>
          <w:ilvl w:val="0"/>
          <w:numId w:val="18"/>
        </w:numPr>
        <w:rPr>
          <w:lang w:val="es-419" w:eastAsia="es-CO"/>
        </w:rPr>
      </w:pPr>
      <w:r w:rsidRPr="006B72E5">
        <w:rPr>
          <w:b/>
          <w:bCs/>
          <w:lang w:val="es-419" w:eastAsia="es-CO"/>
        </w:rPr>
        <w:t>Modelos internos de referencia y sistemas de provisiones:</w:t>
      </w:r>
      <w:r w:rsidRPr="006B72E5">
        <w:rPr>
          <w:lang w:val="es-419" w:eastAsia="es-CO"/>
        </w:rPr>
        <w:t xml:space="preserve"> son los instrumentos técnicos mediante los cuales la entidad mide el riesgo de cada obligación y calcula las provisiones correspondientes, conforme a los criterios de la CBCF. Estos modelos pueden ser los modelos de referencia de la SFC o modelos propios aprobados por el regulador.</w:t>
      </w:r>
    </w:p>
    <w:p w14:paraId="131DAF4D" w14:textId="6A8EC510" w:rsidR="006B72E5" w:rsidRPr="006B72E5" w:rsidRDefault="006B72E5" w:rsidP="00C52DBF">
      <w:pPr>
        <w:pStyle w:val="Prrafodelista"/>
        <w:numPr>
          <w:ilvl w:val="0"/>
          <w:numId w:val="18"/>
        </w:numPr>
        <w:rPr>
          <w:lang w:val="es-419" w:eastAsia="es-CO"/>
        </w:rPr>
      </w:pPr>
      <w:r w:rsidRPr="006B72E5">
        <w:rPr>
          <w:b/>
          <w:bCs/>
          <w:lang w:val="es-419" w:eastAsia="es-CO"/>
        </w:rPr>
        <w:t>Sistemas de control interno:</w:t>
      </w:r>
      <w:r w:rsidRPr="006B72E5">
        <w:rPr>
          <w:lang w:val="es-419" w:eastAsia="es-CO"/>
        </w:rPr>
        <w:t xml:space="preserve"> incluye los mecanismos de seguimiento, auditoría y reportes internos que permiten verificar el cumplimiento de las políticas y procedimientos del SARC, detectar y corregir desviaciones oportunamente y garantizar la calidad de la información que se reporta al regulador.</w:t>
      </w:r>
    </w:p>
    <w:p w14:paraId="198ACD90" w14:textId="0B16AAF6" w:rsidR="006B72E5" w:rsidRDefault="006B72E5" w:rsidP="006B72E5">
      <w:pPr>
        <w:rPr>
          <w:lang w:val="es-419" w:eastAsia="es-CO"/>
        </w:rPr>
      </w:pPr>
      <w:r w:rsidRPr="006B72E5">
        <w:rPr>
          <w:lang w:val="es-419" w:eastAsia="es-CO"/>
        </w:rPr>
        <w:t>La correcta implementación de los cuatro componentes del SARC no solo permite a la entidad cumplir sus obligaciones regulatorias, sino que también fortalece la calidad de la gestión de cartera al institucionalizar criterios técnicos para cada etapa del proceso crediticio. Un gestor que conoce el SARC de su entidad actúa con mayor precisión, porque sabe qué se espera de él en cada situación.</w:t>
      </w:r>
    </w:p>
    <w:p w14:paraId="7FA9449A" w14:textId="2CAA7A4A" w:rsidR="006B72E5" w:rsidRDefault="006B72E5" w:rsidP="006B72E5">
      <w:pPr>
        <w:rPr>
          <w:lang w:val="es-419" w:eastAsia="es-CO"/>
        </w:rPr>
      </w:pPr>
      <w:r w:rsidRPr="006B72E5">
        <w:rPr>
          <w:lang w:val="es-419" w:eastAsia="es-CO"/>
        </w:rPr>
        <w:t>El SARC orienta decisiones claras y verificables para prevenir el deterioro de la cartera y fortalecer la gestión del riesgo crediticio.</w:t>
      </w:r>
    </w:p>
    <w:p w14:paraId="5B1519E5" w14:textId="77777777" w:rsidR="006B72E5" w:rsidRPr="006B72E5" w:rsidRDefault="006B72E5" w:rsidP="006B72E5">
      <w:pPr>
        <w:rPr>
          <w:lang w:val="es-419" w:eastAsia="es-CO"/>
        </w:rPr>
      </w:pPr>
      <w:r w:rsidRPr="006B72E5">
        <w:rPr>
          <w:lang w:val="es-419" w:eastAsia="es-CO"/>
        </w:rPr>
        <w:lastRenderedPageBreak/>
        <w:t>Una entidad financiera que aplica correctamente el SARC no solo cumple una exigencia del regulador, también fortalece la calidad de sus decisiones de crédito y recuperación. Este sistema permite definir reglas para aprobar obligaciones, monitorear su comportamiento, identificar señales de deterioro y aplicar acciones oportunas antes de que la mora avance a categorías de mayor riesgo.</w:t>
      </w:r>
    </w:p>
    <w:p w14:paraId="538F57C8" w14:textId="77777777" w:rsidR="006B72E5" w:rsidRPr="006B72E5" w:rsidRDefault="006B72E5" w:rsidP="006B72E5">
      <w:pPr>
        <w:rPr>
          <w:lang w:val="es-419" w:eastAsia="es-CO"/>
        </w:rPr>
      </w:pPr>
      <w:r w:rsidRPr="006B72E5">
        <w:rPr>
          <w:lang w:val="es-419" w:eastAsia="es-CO"/>
        </w:rPr>
        <w:t>Además, el SARC exige que la información de cartera sea clara, actualizada y verificable. Por esta razón, cada gestión realizada por el área de cartera debe quedar registrada, contar con soporte documental y responder a los procedimientos definidos por la entidad. De esta manera, se facilita la supervisión interna, la revisión de auditoría y la atención de requerimientos de la Superintendencia Financiera de Colombia.</w:t>
      </w:r>
    </w:p>
    <w:p w14:paraId="2EBCDA7F" w14:textId="77777777" w:rsidR="006B72E5" w:rsidRPr="006B72E5" w:rsidRDefault="006B72E5" w:rsidP="006B72E5">
      <w:pPr>
        <w:rPr>
          <w:lang w:val="es-419" w:eastAsia="es-CO"/>
        </w:rPr>
      </w:pPr>
      <w:r w:rsidRPr="006B72E5">
        <w:rPr>
          <w:lang w:val="es-419" w:eastAsia="es-CO"/>
        </w:rPr>
        <w:t>En la gestión de cartera, los lineamientos del SARC se reflejan en acciones como las siguientes:</w:t>
      </w:r>
    </w:p>
    <w:p w14:paraId="1E170C09" w14:textId="59DDF96C" w:rsidR="006B72E5" w:rsidRPr="006B72E5" w:rsidRDefault="006B72E5" w:rsidP="00C52DBF">
      <w:pPr>
        <w:pStyle w:val="Prrafodelista"/>
        <w:numPr>
          <w:ilvl w:val="0"/>
          <w:numId w:val="19"/>
        </w:numPr>
        <w:rPr>
          <w:lang w:val="es-419" w:eastAsia="es-CO"/>
        </w:rPr>
      </w:pPr>
      <w:r w:rsidRPr="006B72E5">
        <w:rPr>
          <w:b/>
          <w:bCs/>
          <w:lang w:val="es-419" w:eastAsia="es-CO"/>
        </w:rPr>
        <w:t>Definir criterios de otorgamiento:</w:t>
      </w:r>
      <w:r w:rsidRPr="006B72E5">
        <w:rPr>
          <w:lang w:val="es-419" w:eastAsia="es-CO"/>
        </w:rPr>
        <w:t xml:space="preserve"> permite evaluar la capacidad de pago del solicitante antes de aprobar el crédito. </w:t>
      </w:r>
    </w:p>
    <w:p w14:paraId="75357D33" w14:textId="20B6AAA2" w:rsidR="006B72E5" w:rsidRPr="006B72E5" w:rsidRDefault="006B72E5" w:rsidP="00C52DBF">
      <w:pPr>
        <w:pStyle w:val="Prrafodelista"/>
        <w:numPr>
          <w:ilvl w:val="0"/>
          <w:numId w:val="19"/>
        </w:numPr>
        <w:rPr>
          <w:lang w:val="es-419" w:eastAsia="es-CO"/>
        </w:rPr>
      </w:pPr>
      <w:r w:rsidRPr="006B72E5">
        <w:rPr>
          <w:b/>
          <w:bCs/>
          <w:lang w:val="es-419" w:eastAsia="es-CO"/>
        </w:rPr>
        <w:t>Monitorear el comportamiento del crédito:</w:t>
      </w:r>
      <w:r w:rsidRPr="006B72E5">
        <w:rPr>
          <w:lang w:val="es-419" w:eastAsia="es-CO"/>
        </w:rPr>
        <w:t xml:space="preserve"> facilita identificar atrasos, cambios en el nivel de riesgo y señales tempranas de incumplimiento. </w:t>
      </w:r>
    </w:p>
    <w:p w14:paraId="2010F5C1" w14:textId="4A55D01A" w:rsidR="006B72E5" w:rsidRPr="006B72E5" w:rsidRDefault="006B72E5" w:rsidP="00C52DBF">
      <w:pPr>
        <w:pStyle w:val="Prrafodelista"/>
        <w:numPr>
          <w:ilvl w:val="0"/>
          <w:numId w:val="19"/>
        </w:numPr>
        <w:rPr>
          <w:lang w:val="es-419" w:eastAsia="es-CO"/>
        </w:rPr>
      </w:pPr>
      <w:r w:rsidRPr="006B72E5">
        <w:rPr>
          <w:b/>
          <w:bCs/>
          <w:lang w:val="es-419" w:eastAsia="es-CO"/>
        </w:rPr>
        <w:t>Aplicar acciones de recuperación:</w:t>
      </w:r>
      <w:r w:rsidRPr="006B72E5">
        <w:rPr>
          <w:lang w:val="es-419" w:eastAsia="es-CO"/>
        </w:rPr>
        <w:t xml:space="preserve"> orienta el contacto, la negociación y el seguimiento según la etapa de mora. </w:t>
      </w:r>
    </w:p>
    <w:p w14:paraId="45B0BA11" w14:textId="1A57F9F9" w:rsidR="006B72E5" w:rsidRPr="006B72E5" w:rsidRDefault="006B72E5" w:rsidP="00C52DBF">
      <w:pPr>
        <w:pStyle w:val="Prrafodelista"/>
        <w:numPr>
          <w:ilvl w:val="0"/>
          <w:numId w:val="19"/>
        </w:numPr>
        <w:rPr>
          <w:lang w:val="es-419" w:eastAsia="es-CO"/>
        </w:rPr>
      </w:pPr>
      <w:r w:rsidRPr="006B72E5">
        <w:rPr>
          <w:b/>
          <w:bCs/>
          <w:lang w:val="es-419" w:eastAsia="es-CO"/>
        </w:rPr>
        <w:t>Registrar la gestión realizada:</w:t>
      </w:r>
      <w:r w:rsidRPr="006B72E5">
        <w:rPr>
          <w:lang w:val="es-419" w:eastAsia="es-CO"/>
        </w:rPr>
        <w:t xml:space="preserve"> asegura trazabilidad sobre llamadas, acuerdos, visitas, pagos y decisiones adoptadas.</w:t>
      </w:r>
    </w:p>
    <w:p w14:paraId="27DEE68F" w14:textId="77777777" w:rsidR="006B72E5" w:rsidRPr="006B72E5" w:rsidRDefault="006B72E5" w:rsidP="006B72E5">
      <w:pPr>
        <w:rPr>
          <w:lang w:val="es-419" w:eastAsia="es-CO"/>
        </w:rPr>
      </w:pPr>
      <w:r w:rsidRPr="006B72E5">
        <w:rPr>
          <w:lang w:val="es-419" w:eastAsia="es-CO"/>
        </w:rPr>
        <w:t xml:space="preserve">En conjunto, estos lineamientos permiten que el SARC funcione como una guía práctica para administrar el riesgo crediticio de manera ordenada y preventiva. Al aplicar criterios de otorgamiento, monitoreo, recuperación y registro, la entidad </w:t>
      </w:r>
      <w:r w:rsidRPr="006B72E5">
        <w:rPr>
          <w:lang w:val="es-419" w:eastAsia="es-CO"/>
        </w:rPr>
        <w:lastRenderedPageBreak/>
        <w:t>fortalece la trazabilidad de sus decisiones, mejora la calidad de la información y reduce la posibilidad de que la cartera se deteriore sin control.</w:t>
      </w:r>
    </w:p>
    <w:p w14:paraId="23223CBB" w14:textId="1DD2B1D7" w:rsidR="006B72E5" w:rsidRDefault="006B72E5" w:rsidP="006B72E5">
      <w:pPr>
        <w:rPr>
          <w:lang w:val="es-419" w:eastAsia="es-CO"/>
        </w:rPr>
      </w:pPr>
      <w:r w:rsidRPr="006B72E5">
        <w:rPr>
          <w:lang w:val="es-419" w:eastAsia="es-CO"/>
        </w:rPr>
        <w:t>Una vez revisado el Sistema de Administración del Riesgo Crediticio (SARC), es necesario comprender cómo se regulan las tasas de interés y la usura en las operaciones crediticias. Este tema permite reconocer que el costo del crédito debe estar sujeto a límites legales, con el fin de proteger al consumidor financiero, evitar cobros indebidos y garantizar que la gestión de cartera se realice con transparencia y responsabilidad.</w:t>
      </w:r>
    </w:p>
    <w:p w14:paraId="36FD4AB7" w14:textId="77777777" w:rsidR="001707A3" w:rsidRPr="006B72E5" w:rsidRDefault="001707A3" w:rsidP="006B72E5">
      <w:pPr>
        <w:rPr>
          <w:lang w:val="es-419" w:eastAsia="es-CO"/>
        </w:rPr>
      </w:pPr>
    </w:p>
    <w:p w14:paraId="122817A5" w14:textId="2F88267E" w:rsidR="0060074A" w:rsidRDefault="0060074A" w:rsidP="0060074A">
      <w:pPr>
        <w:pStyle w:val="Ttulo2"/>
      </w:pPr>
      <w:bookmarkStart w:id="17" w:name="_Toc232493841"/>
      <w:r w:rsidRPr="0060074A">
        <w:t>Regulación de tasas de interés y usura</w:t>
      </w:r>
      <w:bookmarkEnd w:id="17"/>
    </w:p>
    <w:p w14:paraId="1A2D699C" w14:textId="77777777" w:rsidR="006B72E5" w:rsidRPr="006B72E5" w:rsidRDefault="006B72E5" w:rsidP="006B72E5">
      <w:pPr>
        <w:rPr>
          <w:lang w:val="es-419" w:eastAsia="es-CO"/>
        </w:rPr>
      </w:pPr>
      <w:r w:rsidRPr="006B72E5">
        <w:rPr>
          <w:lang w:val="es-419" w:eastAsia="es-CO"/>
        </w:rPr>
        <w:t>La regulación de las tasas de interés en el sistema financiero colombiano tiene como objetivo central prevenir el cobro de intereses excesivos que puedan constituir usura, proteger a los usuarios del sistema financiero de prácticas abusivas y garantizar que el precio del crédito sea transparente y verificable. Esta regulación está contenida principalmente en la Ley 590 de 2000 y en las certificaciones periódicas de la Superintendencia Financiera de Colombia.</w:t>
      </w:r>
    </w:p>
    <w:p w14:paraId="5B394AAE" w14:textId="77777777" w:rsidR="006B72E5" w:rsidRPr="006B72E5" w:rsidRDefault="006B72E5" w:rsidP="006B72E5">
      <w:pPr>
        <w:rPr>
          <w:lang w:val="es-419" w:eastAsia="es-CO"/>
        </w:rPr>
      </w:pPr>
      <w:r w:rsidRPr="006B72E5">
        <w:rPr>
          <w:lang w:val="es-419" w:eastAsia="es-CO"/>
        </w:rPr>
        <w:t>Asimismo, el cumplimiento de los límites de tasas de interés no es solo una obligación ética: es una exigencia legal cuya violación puede constituir el delito de usura, con consecuencias penales para las personas involucradas y sanciones administrativas para la entidad. El gestor de cartera que informa al deudor montos de mora calculados sobre tasas que superan los límites legales expone a su entidad a reclamaciones que pueden invalidar el cobro de esos intereses.</w:t>
      </w:r>
    </w:p>
    <w:p w14:paraId="3FF2DA37" w14:textId="77777777" w:rsidR="006B72E5" w:rsidRPr="006B72E5" w:rsidRDefault="006B72E5" w:rsidP="006B72E5">
      <w:pPr>
        <w:rPr>
          <w:lang w:val="es-419" w:eastAsia="es-CO"/>
        </w:rPr>
      </w:pPr>
      <w:r w:rsidRPr="006B72E5">
        <w:rPr>
          <w:lang w:val="es-419" w:eastAsia="es-CO"/>
        </w:rPr>
        <w:lastRenderedPageBreak/>
        <w:t>Los aspectos de la regulación de tasas de interés y usura más relevantes para la gestión de cartera son los siguientes:</w:t>
      </w:r>
    </w:p>
    <w:p w14:paraId="62AA4420" w14:textId="447ACFC3" w:rsidR="006B72E5" w:rsidRPr="006B72E5" w:rsidRDefault="006B72E5" w:rsidP="00C52DBF">
      <w:pPr>
        <w:pStyle w:val="Prrafodelista"/>
        <w:numPr>
          <w:ilvl w:val="0"/>
          <w:numId w:val="20"/>
        </w:numPr>
        <w:rPr>
          <w:lang w:val="es-419" w:eastAsia="es-CO"/>
        </w:rPr>
      </w:pPr>
      <w:r w:rsidRPr="006B72E5">
        <w:rPr>
          <w:b/>
          <w:bCs/>
          <w:lang w:val="es-419" w:eastAsia="es-CO"/>
        </w:rPr>
        <w:t>Tasa de usura para créditos de consumo y comerciales:</w:t>
      </w:r>
      <w:r w:rsidRPr="006B72E5">
        <w:rPr>
          <w:lang w:val="es-419" w:eastAsia="es-CO"/>
        </w:rPr>
        <w:t xml:space="preserve"> equivale a 1,5 veces el interés bancario corriente certificado por la Superintendencia Financiera para el período correspondiente. Ningún interés remuneratorio o moratorio, puede superar este límite en estas modalidades de crédito.</w:t>
      </w:r>
    </w:p>
    <w:p w14:paraId="390458CA" w14:textId="7D879371" w:rsidR="006B72E5" w:rsidRPr="006B72E5" w:rsidRDefault="006B72E5" w:rsidP="00C52DBF">
      <w:pPr>
        <w:pStyle w:val="Prrafodelista"/>
        <w:numPr>
          <w:ilvl w:val="0"/>
          <w:numId w:val="20"/>
        </w:numPr>
        <w:rPr>
          <w:lang w:val="es-419" w:eastAsia="es-CO"/>
        </w:rPr>
      </w:pPr>
      <w:r w:rsidRPr="006B72E5">
        <w:rPr>
          <w:b/>
          <w:bCs/>
          <w:lang w:val="es-419" w:eastAsia="es-CO"/>
        </w:rPr>
        <w:t>Tasa de usura para microcrédito:</w:t>
      </w:r>
      <w:r w:rsidRPr="006B72E5">
        <w:rPr>
          <w:lang w:val="es-419" w:eastAsia="es-CO"/>
        </w:rPr>
        <w:t xml:space="preserve"> existe una tasa máxima diferente que reconoce los mayores costos operativos de este segmento. Su valor también es certificado por la SFC con periodicidad trimestral y el gestor debe verificar su vigencia antes de calcular intereses sobre este tipo de obligaciones.</w:t>
      </w:r>
    </w:p>
    <w:p w14:paraId="76CF1D10" w14:textId="4C66C7D4" w:rsidR="006B72E5" w:rsidRPr="006B72E5" w:rsidRDefault="006B72E5" w:rsidP="00C52DBF">
      <w:pPr>
        <w:pStyle w:val="Prrafodelista"/>
        <w:numPr>
          <w:ilvl w:val="0"/>
          <w:numId w:val="20"/>
        </w:numPr>
        <w:rPr>
          <w:lang w:val="es-419" w:eastAsia="es-CO"/>
        </w:rPr>
      </w:pPr>
      <w:r w:rsidRPr="006B72E5">
        <w:rPr>
          <w:b/>
          <w:bCs/>
          <w:lang w:val="es-419" w:eastAsia="es-CO"/>
        </w:rPr>
        <w:t>Consecuencias del cobro por encima de la usura:</w:t>
      </w:r>
      <w:r w:rsidRPr="006B72E5">
        <w:rPr>
          <w:lang w:val="es-419" w:eastAsia="es-CO"/>
        </w:rPr>
        <w:t xml:space="preserve"> los intereses pactados o cobrados por encima de la tasa de usura se reducen automáticamente a la tasa máxima permitida. Adicionalmente, la entidad puede ser sancionada por la SFC y el responsable puede enfrentar investigación penal por el delito de usura.</w:t>
      </w:r>
    </w:p>
    <w:p w14:paraId="029AED4C" w14:textId="20DE2285" w:rsidR="006B72E5" w:rsidRPr="006B72E5" w:rsidRDefault="006B72E5" w:rsidP="00C52DBF">
      <w:pPr>
        <w:pStyle w:val="Prrafodelista"/>
        <w:numPr>
          <w:ilvl w:val="0"/>
          <w:numId w:val="20"/>
        </w:numPr>
        <w:rPr>
          <w:lang w:val="es-419" w:eastAsia="es-CO"/>
        </w:rPr>
      </w:pPr>
      <w:r w:rsidRPr="006B72E5">
        <w:rPr>
          <w:b/>
          <w:bCs/>
          <w:lang w:val="es-419" w:eastAsia="es-CO"/>
        </w:rPr>
        <w:t>Obligación de verificación periódica:</w:t>
      </w:r>
      <w:r w:rsidRPr="006B72E5">
        <w:rPr>
          <w:lang w:val="es-419" w:eastAsia="es-CO"/>
        </w:rPr>
        <w:t xml:space="preserve"> dado que la tasa de usura se certifica trimestralmente, el gestor debe verificar el valor vigente antes de informar al deudor cualquier liquidación de intereses de mora, especialmente en créditos con plazos que abarcan varios períodos de certificación.</w:t>
      </w:r>
    </w:p>
    <w:p w14:paraId="0C8E211A" w14:textId="77777777" w:rsidR="006B72E5" w:rsidRPr="006B72E5" w:rsidRDefault="006B72E5" w:rsidP="006B72E5">
      <w:pPr>
        <w:rPr>
          <w:lang w:val="es-419" w:eastAsia="es-CO"/>
        </w:rPr>
      </w:pPr>
      <w:r w:rsidRPr="006B72E5">
        <w:rPr>
          <w:lang w:val="es-419" w:eastAsia="es-CO"/>
        </w:rPr>
        <w:t>El conocimiento de la regulación de tasas de interés y usura le permite al gestor de cartera calcular y comunicar correctamente los valores adeudados por el deudor, protegiendo tanto al consumidor financiero como a la entidad de riesgos legales innecesarios.</w:t>
      </w:r>
    </w:p>
    <w:p w14:paraId="15396952" w14:textId="2E281E81" w:rsidR="006B72E5" w:rsidRDefault="006B72E5" w:rsidP="006B72E5">
      <w:pPr>
        <w:rPr>
          <w:lang w:val="es-419" w:eastAsia="es-CO"/>
        </w:rPr>
      </w:pPr>
      <w:r w:rsidRPr="006B72E5">
        <w:rPr>
          <w:lang w:val="es-419" w:eastAsia="es-CO"/>
        </w:rPr>
        <w:lastRenderedPageBreak/>
        <w:t>Con el marco normativo sobre tasas de interés establecido, corresponde revisar la norma que más directamente rige la relación entre el gestor y el deudor durante el proceso de cobranza: el estatuto de protección al consumidor financiero.</w:t>
      </w:r>
    </w:p>
    <w:p w14:paraId="54271467" w14:textId="77777777" w:rsidR="001707A3" w:rsidRPr="006B72E5" w:rsidRDefault="001707A3" w:rsidP="006B72E5">
      <w:pPr>
        <w:rPr>
          <w:lang w:val="es-419" w:eastAsia="es-CO"/>
        </w:rPr>
      </w:pPr>
    </w:p>
    <w:p w14:paraId="271FDDB3" w14:textId="51326395" w:rsidR="0060074A" w:rsidRDefault="0060074A" w:rsidP="0060074A">
      <w:pPr>
        <w:pStyle w:val="Ttulo2"/>
      </w:pPr>
      <w:bookmarkStart w:id="18" w:name="_Toc232493842"/>
      <w:r w:rsidRPr="0060074A">
        <w:t>Protección al consumidor financiero</w:t>
      </w:r>
      <w:bookmarkEnd w:id="18"/>
    </w:p>
    <w:p w14:paraId="70C95B56" w14:textId="77777777" w:rsidR="006B72E5" w:rsidRPr="006B72E5" w:rsidRDefault="006B72E5" w:rsidP="006B72E5">
      <w:pPr>
        <w:rPr>
          <w:lang w:val="es-419" w:eastAsia="es-CO"/>
        </w:rPr>
      </w:pPr>
      <w:r w:rsidRPr="006B72E5">
        <w:rPr>
          <w:lang w:val="es-419" w:eastAsia="es-CO"/>
        </w:rPr>
        <w:t>La Ley 1328 de 2009, conocida como la Reforma Financiera o el Estatuto del Consumidor Financiero, establece los principios y derechos de los usuarios del sistema financiero y las obligaciones que las entidades vigiladas deben cumplir en su relación con ellos. Para el gestor de cartera, esta norma define el marco de actuación durante todo el proceso de cobranza, desde el primer contacto hasta el cierre de la gestión.</w:t>
      </w:r>
    </w:p>
    <w:p w14:paraId="77C1E780" w14:textId="77777777" w:rsidR="006B72E5" w:rsidRPr="006B72E5" w:rsidRDefault="006B72E5" w:rsidP="006B72E5">
      <w:pPr>
        <w:rPr>
          <w:lang w:val="es-419" w:eastAsia="es-CO"/>
        </w:rPr>
      </w:pPr>
      <w:r w:rsidRPr="006B72E5">
        <w:rPr>
          <w:lang w:val="es-419" w:eastAsia="es-CO"/>
        </w:rPr>
        <w:t>Asimismo, la gestión de cartera debe desarrollarse con respeto por la intimidad, la dignidad y la privacidad del consumidor financiero. Por esta razón, el gestor no solo debe buscar la recuperación de las obligaciones a su cargo: también debe garantizar que cada acción de cobranza cumpla los estándares de trato que la ley exige.</w:t>
      </w:r>
    </w:p>
    <w:p w14:paraId="64DB240A" w14:textId="77777777" w:rsidR="006B72E5" w:rsidRPr="006B72E5" w:rsidRDefault="006B72E5" w:rsidP="006B72E5">
      <w:pPr>
        <w:rPr>
          <w:lang w:val="es-419" w:eastAsia="es-CO"/>
        </w:rPr>
      </w:pPr>
      <w:r w:rsidRPr="006B72E5">
        <w:rPr>
          <w:lang w:val="es-419" w:eastAsia="es-CO"/>
        </w:rPr>
        <w:t>Los principios y derechos del consumidor financiero que con mayor frecuencia inciden en la gestión de cartera son los siguientes:</w:t>
      </w:r>
    </w:p>
    <w:p w14:paraId="46028E4A" w14:textId="63653924" w:rsidR="006B72E5" w:rsidRPr="006B72E5" w:rsidRDefault="006B72E5" w:rsidP="00C52DBF">
      <w:pPr>
        <w:pStyle w:val="Prrafodelista"/>
        <w:numPr>
          <w:ilvl w:val="0"/>
          <w:numId w:val="21"/>
        </w:numPr>
        <w:rPr>
          <w:lang w:val="es-419" w:eastAsia="es-CO"/>
        </w:rPr>
      </w:pPr>
      <w:r w:rsidRPr="006B72E5">
        <w:rPr>
          <w:b/>
          <w:bCs/>
          <w:lang w:val="es-419" w:eastAsia="es-CO"/>
        </w:rPr>
        <w:t>Debida diligencia:</w:t>
      </w:r>
      <w:r w:rsidRPr="006B72E5">
        <w:rPr>
          <w:lang w:val="es-419" w:eastAsia="es-CO"/>
        </w:rPr>
        <w:t xml:space="preserve"> la entidad debe actuar con cuidado, profesionalismo y transparencia en todas sus interacciones con el consumidor. Para el gestor, esto significa preparar cada contacto con información actualizada, comunicar con claridad y verificar que los datos que transmite al deudor son correctos.</w:t>
      </w:r>
    </w:p>
    <w:p w14:paraId="6B1993FB" w14:textId="72BCF669" w:rsidR="006B72E5" w:rsidRPr="006B72E5" w:rsidRDefault="006B72E5" w:rsidP="00C52DBF">
      <w:pPr>
        <w:pStyle w:val="Prrafodelista"/>
        <w:numPr>
          <w:ilvl w:val="0"/>
          <w:numId w:val="21"/>
        </w:numPr>
        <w:rPr>
          <w:lang w:val="es-419" w:eastAsia="es-CO"/>
        </w:rPr>
      </w:pPr>
      <w:r w:rsidRPr="006B72E5">
        <w:rPr>
          <w:b/>
          <w:bCs/>
          <w:lang w:val="es-419" w:eastAsia="es-CO"/>
        </w:rPr>
        <w:t>Derecho a recibir información clara:</w:t>
      </w:r>
      <w:r w:rsidRPr="006B72E5">
        <w:rPr>
          <w:lang w:val="es-419" w:eastAsia="es-CO"/>
        </w:rPr>
        <w:t xml:space="preserve"> el consumidor tiene derecho a conocer de manera completa y comprensible el estado de su obligación: </w:t>
      </w:r>
      <w:r w:rsidRPr="006B72E5">
        <w:rPr>
          <w:lang w:val="es-419" w:eastAsia="es-CO"/>
        </w:rPr>
        <w:lastRenderedPageBreak/>
        <w:t>saldo pendiente, intereses causados, costos y consecuencias del incumplimiento. El gestor debe proporcionar esta información en lenguaje accesible, sin omitir datos relevantes.</w:t>
      </w:r>
    </w:p>
    <w:p w14:paraId="4F4F01FD" w14:textId="56043A51" w:rsidR="006B72E5" w:rsidRPr="006B72E5" w:rsidRDefault="006B72E5" w:rsidP="00C52DBF">
      <w:pPr>
        <w:pStyle w:val="Prrafodelista"/>
        <w:numPr>
          <w:ilvl w:val="0"/>
          <w:numId w:val="21"/>
        </w:numPr>
        <w:rPr>
          <w:lang w:val="es-419" w:eastAsia="es-CO"/>
        </w:rPr>
      </w:pPr>
      <w:r w:rsidRPr="006B72E5">
        <w:rPr>
          <w:b/>
          <w:bCs/>
          <w:lang w:val="es-419" w:eastAsia="es-CO"/>
        </w:rPr>
        <w:t>Derecho a un trato digno:</w:t>
      </w:r>
      <w:r w:rsidRPr="006B72E5">
        <w:rPr>
          <w:lang w:val="es-419" w:eastAsia="es-CO"/>
        </w:rPr>
        <w:t xml:space="preserve"> está prohibido el uso de amenazas, presiones indebidas, expresiones humillantes o cualquier práctica que afecte la dignidad del deudor. Este principio opera en todos los canales de contacto y en todos los horarios, sin excepción.</w:t>
      </w:r>
    </w:p>
    <w:p w14:paraId="250C1FDA" w14:textId="3272AE50" w:rsidR="006B72E5" w:rsidRPr="006B72E5" w:rsidRDefault="006B72E5" w:rsidP="00C52DBF">
      <w:pPr>
        <w:pStyle w:val="Prrafodelista"/>
        <w:numPr>
          <w:ilvl w:val="0"/>
          <w:numId w:val="21"/>
        </w:numPr>
        <w:rPr>
          <w:lang w:val="es-419" w:eastAsia="es-CO"/>
        </w:rPr>
      </w:pPr>
      <w:r w:rsidRPr="006B72E5">
        <w:rPr>
          <w:b/>
          <w:bCs/>
          <w:lang w:val="es-419" w:eastAsia="es-CO"/>
        </w:rPr>
        <w:t>Derecho a la privacidad:</w:t>
      </w:r>
      <w:r w:rsidRPr="006B72E5">
        <w:rPr>
          <w:lang w:val="es-419" w:eastAsia="es-CO"/>
        </w:rPr>
        <w:t xml:space="preserve"> la información financiera del consumidor solo puede utilizarse para los fines de la gestión de cobranza. Está prohibido divulgar la situación de mora a personas no autorizadas, incluidos familiares, vecinos o compañeros de trabajo que no tengan relación directa con la obligación.</w:t>
      </w:r>
    </w:p>
    <w:p w14:paraId="5D2EB8F9" w14:textId="083BA107" w:rsidR="006B72E5" w:rsidRPr="006B72E5" w:rsidRDefault="006B72E5" w:rsidP="00C52DBF">
      <w:pPr>
        <w:pStyle w:val="Prrafodelista"/>
        <w:numPr>
          <w:ilvl w:val="0"/>
          <w:numId w:val="21"/>
        </w:numPr>
        <w:rPr>
          <w:lang w:val="es-419" w:eastAsia="es-CO"/>
        </w:rPr>
      </w:pPr>
      <w:r w:rsidRPr="006B72E5">
        <w:rPr>
          <w:b/>
          <w:bCs/>
          <w:lang w:val="es-419" w:eastAsia="es-CO"/>
        </w:rPr>
        <w:t>Cumplimiento de horarios y canales autorizados:</w:t>
      </w:r>
      <w:r w:rsidRPr="006B72E5">
        <w:rPr>
          <w:lang w:val="es-419" w:eastAsia="es-CO"/>
        </w:rPr>
        <w:t xml:space="preserve"> la Ley 1328 de 2009 y la Ley 2300 de 2023 establecen restricciones específicas sobre los horarios y los canales por los que puede realizarse la gestión de cobranza. El incumplimiento de estas restricciones constituye una infracción regulatoria con consecuencias para la entidad.</w:t>
      </w:r>
    </w:p>
    <w:p w14:paraId="647B0CEF" w14:textId="2759BAFD" w:rsidR="006B72E5" w:rsidRPr="006B72E5" w:rsidRDefault="006B72E5" w:rsidP="006B72E5">
      <w:pPr>
        <w:rPr>
          <w:lang w:val="es-419" w:eastAsia="es-CO"/>
        </w:rPr>
      </w:pPr>
      <w:r w:rsidRPr="006B72E5">
        <w:rPr>
          <w:lang w:val="es-419" w:eastAsia="es-CO"/>
        </w:rPr>
        <w:t>El marco legal colombiano protege al consumidor financiero durante el proceso de cobranza</w:t>
      </w:r>
      <w:r w:rsidR="00A6002B">
        <w:rPr>
          <w:lang w:val="es-419" w:eastAsia="es-CO"/>
        </w:rPr>
        <w:t>,</w:t>
      </w:r>
      <w:r w:rsidRPr="006B72E5">
        <w:rPr>
          <w:lang w:val="es-419" w:eastAsia="es-CO"/>
        </w:rPr>
        <w:t xml:space="preserve"> no como un obstáculo a la recuperación, sino como una garantía de que esta se realice con legalidad y respeto. Una gestión de cartera que cumple estas normas no solo protege al deudor: también protege a la entidad de reclamaciones, sanciones y daños reputacionales.</w:t>
      </w:r>
    </w:p>
    <w:p w14:paraId="152332FC" w14:textId="069E24B2" w:rsidR="006B72E5" w:rsidRDefault="006B72E5" w:rsidP="006B72E5">
      <w:pPr>
        <w:rPr>
          <w:lang w:val="es-419" w:eastAsia="es-CO"/>
        </w:rPr>
      </w:pPr>
      <w:r w:rsidRPr="006B72E5">
        <w:rPr>
          <w:lang w:val="es-419" w:eastAsia="es-CO"/>
        </w:rPr>
        <w:t xml:space="preserve">La normativa que regula la actividad crediticia en Colombia cobra sentido pleno cuando se aplica a situaciones reales de gestión. Para consolidar los conceptos </w:t>
      </w:r>
      <w:r w:rsidRPr="006B72E5">
        <w:rPr>
          <w:lang w:val="es-419" w:eastAsia="es-CO"/>
        </w:rPr>
        <w:lastRenderedPageBreak/>
        <w:t>normativos desarrollados en este bloque y profundizar en su impacto en la práctica cotidiana del área de cartera, se propone el siguiente recurso de audio.</w:t>
      </w:r>
    </w:p>
    <w:tbl>
      <w:tblPr>
        <w:tblStyle w:val="Tablaconcuadrcula"/>
        <w:tblW w:w="0" w:type="auto"/>
        <w:tblLook w:val="04A0" w:firstRow="1" w:lastRow="0" w:firstColumn="1" w:lastColumn="0" w:noHBand="0" w:noVBand="1"/>
      </w:tblPr>
      <w:tblGrid>
        <w:gridCol w:w="9962"/>
      </w:tblGrid>
      <w:tr w:rsidR="006B72E5" w14:paraId="55AB0E93" w14:textId="77777777" w:rsidTr="00C65B3C">
        <w:trPr>
          <w:tblHeader/>
        </w:trPr>
        <w:tc>
          <w:tcPr>
            <w:tcW w:w="9962" w:type="dxa"/>
          </w:tcPr>
          <w:p w14:paraId="63A896B8" w14:textId="60E99D5C" w:rsidR="006B72E5" w:rsidRDefault="006B72E5" w:rsidP="00772600">
            <w:pPr>
              <w:ind w:firstLine="0"/>
            </w:pPr>
            <w:r>
              <w:rPr>
                <w:b/>
              </w:rPr>
              <w:t xml:space="preserve">Transcripción del </w:t>
            </w:r>
            <w:r w:rsidR="00A1154C">
              <w:rPr>
                <w:b/>
              </w:rPr>
              <w:t>pó</w:t>
            </w:r>
            <w:r w:rsidRPr="006B72E5">
              <w:rPr>
                <w:b/>
              </w:rPr>
              <w:t>dcast.</w:t>
            </w:r>
            <w:r>
              <w:rPr>
                <w:b/>
              </w:rPr>
              <w:t xml:space="preserve"> </w:t>
            </w:r>
            <w:r w:rsidRPr="006B72E5">
              <w:rPr>
                <w:bCs/>
              </w:rPr>
              <w:t>Protección al consumidor financiero</w:t>
            </w:r>
          </w:p>
        </w:tc>
      </w:tr>
      <w:tr w:rsidR="006B72E5" w14:paraId="57E39A24" w14:textId="77777777" w:rsidTr="00C65B3C">
        <w:tc>
          <w:tcPr>
            <w:tcW w:w="9962" w:type="dxa"/>
          </w:tcPr>
          <w:p w14:paraId="5796E308" w14:textId="5F7F3E53" w:rsidR="00963B37" w:rsidRDefault="00963B37" w:rsidP="00963B37">
            <w:r>
              <w:t xml:space="preserve">Mujer: imaginen que tienen un cliente con 75 días de mora en su crédito y el analista lo califica en categoría B. La norma dice que con ese tiempo ya debería estar en categoría C. </w:t>
            </w:r>
          </w:p>
          <w:p w14:paraId="7487AA15" w14:textId="489C3893" w:rsidR="00963B37" w:rsidRDefault="00963B37" w:rsidP="00963B37">
            <w:r>
              <w:t xml:space="preserve">Hombre: esa diferencia tiene consecuencias inmediatas: provisiones insuficientes, rentabilidad sobreestimada y estados financieros que no reflejan lo que realmente está pasando. </w:t>
            </w:r>
          </w:p>
          <w:p w14:paraId="52449F5E" w14:textId="61CD19E5" w:rsidR="00963B37" w:rsidRDefault="00963B37" w:rsidP="00963B37">
            <w:r>
              <w:t xml:space="preserve">Mujer: y cuando la Superintendencia lo detecta, lo que empezó como un error de clasificación se convierte en ajustes, correcciones y hasta posibles sanciones. </w:t>
            </w:r>
          </w:p>
          <w:p w14:paraId="580E031E" w14:textId="048E6D8C" w:rsidR="00963B37" w:rsidRDefault="00963B37" w:rsidP="00963B37">
            <w:r>
              <w:t xml:space="preserve">Hombre: y todo por una calificación incorrecta. </w:t>
            </w:r>
          </w:p>
          <w:p w14:paraId="4F62D21F" w14:textId="46A67413" w:rsidR="00963B37" w:rsidRDefault="00963B37" w:rsidP="00963B37">
            <w:r>
              <w:t xml:space="preserve">Mujer: por eso en cartera un detalle mal registrado tiene consecuencias reales. La Circular Básica Contable y Financiera define cinco categorías de riesgo. De la A </w:t>
            </w:r>
            <w:proofErr w:type="spellStart"/>
            <w:r>
              <w:t>a</w:t>
            </w:r>
            <w:proofErr w:type="spellEnd"/>
            <w:r>
              <w:t xml:space="preserve"> la E. </w:t>
            </w:r>
          </w:p>
          <w:p w14:paraId="3A2CE342" w14:textId="5B49DCDF" w:rsidR="00963B37" w:rsidRDefault="00963B37" w:rsidP="00963B37">
            <w:r>
              <w:t xml:space="preserve">Hombre: y cada categoría tiene un porcentaje de provisión distinto. Desde el uno por ciento para los créditos más sanos, hasta el cien por ciento para los que ya no tienen perspectiva de recuperación. </w:t>
            </w:r>
          </w:p>
          <w:p w14:paraId="45DCC2DE" w14:textId="3BF12977" w:rsidR="00963B37" w:rsidRDefault="00963B37" w:rsidP="00963B37">
            <w:r>
              <w:t xml:space="preserve">Mujer: esa escala obliga a las entidades a reconocer, sin maquillajes, cuál es el riesgo real en su portafolio. </w:t>
            </w:r>
          </w:p>
          <w:p w14:paraId="1721195C" w14:textId="77777777" w:rsidR="00963B37" w:rsidRDefault="00963B37" w:rsidP="00963B37"/>
          <w:p w14:paraId="026A2412" w14:textId="356A76CB" w:rsidR="00963B37" w:rsidRDefault="00963B37" w:rsidP="00963B37">
            <w:r>
              <w:lastRenderedPageBreak/>
              <w:t xml:space="preserve">Hombre: pero los números son solo una parte. Detrás hay un marco normativo que define qué puede hacer cada entidad y cómo debe hacerlo. </w:t>
            </w:r>
          </w:p>
          <w:p w14:paraId="3319C2BD" w14:textId="2EB8ABEB" w:rsidR="00963B37" w:rsidRDefault="00963B37" w:rsidP="00963B37">
            <w:r>
              <w:t xml:space="preserve">Mujer: el Decreto 663 y el SARC establecen las reglas del juego: cómo gestionar el riesgo y qué controles debe tener cada proceso. </w:t>
            </w:r>
          </w:p>
          <w:p w14:paraId="3707BA33" w14:textId="67D327B6" w:rsidR="00963B37" w:rsidRDefault="00963B37" w:rsidP="00963B37">
            <w:r>
              <w:t xml:space="preserve">Hombre: y ese mismo marco también cuida al usuario. La Ley 1328 protege al consumidor financiero. </w:t>
            </w:r>
          </w:p>
          <w:p w14:paraId="30FF8167" w14:textId="5445D7AC" w:rsidR="00963B37" w:rsidRDefault="00963B37" w:rsidP="00963B37">
            <w:r>
              <w:t xml:space="preserve">Mujer: ninguna gestión de cobranza puede hacerse a deshoras, con lenguaje amenazante ni con información equivocada sobre lo que el cliente debe. </w:t>
            </w:r>
          </w:p>
          <w:p w14:paraId="1BFCFABD" w14:textId="272B6F03" w:rsidR="00963B37" w:rsidRDefault="00963B37" w:rsidP="00963B37">
            <w:r>
              <w:t xml:space="preserve">Hombre: trabajar en cartera no es solo hacer seguimiento a los pagos. Es un conjunto de decisiones técnicas que hay que tomar bien todos los días. </w:t>
            </w:r>
          </w:p>
          <w:p w14:paraId="1CC09823" w14:textId="29664FD0" w:rsidR="00963B37" w:rsidRDefault="00963B37" w:rsidP="00963B37">
            <w:r>
              <w:t xml:space="preserve">Mujer: saber leer los estados financieros es el punto de partida. Ver si lo que muestran los números coincide con lo que está pasando en el portafolio. </w:t>
            </w:r>
          </w:p>
          <w:p w14:paraId="7CFA68C3" w14:textId="6B7AC653" w:rsidR="00963B37" w:rsidRDefault="00963B37" w:rsidP="00963B37">
            <w:r>
              <w:t xml:space="preserve">Hombre: y conocer los planes de pago. Saber si cada obligación está al día o si el cliente está cumpliendo lo que firmó. </w:t>
            </w:r>
          </w:p>
          <w:p w14:paraId="5EEE3FF4" w14:textId="5A0D7973" w:rsidR="00963B37" w:rsidRDefault="00963B37" w:rsidP="00963B37">
            <w:r>
              <w:t xml:space="preserve">Mujer: las tasas de interés también son parte del trabajo. En Colombia existe la tasa de usura y ningún cobro puede superarla. </w:t>
            </w:r>
          </w:p>
          <w:p w14:paraId="58C87A57" w14:textId="5ED38A63" w:rsidR="00963B37" w:rsidRDefault="00963B37" w:rsidP="00963B37">
            <w:r>
              <w:t xml:space="preserve">Hombre: provisionar bien es otra competencia clave. Cada categoría de riesgo tiene su porcentaje y no hay margen para ajustarlo a conveniencia. </w:t>
            </w:r>
          </w:p>
          <w:p w14:paraId="1E0A4362" w14:textId="77777777" w:rsidR="00963B37" w:rsidRDefault="00963B37" w:rsidP="00963B37"/>
          <w:p w14:paraId="0BD7C425" w14:textId="388C9E40" w:rsidR="00963B37" w:rsidRDefault="00963B37" w:rsidP="00963B37">
            <w:r>
              <w:lastRenderedPageBreak/>
              <w:t xml:space="preserve">Mujer: y reportar a tiempo. La Superintendencia tiene plazos establecidos y no espera a nadie. </w:t>
            </w:r>
          </w:p>
          <w:p w14:paraId="78B38222" w14:textId="4DFD4DC1" w:rsidR="00963B37" w:rsidRDefault="00963B37" w:rsidP="00963B37">
            <w:r>
              <w:t xml:space="preserve">Hombre: y cuando surge una queja o una reclamación, cada respuesta debe estar respaldada con información y evidencia documental. </w:t>
            </w:r>
          </w:p>
          <w:p w14:paraId="219B24E8" w14:textId="18BE1421" w:rsidR="006B72E5" w:rsidRDefault="00963B37" w:rsidP="00963B37">
            <w:r>
              <w:t xml:space="preserve">Mujer: porque en cartera no hay errores pequeños. Un dato mal registrado puede convertirse en el problema que nadie quiere explicarle a la Superintendencia. </w:t>
            </w:r>
          </w:p>
        </w:tc>
      </w:tr>
    </w:tbl>
    <w:p w14:paraId="32E6F919" w14:textId="77777777" w:rsidR="00C65B3C" w:rsidRDefault="00C65B3C" w:rsidP="006B72E5">
      <w:pPr>
        <w:rPr>
          <w:lang w:val="es-419" w:eastAsia="es-CO"/>
        </w:rPr>
      </w:pPr>
    </w:p>
    <w:p w14:paraId="2AB5EF7D" w14:textId="4955FBEC" w:rsidR="00C65B3C" w:rsidRDefault="006B72E5" w:rsidP="006B72E5">
      <w:pPr>
        <w:rPr>
          <w:lang w:val="es-419" w:eastAsia="es-CO"/>
        </w:rPr>
      </w:pPr>
      <w:r w:rsidRPr="006B72E5">
        <w:rPr>
          <w:lang w:val="es-419" w:eastAsia="es-CO"/>
        </w:rPr>
        <w:t>Las normas que regulan la actividad crediticia son emitidas, aplicadas y supervisadas por entidades concretas del sistema financiero colombiano. Conocer esas instituciones, sus funciones y su alcance es tan importante como conocer las normas mismas, pues son ellas las que verifican el cumplimiento y determinan las consecuencias de las desviaciones.</w:t>
      </w:r>
    </w:p>
    <w:p w14:paraId="02AE61EF" w14:textId="77777777" w:rsidR="00C65B3C" w:rsidRDefault="00C65B3C">
      <w:pPr>
        <w:spacing w:before="0" w:after="160" w:line="259" w:lineRule="auto"/>
        <w:ind w:firstLine="0"/>
        <w:rPr>
          <w:lang w:val="es-419" w:eastAsia="es-CO"/>
        </w:rPr>
      </w:pPr>
      <w:r>
        <w:rPr>
          <w:lang w:val="es-419" w:eastAsia="es-CO"/>
        </w:rPr>
        <w:br w:type="page"/>
      </w:r>
    </w:p>
    <w:p w14:paraId="0C88DDD1" w14:textId="3133447E" w:rsidR="0060074A" w:rsidRDefault="0060074A" w:rsidP="0060074A">
      <w:pPr>
        <w:pStyle w:val="Ttulo1"/>
      </w:pPr>
      <w:bookmarkStart w:id="19" w:name="_Toc232493843"/>
      <w:r w:rsidRPr="0060074A">
        <w:lastRenderedPageBreak/>
        <w:t>Entidades del sistema financiero colombiano</w:t>
      </w:r>
      <w:bookmarkEnd w:id="19"/>
    </w:p>
    <w:p w14:paraId="5C172B45" w14:textId="77777777" w:rsidR="006B72E5" w:rsidRPr="006B72E5" w:rsidRDefault="006B72E5" w:rsidP="006B72E5">
      <w:pPr>
        <w:rPr>
          <w:lang w:val="es-419" w:eastAsia="es-CO"/>
        </w:rPr>
      </w:pPr>
      <w:r w:rsidRPr="006B72E5">
        <w:rPr>
          <w:lang w:val="es-419" w:eastAsia="es-CO"/>
        </w:rPr>
        <w:t>El sistema financiero colombiano opera dentro de un entramado institucional que combina entidades reguladoras, supervisoras, de protección de depósitos y de representación gremial. El conocimiento de estas entidades, sus funciones y sus facultades es esencial para el gestor de cartera, porque sus decisiones, normas y requerimientos determinan directamente las condiciones en las que se ejerce la gestión de recuperación.</w:t>
      </w:r>
    </w:p>
    <w:p w14:paraId="7FE3DED0" w14:textId="77777777" w:rsidR="006B72E5" w:rsidRPr="006B72E5" w:rsidRDefault="006B72E5" w:rsidP="006B72E5">
      <w:pPr>
        <w:rPr>
          <w:lang w:val="es-419" w:eastAsia="es-CO"/>
        </w:rPr>
      </w:pPr>
      <w:r w:rsidRPr="006B72E5">
        <w:rPr>
          <w:lang w:val="es-419" w:eastAsia="es-CO"/>
        </w:rPr>
        <w:t>Para el gestor de cartera, estas instituciones no son entidades distantes: sus disposiciones llegan al trabajo cotidiano a través de las circulares que definen cómo calificar un crédito, las visitas de inspección que verifican el cumplimiento de los procesos, los límites de tasas que determinan los montos que puede cobrar y los sistemas de reporte a los que debe transmitir información periódicamente.</w:t>
      </w:r>
    </w:p>
    <w:p w14:paraId="63E7CF37" w14:textId="77777777" w:rsidR="006B72E5" w:rsidRPr="006B72E5" w:rsidRDefault="006B72E5" w:rsidP="006B72E5">
      <w:pPr>
        <w:rPr>
          <w:lang w:val="es-419" w:eastAsia="es-CO"/>
        </w:rPr>
      </w:pPr>
      <w:r w:rsidRPr="006B72E5">
        <w:rPr>
          <w:lang w:val="es-419" w:eastAsia="es-CO"/>
        </w:rPr>
        <w:t>Las entidades del sistema financiero colombiano que mayor impacto tienen sobre la gestión de cartera y que se abordan en este tema son las siguientes:</w:t>
      </w:r>
    </w:p>
    <w:p w14:paraId="4F056259" w14:textId="1A48D8E5" w:rsidR="006B72E5" w:rsidRPr="006B72E5" w:rsidRDefault="006B72E5" w:rsidP="00C52DBF">
      <w:pPr>
        <w:pStyle w:val="Prrafodelista"/>
        <w:numPr>
          <w:ilvl w:val="0"/>
          <w:numId w:val="22"/>
        </w:numPr>
        <w:rPr>
          <w:lang w:val="es-419" w:eastAsia="es-CO"/>
        </w:rPr>
      </w:pPr>
      <w:r w:rsidRPr="006B72E5">
        <w:rPr>
          <w:b/>
          <w:bCs/>
          <w:lang w:val="es-419" w:eastAsia="es-CO"/>
        </w:rPr>
        <w:t>La Superintendencia Financiera de Colombia:</w:t>
      </w:r>
      <w:r w:rsidRPr="006B72E5">
        <w:rPr>
          <w:lang w:val="es-419" w:eastAsia="es-CO"/>
        </w:rPr>
        <w:t xml:space="preserve"> entidad de inspección, vigilancia y control cuyas circulares y resoluciones definen las reglas operativas de la gestión de cartera.</w:t>
      </w:r>
    </w:p>
    <w:p w14:paraId="1C9AC35B" w14:textId="1866CEF9" w:rsidR="006B72E5" w:rsidRPr="006B72E5" w:rsidRDefault="006B72E5" w:rsidP="00C52DBF">
      <w:pPr>
        <w:pStyle w:val="Prrafodelista"/>
        <w:numPr>
          <w:ilvl w:val="0"/>
          <w:numId w:val="22"/>
        </w:numPr>
        <w:rPr>
          <w:lang w:val="es-419" w:eastAsia="es-CO"/>
        </w:rPr>
      </w:pPr>
      <w:r w:rsidRPr="006B72E5">
        <w:rPr>
          <w:b/>
          <w:bCs/>
          <w:lang w:val="es-419" w:eastAsia="es-CO"/>
        </w:rPr>
        <w:t xml:space="preserve">El Banco de la República: </w:t>
      </w:r>
      <w:r w:rsidRPr="006B72E5">
        <w:rPr>
          <w:lang w:val="es-419" w:eastAsia="es-CO"/>
        </w:rPr>
        <w:t>banco central cuyas decisiones de política monetaria afectan las tasas de interés y la demanda de crédito en el sector.</w:t>
      </w:r>
    </w:p>
    <w:p w14:paraId="7845376C" w14:textId="1F25E1D6" w:rsidR="006B72E5" w:rsidRPr="006B72E5" w:rsidRDefault="006B72E5" w:rsidP="00C52DBF">
      <w:pPr>
        <w:pStyle w:val="Prrafodelista"/>
        <w:numPr>
          <w:ilvl w:val="0"/>
          <w:numId w:val="22"/>
        </w:numPr>
        <w:rPr>
          <w:lang w:val="es-419" w:eastAsia="es-CO"/>
        </w:rPr>
      </w:pPr>
      <w:r w:rsidRPr="006B72E5">
        <w:rPr>
          <w:b/>
          <w:bCs/>
          <w:lang w:val="es-419" w:eastAsia="es-CO"/>
        </w:rPr>
        <w:t>El FOGAFIN:</w:t>
      </w:r>
      <w:r w:rsidRPr="006B72E5">
        <w:rPr>
          <w:lang w:val="es-419" w:eastAsia="es-CO"/>
        </w:rPr>
        <w:t xml:space="preserve"> entidad de protección de depósitos cuya presencia garantiza la confianza del público en las instituciones financieras.</w:t>
      </w:r>
    </w:p>
    <w:p w14:paraId="126C2160" w14:textId="7C3AA2DB" w:rsidR="006B72E5" w:rsidRPr="006B72E5" w:rsidRDefault="006B72E5" w:rsidP="00C52DBF">
      <w:pPr>
        <w:pStyle w:val="Prrafodelista"/>
        <w:numPr>
          <w:ilvl w:val="0"/>
          <w:numId w:val="22"/>
        </w:numPr>
        <w:rPr>
          <w:lang w:val="es-419" w:eastAsia="es-CO"/>
        </w:rPr>
      </w:pPr>
      <w:r w:rsidRPr="006B72E5">
        <w:rPr>
          <w:b/>
          <w:bCs/>
          <w:lang w:val="es-419" w:eastAsia="es-CO"/>
        </w:rPr>
        <w:t>La UGPP:</w:t>
      </w:r>
      <w:r w:rsidRPr="006B72E5">
        <w:rPr>
          <w:lang w:val="es-419" w:eastAsia="es-CO"/>
        </w:rPr>
        <w:t xml:space="preserve"> unidad de fiscalización que verifica el cumplimiento de las obligaciones parafiscales de las entidades del sector.</w:t>
      </w:r>
    </w:p>
    <w:p w14:paraId="59490C28" w14:textId="5B4F01D2" w:rsidR="006B72E5" w:rsidRPr="006B72E5" w:rsidRDefault="006B72E5" w:rsidP="00C52DBF">
      <w:pPr>
        <w:pStyle w:val="Prrafodelista"/>
        <w:numPr>
          <w:ilvl w:val="0"/>
          <w:numId w:val="22"/>
        </w:numPr>
        <w:rPr>
          <w:lang w:val="es-419" w:eastAsia="es-CO"/>
        </w:rPr>
      </w:pPr>
      <w:r w:rsidRPr="006B72E5">
        <w:rPr>
          <w:b/>
          <w:bCs/>
          <w:lang w:val="es-419" w:eastAsia="es-CO"/>
        </w:rPr>
        <w:lastRenderedPageBreak/>
        <w:t>Los gremios del sector:</w:t>
      </w:r>
      <w:r w:rsidRPr="006B72E5">
        <w:rPr>
          <w:lang w:val="es-419" w:eastAsia="es-CO"/>
        </w:rPr>
        <w:t xml:space="preserve"> Asobancaria y </w:t>
      </w:r>
      <w:proofErr w:type="spellStart"/>
      <w:r w:rsidRPr="006B72E5">
        <w:rPr>
          <w:lang w:val="es-419" w:eastAsia="es-CO"/>
        </w:rPr>
        <w:t>Asomicrofinanzas</w:t>
      </w:r>
      <w:proofErr w:type="spellEnd"/>
      <w:r w:rsidRPr="006B72E5">
        <w:rPr>
          <w:lang w:val="es-419" w:eastAsia="es-CO"/>
        </w:rPr>
        <w:t>, que representan los intereses del sector y producen información estadística de referencia para la gestión.</w:t>
      </w:r>
    </w:p>
    <w:p w14:paraId="16D75B29" w14:textId="76EFAF17" w:rsidR="006B72E5" w:rsidRDefault="006B72E5" w:rsidP="006B72E5">
      <w:pPr>
        <w:rPr>
          <w:lang w:val="es-419" w:eastAsia="es-CO"/>
        </w:rPr>
      </w:pPr>
      <w:r w:rsidRPr="006B72E5">
        <w:rPr>
          <w:lang w:val="es-419" w:eastAsia="es-CO"/>
        </w:rPr>
        <w:t>El conocimiento de estas cinco instituciones le permite al gestor de cartera comprender el entorno institucional en el que ejerce su labor y anticipar el impacto de sus decisiones sobre las condiciones operativas del área de cartera.</w:t>
      </w:r>
    </w:p>
    <w:p w14:paraId="641CF812" w14:textId="77777777" w:rsidR="00C65B3C" w:rsidRPr="006B72E5" w:rsidRDefault="00C65B3C" w:rsidP="006B72E5">
      <w:pPr>
        <w:rPr>
          <w:lang w:val="es-419" w:eastAsia="es-CO"/>
        </w:rPr>
      </w:pPr>
    </w:p>
    <w:p w14:paraId="79B260D5" w14:textId="2D4D76E4" w:rsidR="0060074A" w:rsidRDefault="0060074A" w:rsidP="0060074A">
      <w:pPr>
        <w:pStyle w:val="Ttulo2"/>
      </w:pPr>
      <w:bookmarkStart w:id="20" w:name="_Toc232493844"/>
      <w:r w:rsidRPr="0060074A">
        <w:t>La Superintendencia Financiera de Colombia</w:t>
      </w:r>
      <w:bookmarkEnd w:id="20"/>
    </w:p>
    <w:p w14:paraId="0D9BCAB3" w14:textId="77777777" w:rsidR="006B72E5" w:rsidRPr="006B72E5" w:rsidRDefault="006B72E5" w:rsidP="006B72E5">
      <w:pPr>
        <w:rPr>
          <w:lang w:val="es-419" w:eastAsia="es-CO"/>
        </w:rPr>
      </w:pPr>
      <w:r w:rsidRPr="006B72E5">
        <w:rPr>
          <w:lang w:val="es-419" w:eastAsia="es-CO"/>
        </w:rPr>
        <w:t>La Superintendencia Financiera de Colombia (SFC) es la entidad estatal encargada de la inspección, vigilancia y control de las personas que realizan actividades financiera, bursátil, aseguradora y cualquier otra relacionada con el manejo, aprovechamiento o inversión de recursos captados del público. Para las entidades de crédito, la SFC es el regulador de referencia en todos los aspectos de la gestión de cartera.</w:t>
      </w:r>
    </w:p>
    <w:p w14:paraId="2CBBDD57" w14:textId="77777777" w:rsidR="006B72E5" w:rsidRPr="006B72E5" w:rsidRDefault="006B72E5" w:rsidP="006B72E5">
      <w:pPr>
        <w:rPr>
          <w:lang w:val="es-419" w:eastAsia="es-CO"/>
        </w:rPr>
      </w:pPr>
      <w:r w:rsidRPr="006B72E5">
        <w:rPr>
          <w:lang w:val="es-419" w:eastAsia="es-CO"/>
        </w:rPr>
        <w:t>Asimismo, la SFC no solo verifica el cumplimiento de las normas existentes: también las genera. A través de circulares externas, resoluciones y conceptos, la SFC define los criterios técnicos y operativos que las entidades deben aplicar en su gestión diaria, incluidos los criterios de clasificación de cartera, los porcentajes de provisión y las reglas para la atención de quejas de consumidores financieros.</w:t>
      </w:r>
    </w:p>
    <w:p w14:paraId="3E2721CE" w14:textId="77777777" w:rsidR="006B72E5" w:rsidRPr="006B72E5" w:rsidRDefault="006B72E5" w:rsidP="006B72E5">
      <w:pPr>
        <w:rPr>
          <w:lang w:val="es-419" w:eastAsia="es-CO"/>
        </w:rPr>
      </w:pPr>
      <w:r w:rsidRPr="006B72E5">
        <w:rPr>
          <w:lang w:val="es-419" w:eastAsia="es-CO"/>
        </w:rPr>
        <w:t>Las funciones de la Superintendencia Financiera de Colombia con mayor relevancia directa para la gestión de cartera son las siguientes:</w:t>
      </w:r>
    </w:p>
    <w:p w14:paraId="7E48B572" w14:textId="59440CE7" w:rsidR="006B72E5" w:rsidRPr="006B72E5" w:rsidRDefault="006B72E5" w:rsidP="00C52DBF">
      <w:pPr>
        <w:pStyle w:val="Prrafodelista"/>
        <w:numPr>
          <w:ilvl w:val="0"/>
          <w:numId w:val="23"/>
        </w:numPr>
        <w:rPr>
          <w:lang w:val="es-419" w:eastAsia="es-CO"/>
        </w:rPr>
      </w:pPr>
      <w:r w:rsidRPr="006B72E5">
        <w:rPr>
          <w:b/>
          <w:bCs/>
          <w:lang w:val="es-419" w:eastAsia="es-CO"/>
        </w:rPr>
        <w:t>Inspección y vigilancia:</w:t>
      </w:r>
      <w:r w:rsidRPr="006B72E5">
        <w:rPr>
          <w:lang w:val="es-419" w:eastAsia="es-CO"/>
        </w:rPr>
        <w:t xml:space="preserve"> realiza visitas periódicas a las entidades para verificar el cumplimiento de la normativa. Durante estas visitas se revisan las prácticas de cobranza, los registros de gestión, la calificación de la </w:t>
      </w:r>
      <w:r w:rsidRPr="006B72E5">
        <w:rPr>
          <w:lang w:val="es-419" w:eastAsia="es-CO"/>
        </w:rPr>
        <w:lastRenderedPageBreak/>
        <w:t>cartera y el cumplimiento del SARC. El gestor debe garantizar que sus prácticas, registros y reportes sean verificables en todo momento.</w:t>
      </w:r>
    </w:p>
    <w:p w14:paraId="4665DFE8" w14:textId="77777777" w:rsidR="006B72E5" w:rsidRPr="006B72E5" w:rsidRDefault="006B72E5" w:rsidP="00C65B3C">
      <w:pPr>
        <w:ind w:left="1416" w:firstLine="1"/>
        <w:rPr>
          <w:lang w:val="es-419" w:eastAsia="es-CO"/>
        </w:rPr>
      </w:pPr>
      <w:r w:rsidRPr="006B72E5">
        <w:rPr>
          <w:lang w:val="es-419" w:eastAsia="es-CO"/>
        </w:rPr>
        <w:t>Ejemplo: durante una visita de inspección, el equipo de la SFC revisa una muestra de expedientes de créditos en mora para verificar que la calificación asignada corresponde con el tiempo de incumplimiento y con el comportamiento del deudor registrado en el sistema.</w:t>
      </w:r>
    </w:p>
    <w:p w14:paraId="4D4BAD1C" w14:textId="0B9E4465" w:rsidR="006B72E5" w:rsidRPr="006B72E5" w:rsidRDefault="006B72E5" w:rsidP="00C52DBF">
      <w:pPr>
        <w:pStyle w:val="Prrafodelista"/>
        <w:numPr>
          <w:ilvl w:val="0"/>
          <w:numId w:val="23"/>
        </w:numPr>
        <w:rPr>
          <w:lang w:val="es-419" w:eastAsia="es-CO"/>
        </w:rPr>
      </w:pPr>
      <w:r w:rsidRPr="006B72E5">
        <w:rPr>
          <w:b/>
          <w:bCs/>
          <w:lang w:val="es-419" w:eastAsia="es-CO"/>
        </w:rPr>
        <w:t>Regulación técnica:</w:t>
      </w:r>
      <w:r w:rsidRPr="006B72E5">
        <w:rPr>
          <w:lang w:val="es-419" w:eastAsia="es-CO"/>
        </w:rPr>
        <w:t xml:space="preserve"> emite las circulares y resoluciones que definen los criterios de clasificación de cartera, los porcentajes de provisión y las normas de cobranza que las entidades vigiladas deben aplicar. Cada actualización de la CBCF puede modificar los procedimientos que el gestor aplica en su trabajo diario.</w:t>
      </w:r>
    </w:p>
    <w:p w14:paraId="6B3CDF3D" w14:textId="77777777" w:rsidR="006B72E5" w:rsidRPr="006B72E5" w:rsidRDefault="006B72E5" w:rsidP="00C65B3C">
      <w:pPr>
        <w:ind w:left="1416" w:firstLine="1"/>
        <w:rPr>
          <w:lang w:val="es-419" w:eastAsia="es-CO"/>
        </w:rPr>
      </w:pPr>
      <w:r w:rsidRPr="006B72E5">
        <w:rPr>
          <w:lang w:val="es-419" w:eastAsia="es-CO"/>
        </w:rPr>
        <w:t>Ejemplo: si la SFC actualiza los criterios de provisión para una modalidad de crédito, el área de cartera debe ajustar sus reportes y verificar que las obligaciones se clasifiquen según los nuevos parámetros establecidos.</w:t>
      </w:r>
    </w:p>
    <w:p w14:paraId="194D1FB9" w14:textId="58204F27" w:rsidR="006B72E5" w:rsidRPr="006B72E5" w:rsidRDefault="006B72E5" w:rsidP="00C52DBF">
      <w:pPr>
        <w:pStyle w:val="Prrafodelista"/>
        <w:numPr>
          <w:ilvl w:val="0"/>
          <w:numId w:val="23"/>
        </w:numPr>
        <w:rPr>
          <w:lang w:val="es-419" w:eastAsia="es-CO"/>
        </w:rPr>
      </w:pPr>
      <w:r w:rsidRPr="006B72E5">
        <w:rPr>
          <w:b/>
          <w:bCs/>
          <w:lang w:val="es-419" w:eastAsia="es-CO"/>
        </w:rPr>
        <w:t>Certificación de tasas:</w:t>
      </w:r>
      <w:r w:rsidRPr="006B72E5">
        <w:rPr>
          <w:lang w:val="es-419" w:eastAsia="es-CO"/>
        </w:rPr>
        <w:t xml:space="preserve"> certifica trimestralmente la tasa de usura y el interés bancario corriente, valores que el gestor debe conocer para verificar que los intereses de mora cobrados a los deudores se encuentran dentro de los límites legales vigentes en cada período.</w:t>
      </w:r>
    </w:p>
    <w:p w14:paraId="3EC6B9B9" w14:textId="77777777" w:rsidR="006B72E5" w:rsidRPr="006B72E5" w:rsidRDefault="006B72E5" w:rsidP="00C65B3C">
      <w:pPr>
        <w:ind w:left="1416" w:firstLine="1"/>
        <w:rPr>
          <w:lang w:val="es-419" w:eastAsia="es-CO"/>
        </w:rPr>
      </w:pPr>
      <w:r w:rsidRPr="006B72E5">
        <w:rPr>
          <w:lang w:val="es-419" w:eastAsia="es-CO"/>
        </w:rPr>
        <w:t>Ejemplo: antes de liquidar intereses de mora sobre una obligación vencida, el gestor consulta la tasa vigente certificada por la SFC para confirmar que el valor cobrado no supere el límite legal permitido.</w:t>
      </w:r>
    </w:p>
    <w:p w14:paraId="68CFCCEA" w14:textId="41E00F62" w:rsidR="006B72E5" w:rsidRPr="006B72E5" w:rsidRDefault="006B72E5" w:rsidP="00C52DBF">
      <w:pPr>
        <w:pStyle w:val="Prrafodelista"/>
        <w:numPr>
          <w:ilvl w:val="0"/>
          <w:numId w:val="23"/>
        </w:numPr>
        <w:rPr>
          <w:lang w:val="es-419" w:eastAsia="es-CO"/>
        </w:rPr>
      </w:pPr>
      <w:r w:rsidRPr="006B72E5">
        <w:rPr>
          <w:b/>
          <w:bCs/>
          <w:lang w:val="es-419" w:eastAsia="es-CO"/>
        </w:rPr>
        <w:t>Atención de consumidores:</w:t>
      </w:r>
      <w:r w:rsidRPr="006B72E5">
        <w:rPr>
          <w:lang w:val="es-419" w:eastAsia="es-CO"/>
        </w:rPr>
        <w:t xml:space="preserve"> recibe quejas de usuarios del sistema financiero que no han sido resueltas satisfactoriamente por la entidad ni </w:t>
      </w:r>
      <w:r w:rsidRPr="006B72E5">
        <w:rPr>
          <w:lang w:val="es-419" w:eastAsia="es-CO"/>
        </w:rPr>
        <w:lastRenderedPageBreak/>
        <w:t xml:space="preserve">por el defensor del consumidor financiero. Las quejas escaladas a la SFC pueden derivar en investigaciones y sanciones si se identifican prácticas indebidas en la cobranza. </w:t>
      </w:r>
    </w:p>
    <w:p w14:paraId="06F51DA1" w14:textId="77777777" w:rsidR="006B72E5" w:rsidRPr="006B72E5" w:rsidRDefault="006B72E5" w:rsidP="00C65B3C">
      <w:pPr>
        <w:ind w:left="1416" w:firstLine="1"/>
        <w:rPr>
          <w:lang w:val="es-419" w:eastAsia="es-CO"/>
        </w:rPr>
      </w:pPr>
      <w:r w:rsidRPr="006B72E5">
        <w:rPr>
          <w:lang w:val="es-419" w:eastAsia="es-CO"/>
        </w:rPr>
        <w:t>Ejemplo: un deudor presenta una queja porque recibió llamadas de cobranza fuera del horario permitido. Si la entidad no resuelve adecuadamente la reclamación, el caso puede escalarse a la SFC para su revisión.</w:t>
      </w:r>
    </w:p>
    <w:p w14:paraId="047E5D31" w14:textId="07233719" w:rsidR="006B72E5" w:rsidRPr="006B72E5" w:rsidRDefault="006B72E5" w:rsidP="00C52DBF">
      <w:pPr>
        <w:pStyle w:val="Prrafodelista"/>
        <w:numPr>
          <w:ilvl w:val="0"/>
          <w:numId w:val="23"/>
        </w:numPr>
        <w:rPr>
          <w:lang w:val="es-419" w:eastAsia="es-CO"/>
        </w:rPr>
      </w:pPr>
      <w:r w:rsidRPr="006B72E5">
        <w:rPr>
          <w:b/>
          <w:bCs/>
          <w:lang w:val="es-419" w:eastAsia="es-CO"/>
        </w:rPr>
        <w:t>Publicación de estadísticas:</w:t>
      </w:r>
      <w:r w:rsidRPr="006B72E5">
        <w:rPr>
          <w:lang w:val="es-419" w:eastAsia="es-CO"/>
        </w:rPr>
        <w:t xml:space="preserve"> publica mensualmente indicadores de calidad de cartera, provisiones y rentabilidad del sector, que permiten al gestor comparar los indicadores de su portafolio con el promedio del mercado y fundamentar sus análisis con información sectorial objetiva. </w:t>
      </w:r>
    </w:p>
    <w:p w14:paraId="7EC9E103" w14:textId="77777777" w:rsidR="006B72E5" w:rsidRPr="006B72E5" w:rsidRDefault="006B72E5" w:rsidP="00C65B3C">
      <w:pPr>
        <w:ind w:left="1416" w:firstLine="1"/>
        <w:rPr>
          <w:lang w:val="es-419" w:eastAsia="es-CO"/>
        </w:rPr>
      </w:pPr>
      <w:r w:rsidRPr="006B72E5">
        <w:rPr>
          <w:lang w:val="es-419" w:eastAsia="es-CO"/>
        </w:rPr>
        <w:t>Ejemplo: el gestor revisa los indicadores publicados por la SFC y observa que el índice de cartera vencida de su entidad supera el promedio del sector. Con esta información, propone reforzar el seguimiento preventivo y priorizar los créditos con mayor riesgo de deterioro.</w:t>
      </w:r>
    </w:p>
    <w:p w14:paraId="62BFF508" w14:textId="2CBBA755" w:rsidR="006B72E5" w:rsidRPr="006B72E5" w:rsidRDefault="006B72E5" w:rsidP="006B72E5">
      <w:pPr>
        <w:rPr>
          <w:lang w:val="es-419" w:eastAsia="es-CO"/>
        </w:rPr>
      </w:pPr>
      <w:r w:rsidRPr="006B72E5">
        <w:rPr>
          <w:lang w:val="es-419" w:eastAsia="es-CO"/>
        </w:rPr>
        <w:t>El conocimiento de las funciones de la SFC permite al gestor de cartera comprender que su trabajo opera dentro de un marco de supervisión permanente que define los estándares mínimos de actuación y puede verificar su cumplimiento en cualquier momento. Actuar con esa conciencia fortalece la calidad y la trazabilidad de cada gestión</w:t>
      </w:r>
      <w:r w:rsidR="00C65B3C">
        <w:rPr>
          <w:lang w:val="es-419" w:eastAsia="es-CO"/>
        </w:rPr>
        <w:t>.</w:t>
      </w:r>
    </w:p>
    <w:p w14:paraId="0FD6DCFA" w14:textId="79281B74" w:rsidR="006B72E5" w:rsidRPr="006B72E5" w:rsidRDefault="006B72E5" w:rsidP="006B72E5">
      <w:pPr>
        <w:rPr>
          <w:lang w:val="es-419" w:eastAsia="es-CO"/>
        </w:rPr>
      </w:pPr>
      <w:r w:rsidRPr="006B72E5">
        <w:rPr>
          <w:lang w:val="es-419" w:eastAsia="es-CO"/>
        </w:rPr>
        <w:t>Una vez identificadas las funciones del regulador principal del sistema financiero, corresponde revisar la entidad cuyas decisiones de política monetaria afectan de manera indirecta pero significativa la cartera de créditos: el Banco de la República.</w:t>
      </w:r>
    </w:p>
    <w:p w14:paraId="4B39B746" w14:textId="6019091D" w:rsidR="0060074A" w:rsidRDefault="0060074A" w:rsidP="0060074A">
      <w:pPr>
        <w:pStyle w:val="Ttulo2"/>
      </w:pPr>
      <w:bookmarkStart w:id="21" w:name="_Toc232493845"/>
      <w:r w:rsidRPr="0060074A">
        <w:lastRenderedPageBreak/>
        <w:t>El Banco de la República y la cartera</w:t>
      </w:r>
      <w:bookmarkEnd w:id="21"/>
    </w:p>
    <w:p w14:paraId="7D2E9D89" w14:textId="77777777" w:rsidR="006B72E5" w:rsidRPr="006B72E5" w:rsidRDefault="006B72E5" w:rsidP="006B72E5">
      <w:pPr>
        <w:rPr>
          <w:lang w:val="es-419" w:eastAsia="es-CO"/>
        </w:rPr>
      </w:pPr>
      <w:r w:rsidRPr="006B72E5">
        <w:rPr>
          <w:lang w:val="es-419" w:eastAsia="es-CO"/>
        </w:rPr>
        <w:t>El Banco de la República es el banco central de Colombia, encargado de mantener la estabilidad de precios, preservar el poder adquisitivo de la moneda y contribuir a la estabilidad del sistema financiero. Aunque el Banco de la República no regula directamente la gestión de cartera, sus decisiones de política monetaria tienen impacto directo sobre las condiciones en que operan las entidades financieras y sobre el comportamiento de sus deudores.</w:t>
      </w:r>
    </w:p>
    <w:p w14:paraId="005E9CBD" w14:textId="77777777" w:rsidR="006B72E5" w:rsidRPr="006B72E5" w:rsidRDefault="006B72E5" w:rsidP="006B72E5">
      <w:pPr>
        <w:rPr>
          <w:lang w:val="es-419" w:eastAsia="es-CO"/>
        </w:rPr>
      </w:pPr>
      <w:r w:rsidRPr="006B72E5">
        <w:rPr>
          <w:lang w:val="es-419" w:eastAsia="es-CO"/>
        </w:rPr>
        <w:t>Asimismo, la tasa de interés de intervención del Banco de la República es la tasa de referencia sobre la que se construyen las tasas activas del sistema financiero. Cuando el Banco modifica esta tasa, las entidades ajustan sus tasas de colocación, lo que afecta el costo de los nuevos créditos y, en créditos con tasa variable, las condiciones de pago de los deudores.</w:t>
      </w:r>
    </w:p>
    <w:p w14:paraId="48AFBDD3" w14:textId="77777777" w:rsidR="006B72E5" w:rsidRPr="006B72E5" w:rsidRDefault="006B72E5" w:rsidP="006B72E5">
      <w:pPr>
        <w:rPr>
          <w:lang w:val="es-419" w:eastAsia="es-CO"/>
        </w:rPr>
      </w:pPr>
      <w:r w:rsidRPr="006B72E5">
        <w:rPr>
          <w:lang w:val="es-419" w:eastAsia="es-CO"/>
        </w:rPr>
        <w:t>Los mecanismos a través de los cuales las decisiones del Banco de la República impactan la gestión de cartera son los siguientes:</w:t>
      </w:r>
    </w:p>
    <w:p w14:paraId="19122637" w14:textId="29A34D9B" w:rsidR="006B72E5" w:rsidRPr="006B72E5" w:rsidRDefault="006B72E5" w:rsidP="00C52DBF">
      <w:pPr>
        <w:pStyle w:val="Prrafodelista"/>
        <w:numPr>
          <w:ilvl w:val="0"/>
          <w:numId w:val="23"/>
        </w:numPr>
        <w:rPr>
          <w:lang w:val="es-419" w:eastAsia="es-CO"/>
        </w:rPr>
      </w:pPr>
      <w:r w:rsidRPr="006B72E5">
        <w:rPr>
          <w:b/>
          <w:bCs/>
          <w:lang w:val="es-419" w:eastAsia="es-CO"/>
        </w:rPr>
        <w:t>Incremento de la tasa de intervención:</w:t>
      </w:r>
      <w:r w:rsidRPr="006B72E5">
        <w:rPr>
          <w:lang w:val="es-419" w:eastAsia="es-CO"/>
        </w:rPr>
        <w:t xml:space="preserve"> cuando el </w:t>
      </w:r>
      <w:r w:rsidR="00A6002B">
        <w:rPr>
          <w:lang w:val="es-419" w:eastAsia="es-CO"/>
        </w:rPr>
        <w:t>b</w:t>
      </w:r>
      <w:r w:rsidRPr="006B72E5">
        <w:rPr>
          <w:lang w:val="es-419" w:eastAsia="es-CO"/>
        </w:rPr>
        <w:t>anco eleva su tasa para controlar la inflación, el costo del crédito sube. Esto puede dificultar el cumplimiento de los deudores que tienen créditos a tasa variable, incrementar la demanda de reestructuraciones y aumentar la presión sobre la cartera de las entidades.</w:t>
      </w:r>
    </w:p>
    <w:p w14:paraId="6850D6AF" w14:textId="6EB91F46" w:rsidR="006B72E5" w:rsidRPr="006B72E5" w:rsidRDefault="006B72E5" w:rsidP="00C52DBF">
      <w:pPr>
        <w:pStyle w:val="Prrafodelista"/>
        <w:numPr>
          <w:ilvl w:val="0"/>
          <w:numId w:val="23"/>
        </w:numPr>
        <w:rPr>
          <w:lang w:val="es-419" w:eastAsia="es-CO"/>
        </w:rPr>
      </w:pPr>
      <w:r w:rsidRPr="006B72E5">
        <w:rPr>
          <w:b/>
          <w:bCs/>
          <w:lang w:val="es-419" w:eastAsia="es-CO"/>
        </w:rPr>
        <w:t>Reducción de la tasa de intervención:</w:t>
      </w:r>
      <w:r w:rsidRPr="006B72E5">
        <w:rPr>
          <w:lang w:val="es-419" w:eastAsia="es-CO"/>
        </w:rPr>
        <w:t xml:space="preserve"> cuando el </w:t>
      </w:r>
      <w:r w:rsidR="00A6002B">
        <w:rPr>
          <w:lang w:val="es-419" w:eastAsia="es-CO"/>
        </w:rPr>
        <w:t>b</w:t>
      </w:r>
      <w:r w:rsidRPr="006B72E5">
        <w:rPr>
          <w:lang w:val="es-419" w:eastAsia="es-CO"/>
        </w:rPr>
        <w:t>anco baja su tasa para estimular la economía, el costo del crédito disminuye. Esto facilita el cumplimiento de los deudores con tasas variables y puede generar un ambiente más favorable para la recuperación de obligaciones reestructuradas.</w:t>
      </w:r>
    </w:p>
    <w:p w14:paraId="0048D517" w14:textId="03537DB8" w:rsidR="006B72E5" w:rsidRPr="006B72E5" w:rsidRDefault="006B72E5" w:rsidP="00C52DBF">
      <w:pPr>
        <w:pStyle w:val="Prrafodelista"/>
        <w:numPr>
          <w:ilvl w:val="0"/>
          <w:numId w:val="23"/>
        </w:numPr>
        <w:rPr>
          <w:lang w:val="es-419" w:eastAsia="es-CO"/>
        </w:rPr>
      </w:pPr>
      <w:r w:rsidRPr="006B72E5">
        <w:rPr>
          <w:b/>
          <w:bCs/>
          <w:lang w:val="es-419" w:eastAsia="es-CO"/>
        </w:rPr>
        <w:lastRenderedPageBreak/>
        <w:t>Informes de política monetaria:</w:t>
      </w:r>
      <w:r w:rsidRPr="006B72E5">
        <w:rPr>
          <w:lang w:val="es-419" w:eastAsia="es-CO"/>
        </w:rPr>
        <w:t xml:space="preserve"> el </w:t>
      </w:r>
      <w:r w:rsidR="00A6002B">
        <w:rPr>
          <w:lang w:val="es-419" w:eastAsia="es-CO"/>
        </w:rPr>
        <w:t>b</w:t>
      </w:r>
      <w:r w:rsidRPr="006B72E5">
        <w:rPr>
          <w:lang w:val="es-419" w:eastAsia="es-CO"/>
        </w:rPr>
        <w:t>anco publica trimestralmente su Informe de Política Monetaria, que incluye proyecciones sobre inflación, crecimiento económico y estabilidad financiera. Esta información es útil para el gestor al proyectar el comportamiento de la cartera en el mediano plazo.</w:t>
      </w:r>
    </w:p>
    <w:p w14:paraId="05237AD9" w14:textId="77777777" w:rsidR="006B72E5" w:rsidRPr="006B72E5" w:rsidRDefault="006B72E5" w:rsidP="006B72E5">
      <w:pPr>
        <w:rPr>
          <w:lang w:val="es-419" w:eastAsia="es-CO"/>
        </w:rPr>
      </w:pPr>
      <w:r w:rsidRPr="006B72E5">
        <w:rPr>
          <w:lang w:val="es-419" w:eastAsia="es-CO"/>
        </w:rPr>
        <w:t>El conocimiento del papel del Banco de la República en el sistema financiero colombiano le permite al gestor de cartera anticipar el impacto macroeconómico sobre el comportamiento de sus deudores y comprender los contextos en los que se producen los incrementos o disminuciones en los niveles de mora de su portafolio.</w:t>
      </w:r>
    </w:p>
    <w:p w14:paraId="6F2D8AFA" w14:textId="77777777" w:rsidR="006B72E5" w:rsidRPr="006B72E5" w:rsidRDefault="006B72E5" w:rsidP="006B72E5">
      <w:pPr>
        <w:rPr>
          <w:lang w:val="es-419" w:eastAsia="es-CO"/>
        </w:rPr>
      </w:pPr>
      <w:r w:rsidRPr="006B72E5">
        <w:rPr>
          <w:lang w:val="es-419" w:eastAsia="es-CO"/>
        </w:rPr>
        <w:t>El papel del Banco de la República permite comprender que la cartera de créditos también está influida por factores macroeconómicos. Aunque esta entidad no administra directamente los créditos de los bancos, sus decisiones sobre la tasa de intervención, la inflación y la estabilidad monetaria inciden en el costo del dinero, la capacidad de pago de los deudores y las estrategias de recuperación que aplican las entidades financieras.</w:t>
      </w:r>
    </w:p>
    <w:p w14:paraId="5651F3B9" w14:textId="77777777" w:rsidR="006B72E5" w:rsidRPr="006B72E5" w:rsidRDefault="006B72E5" w:rsidP="006B72E5">
      <w:pPr>
        <w:rPr>
          <w:lang w:val="es-419" w:eastAsia="es-CO"/>
        </w:rPr>
      </w:pPr>
      <w:r w:rsidRPr="006B72E5">
        <w:rPr>
          <w:lang w:val="es-419" w:eastAsia="es-CO"/>
        </w:rPr>
        <w:t>En la gestión de cartera, estos efectos pueden observarse en situaciones como las siguientes:</w:t>
      </w:r>
    </w:p>
    <w:p w14:paraId="20FFE942" w14:textId="1AE8C5B9" w:rsidR="006B72E5" w:rsidRPr="006B72E5" w:rsidRDefault="006B72E5" w:rsidP="00C52DBF">
      <w:pPr>
        <w:pStyle w:val="Prrafodelista"/>
        <w:numPr>
          <w:ilvl w:val="0"/>
          <w:numId w:val="24"/>
        </w:numPr>
        <w:rPr>
          <w:lang w:val="es-419" w:eastAsia="es-CO"/>
        </w:rPr>
      </w:pPr>
      <w:r w:rsidRPr="006B72E5">
        <w:rPr>
          <w:lang w:val="es-419" w:eastAsia="es-CO"/>
        </w:rPr>
        <w:t xml:space="preserve">Aumento en el valor de las cuotas de créditos con tasa variable. </w:t>
      </w:r>
    </w:p>
    <w:p w14:paraId="14A455C8" w14:textId="71145196" w:rsidR="006B72E5" w:rsidRPr="006B72E5" w:rsidRDefault="006B72E5" w:rsidP="00C52DBF">
      <w:pPr>
        <w:pStyle w:val="Prrafodelista"/>
        <w:numPr>
          <w:ilvl w:val="0"/>
          <w:numId w:val="24"/>
        </w:numPr>
        <w:rPr>
          <w:lang w:val="es-419" w:eastAsia="es-CO"/>
        </w:rPr>
      </w:pPr>
      <w:r w:rsidRPr="006B72E5">
        <w:rPr>
          <w:lang w:val="es-419" w:eastAsia="es-CO"/>
        </w:rPr>
        <w:t xml:space="preserve">Mayor dificultad de pago cuando sube el costo del crédito. </w:t>
      </w:r>
    </w:p>
    <w:p w14:paraId="7F7B9419" w14:textId="6E529E2C" w:rsidR="006B72E5" w:rsidRPr="006B72E5" w:rsidRDefault="006B72E5" w:rsidP="00C52DBF">
      <w:pPr>
        <w:pStyle w:val="Prrafodelista"/>
        <w:numPr>
          <w:ilvl w:val="0"/>
          <w:numId w:val="24"/>
        </w:numPr>
        <w:rPr>
          <w:lang w:val="es-419" w:eastAsia="es-CO"/>
        </w:rPr>
      </w:pPr>
      <w:r w:rsidRPr="006B72E5">
        <w:rPr>
          <w:lang w:val="es-419" w:eastAsia="es-CO"/>
        </w:rPr>
        <w:t xml:space="preserve">Incremento de solicitudes de refinanciación o reestructuración. </w:t>
      </w:r>
    </w:p>
    <w:p w14:paraId="42ED76FF" w14:textId="59436963" w:rsidR="006B72E5" w:rsidRPr="006B72E5" w:rsidRDefault="006B72E5" w:rsidP="00C52DBF">
      <w:pPr>
        <w:pStyle w:val="Prrafodelista"/>
        <w:numPr>
          <w:ilvl w:val="0"/>
          <w:numId w:val="24"/>
        </w:numPr>
        <w:rPr>
          <w:lang w:val="es-419" w:eastAsia="es-CO"/>
        </w:rPr>
      </w:pPr>
      <w:r w:rsidRPr="006B72E5">
        <w:rPr>
          <w:lang w:val="es-419" w:eastAsia="es-CO"/>
        </w:rPr>
        <w:t xml:space="preserve">Mejores condiciones de pago cuando disminuyen las tasas de interés. </w:t>
      </w:r>
    </w:p>
    <w:p w14:paraId="2AFAEE7A" w14:textId="444D15FD" w:rsidR="006B72E5" w:rsidRPr="006B72E5" w:rsidRDefault="006B72E5" w:rsidP="00C52DBF">
      <w:pPr>
        <w:pStyle w:val="Prrafodelista"/>
        <w:numPr>
          <w:ilvl w:val="0"/>
          <w:numId w:val="24"/>
        </w:numPr>
        <w:rPr>
          <w:lang w:val="es-419" w:eastAsia="es-CO"/>
        </w:rPr>
      </w:pPr>
      <w:r w:rsidRPr="006B72E5">
        <w:rPr>
          <w:lang w:val="es-419" w:eastAsia="es-CO"/>
        </w:rPr>
        <w:t xml:space="preserve">Necesidad de ajustar las estrategias de seguimiento según el contexto económico. </w:t>
      </w:r>
    </w:p>
    <w:p w14:paraId="779B8FFD" w14:textId="377C437A" w:rsidR="006B72E5" w:rsidRPr="006B72E5" w:rsidRDefault="006B72E5" w:rsidP="00C52DBF">
      <w:pPr>
        <w:pStyle w:val="Prrafodelista"/>
        <w:numPr>
          <w:ilvl w:val="0"/>
          <w:numId w:val="24"/>
        </w:numPr>
        <w:rPr>
          <w:lang w:val="es-419" w:eastAsia="es-CO"/>
        </w:rPr>
      </w:pPr>
      <w:r w:rsidRPr="006B72E5">
        <w:rPr>
          <w:lang w:val="es-419" w:eastAsia="es-CO"/>
        </w:rPr>
        <w:lastRenderedPageBreak/>
        <w:t xml:space="preserve">Uso de informes económicos para anticipar posibles cambios en la mora. </w:t>
      </w:r>
    </w:p>
    <w:p w14:paraId="25EFDCAA" w14:textId="77777777" w:rsidR="006B72E5" w:rsidRPr="006B72E5" w:rsidRDefault="006B72E5" w:rsidP="006B72E5">
      <w:pPr>
        <w:rPr>
          <w:lang w:val="es-419" w:eastAsia="es-CO"/>
        </w:rPr>
      </w:pPr>
      <w:r w:rsidRPr="006B72E5">
        <w:rPr>
          <w:lang w:val="es-419" w:eastAsia="es-CO"/>
        </w:rPr>
        <w:t>De esta manera, el gestor de cartera no solo debe revisar el comportamiento individual de cada obligación, sino también interpretar el entorno económico que influye en la capacidad de pago de los deudores. Esta comprensión permite anticipar riesgos, orientar mejor las decisiones de recuperación y actuar con mayor criterio técnico frente a los cambios del sistema financiero.</w:t>
      </w:r>
    </w:p>
    <w:p w14:paraId="3B7F7A12" w14:textId="360F2146" w:rsidR="006B72E5" w:rsidRDefault="006B72E5" w:rsidP="006B72E5">
      <w:pPr>
        <w:rPr>
          <w:lang w:val="es-419" w:eastAsia="es-CO"/>
        </w:rPr>
      </w:pPr>
      <w:r w:rsidRPr="006B72E5">
        <w:rPr>
          <w:lang w:val="es-419" w:eastAsia="es-CO"/>
        </w:rPr>
        <w:t>Una vez revisado el papel del Banco de la República en la política monetaria y su efecto sobre la cartera, corresponde conocer la entidad que protege los ahorros del público en caso de liquidación de una institución financiera, el FOGAFIN.</w:t>
      </w:r>
    </w:p>
    <w:p w14:paraId="7D7C5983" w14:textId="77777777" w:rsidR="00C65B3C" w:rsidRPr="006B72E5" w:rsidRDefault="00C65B3C" w:rsidP="006B72E5">
      <w:pPr>
        <w:rPr>
          <w:lang w:val="es-419" w:eastAsia="es-CO"/>
        </w:rPr>
      </w:pPr>
    </w:p>
    <w:p w14:paraId="0038E7DA" w14:textId="287B1816" w:rsidR="0060074A" w:rsidRDefault="0060074A" w:rsidP="0060074A">
      <w:pPr>
        <w:pStyle w:val="Ttulo2"/>
      </w:pPr>
      <w:bookmarkStart w:id="22" w:name="_Toc232493846"/>
      <w:r w:rsidRPr="0060074A">
        <w:t>Fondo de Garantías de Instituciones Financieras (FOGAFIN)</w:t>
      </w:r>
      <w:bookmarkEnd w:id="22"/>
    </w:p>
    <w:p w14:paraId="7A364BD8" w14:textId="77777777" w:rsidR="006B72E5" w:rsidRPr="006B72E5" w:rsidRDefault="006B72E5" w:rsidP="006B72E5">
      <w:pPr>
        <w:rPr>
          <w:lang w:val="es-419" w:eastAsia="es-CO"/>
        </w:rPr>
      </w:pPr>
      <w:r w:rsidRPr="006B72E5">
        <w:rPr>
          <w:lang w:val="es-419" w:eastAsia="es-CO"/>
        </w:rPr>
        <w:t>El Fondo de Garantías de Instituciones Financieras (FOGAFIN) es la entidad estatal encargada de proteger los ahorros del público depositados en las instituciones financieras colombianas mediante el Seguro de Depósitos. Este mecanismo garantiza que, ante la liquidación de una entidad vigilada, los depositantes recibirán una compensación por los recursos que tenían en esa institución, hasta el valor cubierto por el seguro.</w:t>
      </w:r>
    </w:p>
    <w:p w14:paraId="1008A564" w14:textId="77777777" w:rsidR="006B72E5" w:rsidRPr="006B72E5" w:rsidRDefault="006B72E5" w:rsidP="006B72E5">
      <w:pPr>
        <w:rPr>
          <w:lang w:val="es-419" w:eastAsia="es-CO"/>
        </w:rPr>
      </w:pPr>
      <w:r w:rsidRPr="006B72E5">
        <w:rPr>
          <w:lang w:val="es-419" w:eastAsia="es-CO"/>
        </w:rPr>
        <w:t>Asimismo, FOGAFIN tiene facultades para realizar operaciones de fortalecimiento patrimonial de entidades en dificultades, administrar los procesos de liquidación de instituciones financieras y apoyar los mecanismos de resolución de crisis del sistema financiero. Su presencia en el sistema financiero colombiano cumple una función de estabilización que mantiene la confianza del público en las instituciones financieras.</w:t>
      </w:r>
    </w:p>
    <w:p w14:paraId="36BDB3FD" w14:textId="77777777" w:rsidR="006B72E5" w:rsidRPr="006B72E5" w:rsidRDefault="006B72E5" w:rsidP="006B72E5">
      <w:pPr>
        <w:rPr>
          <w:lang w:val="es-419" w:eastAsia="es-CO"/>
        </w:rPr>
      </w:pPr>
      <w:r w:rsidRPr="006B72E5">
        <w:rPr>
          <w:lang w:val="es-419" w:eastAsia="es-CO"/>
        </w:rPr>
        <w:lastRenderedPageBreak/>
        <w:t>Los aspectos de FOGAFIN con mayor relevancia para el gestor de cartera son los siguientes:</w:t>
      </w:r>
    </w:p>
    <w:p w14:paraId="26AEAF67" w14:textId="50CADC9E" w:rsidR="006B72E5" w:rsidRPr="006B72E5" w:rsidRDefault="006B72E5" w:rsidP="00C52DBF">
      <w:pPr>
        <w:pStyle w:val="Prrafodelista"/>
        <w:numPr>
          <w:ilvl w:val="0"/>
          <w:numId w:val="25"/>
        </w:numPr>
        <w:rPr>
          <w:lang w:val="es-419" w:eastAsia="es-CO"/>
        </w:rPr>
      </w:pPr>
      <w:r w:rsidRPr="006B72E5">
        <w:rPr>
          <w:b/>
          <w:bCs/>
          <w:lang w:val="es-419" w:eastAsia="es-CO"/>
        </w:rPr>
        <w:t>Seguro de depósitos:</w:t>
      </w:r>
      <w:r w:rsidRPr="006B72E5">
        <w:rPr>
          <w:lang w:val="es-419" w:eastAsia="es-CO"/>
        </w:rPr>
        <w:t xml:space="preserve"> garantiza que los ahorradores recuperen sus recursos hasta el monto asegurado en caso de liquidación de la entidad. Este mecanismo preserva la confianza del público en el sistema financiero, lo que contribuye a mantener la captación de recursos que financia la cartera de créditos.</w:t>
      </w:r>
    </w:p>
    <w:p w14:paraId="168BC8A1" w14:textId="3838FF16" w:rsidR="006B72E5" w:rsidRPr="006B72E5" w:rsidRDefault="006B72E5" w:rsidP="00C52DBF">
      <w:pPr>
        <w:pStyle w:val="Prrafodelista"/>
        <w:numPr>
          <w:ilvl w:val="0"/>
          <w:numId w:val="25"/>
        </w:numPr>
        <w:rPr>
          <w:lang w:val="es-419" w:eastAsia="es-CO"/>
        </w:rPr>
      </w:pPr>
      <w:r w:rsidRPr="006B72E5">
        <w:rPr>
          <w:b/>
          <w:bCs/>
          <w:lang w:val="es-419" w:eastAsia="es-CO"/>
        </w:rPr>
        <w:t>Procesos de resolución:</w:t>
      </w:r>
      <w:r w:rsidRPr="006B72E5">
        <w:rPr>
          <w:lang w:val="es-419" w:eastAsia="es-CO"/>
        </w:rPr>
        <w:t xml:space="preserve"> cuando una entidad financiera es objeto de medidas de resolución por parte de la SFC y FOGAFIN, los procesos de cartera continúan bajo la administración de quien asuma el control de la institución. El gestor debe conocer cómo operan estos procesos para entender qué ocurre con las obligaciones bajo su administración en situaciones de crisis institucional.</w:t>
      </w:r>
    </w:p>
    <w:p w14:paraId="0B9C8389" w14:textId="68E6DEF9" w:rsidR="006B72E5" w:rsidRPr="006B72E5" w:rsidRDefault="006B72E5" w:rsidP="00C52DBF">
      <w:pPr>
        <w:pStyle w:val="Prrafodelista"/>
        <w:numPr>
          <w:ilvl w:val="0"/>
          <w:numId w:val="25"/>
        </w:numPr>
        <w:rPr>
          <w:lang w:val="es-419" w:eastAsia="es-CO"/>
        </w:rPr>
      </w:pPr>
      <w:r w:rsidRPr="006B72E5">
        <w:rPr>
          <w:b/>
          <w:bCs/>
          <w:lang w:val="es-419" w:eastAsia="es-CO"/>
        </w:rPr>
        <w:t>Información pública:</w:t>
      </w:r>
      <w:r w:rsidRPr="006B72E5">
        <w:rPr>
          <w:lang w:val="es-419" w:eastAsia="es-CO"/>
        </w:rPr>
        <w:t xml:space="preserve"> FOGAFIN publica informes periódicos sobre el estado del sistema financiero colombiano y sobre la cobertura del seguro de depósitos, que son fuentes de información útiles para el análisis del entorno sectorial.</w:t>
      </w:r>
    </w:p>
    <w:p w14:paraId="0E6ED758" w14:textId="77777777" w:rsidR="006B72E5" w:rsidRPr="006B72E5" w:rsidRDefault="006B72E5" w:rsidP="006B72E5">
      <w:pPr>
        <w:rPr>
          <w:lang w:val="es-419" w:eastAsia="es-CO"/>
        </w:rPr>
      </w:pPr>
      <w:r w:rsidRPr="006B72E5">
        <w:rPr>
          <w:lang w:val="es-419" w:eastAsia="es-CO"/>
        </w:rPr>
        <w:t>El conocimiento de FOGAFIN y su función de protección de depósitos le permite al gestor de cartera comprender uno de los pilares que sostiene la estabilidad del sistema financiero colombiano y la confianza del público en las instituciones que administran sus recursos.</w:t>
      </w:r>
    </w:p>
    <w:p w14:paraId="1557CF39" w14:textId="2682E3B0" w:rsidR="006B72E5" w:rsidRDefault="006B72E5" w:rsidP="006B72E5">
      <w:pPr>
        <w:rPr>
          <w:lang w:val="es-419" w:eastAsia="es-CO"/>
        </w:rPr>
      </w:pPr>
      <w:r w:rsidRPr="006B72E5">
        <w:rPr>
          <w:lang w:val="es-419" w:eastAsia="es-CO"/>
        </w:rPr>
        <w:t xml:space="preserve">Con la revisión de FOGAFIN se completa el panorama de las entidades que contribuyen a la estabilidad, vigilancia y protección del sistema financiero colombiano. A continuación, se aborda la Unidad de Gestión Pensional y Parafiscales (UGPP), </w:t>
      </w:r>
      <w:r w:rsidRPr="006B72E5">
        <w:rPr>
          <w:lang w:val="es-419" w:eastAsia="es-CO"/>
        </w:rPr>
        <w:lastRenderedPageBreak/>
        <w:t>entidad que cumple funciones de fiscalización relacionadas con el pago correcto y oportuno de las obligaciones parafiscales.</w:t>
      </w:r>
    </w:p>
    <w:p w14:paraId="06659C66" w14:textId="77777777" w:rsidR="00C65B3C" w:rsidRPr="006B72E5" w:rsidRDefault="00C65B3C" w:rsidP="006B72E5">
      <w:pPr>
        <w:rPr>
          <w:lang w:val="es-419" w:eastAsia="es-CO"/>
        </w:rPr>
      </w:pPr>
    </w:p>
    <w:p w14:paraId="22234D7F" w14:textId="1D97231A" w:rsidR="0060074A" w:rsidRDefault="0060074A" w:rsidP="0060074A">
      <w:pPr>
        <w:pStyle w:val="Ttulo2"/>
      </w:pPr>
      <w:bookmarkStart w:id="23" w:name="_Toc232493847"/>
      <w:r w:rsidRPr="0060074A">
        <w:t>La UGPP y su rol en la fiscalización del sector</w:t>
      </w:r>
      <w:bookmarkEnd w:id="23"/>
    </w:p>
    <w:p w14:paraId="6F6E3B46" w14:textId="77777777" w:rsidR="006B72E5" w:rsidRPr="006B72E5" w:rsidRDefault="006B72E5" w:rsidP="006B72E5">
      <w:pPr>
        <w:rPr>
          <w:lang w:val="es-419" w:eastAsia="es-CO"/>
        </w:rPr>
      </w:pPr>
      <w:r w:rsidRPr="006B72E5">
        <w:rPr>
          <w:lang w:val="es-419" w:eastAsia="es-CO"/>
        </w:rPr>
        <w:t>La Unidad de Gestión Pensional y Parafiscal (UGPP) tiene un rol específico en el contexto del sistema financiero relacionado con la fiscalización del pago correcto de los aportes al sistema de seguridad social integral por parte de las entidades financieras en su calidad de empleadoras. Aunque su función no regula directamente la cartera de créditos, su impacto sobre la gestión administrativa de las entidades es relevante.</w:t>
      </w:r>
    </w:p>
    <w:p w14:paraId="72E4D015" w14:textId="77777777" w:rsidR="006B72E5" w:rsidRPr="006B72E5" w:rsidRDefault="006B72E5" w:rsidP="006B72E5">
      <w:pPr>
        <w:rPr>
          <w:lang w:val="es-419" w:eastAsia="es-CO"/>
        </w:rPr>
      </w:pPr>
      <w:r w:rsidRPr="006B72E5">
        <w:rPr>
          <w:lang w:val="es-419" w:eastAsia="es-CO"/>
        </w:rPr>
        <w:t>Asimismo, la UGPP tiene facultades para requerir información financiera de las entidades, incluyendo información de nómina, pagos y contratos de prestación de servicios que permita verificar el cumplimiento de las obligaciones parafiscales. Para el área de cartera, esto se traduce en la obligación de mantener registros ordenados y verificables de todas las personas vinculadas a la gestión.</w:t>
      </w:r>
    </w:p>
    <w:p w14:paraId="4F0FA5F2" w14:textId="77777777" w:rsidR="006B72E5" w:rsidRPr="006B72E5" w:rsidRDefault="006B72E5" w:rsidP="006B72E5">
      <w:pPr>
        <w:rPr>
          <w:lang w:val="es-419" w:eastAsia="es-CO"/>
        </w:rPr>
      </w:pPr>
      <w:r w:rsidRPr="006B72E5">
        <w:rPr>
          <w:lang w:val="es-419" w:eastAsia="es-CO"/>
        </w:rPr>
        <w:t>Los aspectos de la actuación de la UGPP con mayor relevancia para las entidades del sector financiero son los siguientes:</w:t>
      </w:r>
    </w:p>
    <w:p w14:paraId="265E198B" w14:textId="47615BC5" w:rsidR="006B72E5" w:rsidRPr="006B72E5" w:rsidRDefault="006B72E5" w:rsidP="00C52DBF">
      <w:pPr>
        <w:pStyle w:val="Prrafodelista"/>
        <w:numPr>
          <w:ilvl w:val="0"/>
          <w:numId w:val="26"/>
        </w:numPr>
        <w:rPr>
          <w:lang w:val="es-419" w:eastAsia="es-CO"/>
        </w:rPr>
      </w:pPr>
      <w:r w:rsidRPr="006B72E5">
        <w:rPr>
          <w:b/>
          <w:bCs/>
          <w:lang w:val="es-419" w:eastAsia="es-CO"/>
        </w:rPr>
        <w:t>Fiscalización de aportes al sistema de seguridad social:</w:t>
      </w:r>
      <w:r w:rsidRPr="006B72E5">
        <w:rPr>
          <w:lang w:val="es-419" w:eastAsia="es-CO"/>
        </w:rPr>
        <w:t xml:space="preserve"> la UGPP verifica que las entidades liquidaron y pagaron correctamente los aportes a salud, pensión y riesgos laborales de sus trabajadores y contratistas. Un error en estos cálculos puede generar glosas con intereses moratorios y multas significativas.</w:t>
      </w:r>
    </w:p>
    <w:p w14:paraId="0306C12B" w14:textId="3948DED0" w:rsidR="006B72E5" w:rsidRPr="006B72E5" w:rsidRDefault="006B72E5" w:rsidP="00C52DBF">
      <w:pPr>
        <w:pStyle w:val="Prrafodelista"/>
        <w:numPr>
          <w:ilvl w:val="0"/>
          <w:numId w:val="26"/>
        </w:numPr>
        <w:rPr>
          <w:lang w:val="es-419" w:eastAsia="es-CO"/>
        </w:rPr>
      </w:pPr>
      <w:r w:rsidRPr="00C65B3C">
        <w:rPr>
          <w:b/>
          <w:bCs/>
          <w:lang w:val="es-419" w:eastAsia="es-CO"/>
        </w:rPr>
        <w:t>Requerimientos de información:</w:t>
      </w:r>
      <w:r w:rsidRPr="006B72E5">
        <w:rPr>
          <w:lang w:val="es-419" w:eastAsia="es-CO"/>
        </w:rPr>
        <w:t xml:space="preserve"> la UGPP puede solicitar a las entidades financieras información detallada sobre sus contratos, nóminas y pagos </w:t>
      </w:r>
      <w:r w:rsidRPr="006B72E5">
        <w:rPr>
          <w:lang w:val="es-419" w:eastAsia="es-CO"/>
        </w:rPr>
        <w:lastRenderedPageBreak/>
        <w:t>para verificar el cumplimiento. Esta información debe estar disponible y bien organizada para atender oportunamente cualquier requerimiento.</w:t>
      </w:r>
    </w:p>
    <w:p w14:paraId="352D2FAA" w14:textId="29916F9D" w:rsidR="006B72E5" w:rsidRPr="006B72E5" w:rsidRDefault="006B72E5" w:rsidP="00C52DBF">
      <w:pPr>
        <w:pStyle w:val="Prrafodelista"/>
        <w:numPr>
          <w:ilvl w:val="0"/>
          <w:numId w:val="26"/>
        </w:numPr>
        <w:rPr>
          <w:lang w:val="es-419" w:eastAsia="es-CO"/>
        </w:rPr>
      </w:pPr>
      <w:r w:rsidRPr="006B72E5">
        <w:rPr>
          <w:b/>
          <w:bCs/>
          <w:lang w:val="es-419" w:eastAsia="es-CO"/>
        </w:rPr>
        <w:t>Sanciones por incumplimiento:</w:t>
      </w:r>
      <w:r w:rsidRPr="006B72E5">
        <w:rPr>
          <w:lang w:val="es-419" w:eastAsia="es-CO"/>
        </w:rPr>
        <w:t xml:space="preserve"> la UGPP puede imponer la liquidación de los aportes omitidos más intereses moratorios y multas por inexactitud cuando detecta errores u omisiones en el pago de las contribuciones parafiscales. Estas sanciones representan costos financieros adicionales para la entidad.</w:t>
      </w:r>
    </w:p>
    <w:p w14:paraId="218A6A93" w14:textId="77777777" w:rsidR="006B72E5" w:rsidRPr="006B72E5" w:rsidRDefault="006B72E5" w:rsidP="006B72E5">
      <w:pPr>
        <w:rPr>
          <w:lang w:val="es-419" w:eastAsia="es-CO"/>
        </w:rPr>
      </w:pPr>
      <w:r w:rsidRPr="006B72E5">
        <w:rPr>
          <w:lang w:val="es-419" w:eastAsia="es-CO"/>
        </w:rPr>
        <w:t>El conocimiento del rol de la UGPP en el sistema financiero le permite al gestor de cartera comprender uno de los frentes de fiscalización al que están expuestas las entidades y la importancia de mantener registros completos y correctos de todas las vinculaciones laborales y contractuales del área.</w:t>
      </w:r>
    </w:p>
    <w:p w14:paraId="4A2A69D9" w14:textId="3C5FC71E" w:rsidR="006B72E5" w:rsidRDefault="006B72E5" w:rsidP="006B72E5">
      <w:pPr>
        <w:rPr>
          <w:lang w:val="es-419" w:eastAsia="es-CO"/>
        </w:rPr>
      </w:pPr>
      <w:r w:rsidRPr="006B72E5">
        <w:rPr>
          <w:lang w:val="es-419" w:eastAsia="es-CO"/>
        </w:rPr>
        <w:t>Una vez revisadas las entidades de supervisión y fiscalización del sistema financiero colombiano, es necesario conocer las organizaciones que representan los intereses del sector y producen información estadística de referencia para la gestión de cartera, los gremios del sector financiero.</w:t>
      </w:r>
    </w:p>
    <w:p w14:paraId="4166ACA7" w14:textId="77777777" w:rsidR="00C65B3C" w:rsidRPr="006B72E5" w:rsidRDefault="00C65B3C" w:rsidP="006B72E5">
      <w:pPr>
        <w:rPr>
          <w:lang w:val="es-419" w:eastAsia="es-CO"/>
        </w:rPr>
      </w:pPr>
    </w:p>
    <w:p w14:paraId="3F60B690" w14:textId="1CD06EC0" w:rsidR="0060074A" w:rsidRDefault="0060074A" w:rsidP="0060074A">
      <w:pPr>
        <w:pStyle w:val="Ttulo2"/>
      </w:pPr>
      <w:bookmarkStart w:id="24" w:name="_Toc232493848"/>
      <w:r w:rsidRPr="0060074A">
        <w:t xml:space="preserve">Gremios del sector: Asobancaria y </w:t>
      </w:r>
      <w:proofErr w:type="spellStart"/>
      <w:r w:rsidRPr="0060074A">
        <w:t>Asomicrofinanzas</w:t>
      </w:r>
      <w:bookmarkEnd w:id="24"/>
      <w:proofErr w:type="spellEnd"/>
    </w:p>
    <w:p w14:paraId="186D3574" w14:textId="77777777" w:rsidR="006B72E5" w:rsidRPr="006B72E5" w:rsidRDefault="006B72E5" w:rsidP="006B72E5">
      <w:pPr>
        <w:rPr>
          <w:lang w:val="es-419" w:eastAsia="es-CO"/>
        </w:rPr>
      </w:pPr>
      <w:r w:rsidRPr="006B72E5">
        <w:rPr>
          <w:lang w:val="es-419" w:eastAsia="es-CO"/>
        </w:rPr>
        <w:t>En Colombia, un gremio es una organización que reúne empresas, entidades o personas de un mismo sector económico para representar intereses comunes, promover buenas prácticas y participar en espacios de diálogo con el Gobierno, los reguladores y otros actores del país. En el sector financiero, los gremios apoyan el análisis de tendencias, la generación de información especializada y la comprensión de los cambios que pueden afectar la actividad crediticia.</w:t>
      </w:r>
    </w:p>
    <w:p w14:paraId="4848B7F4" w14:textId="77777777" w:rsidR="006B72E5" w:rsidRPr="006B72E5" w:rsidRDefault="006B72E5" w:rsidP="006B72E5">
      <w:pPr>
        <w:rPr>
          <w:lang w:val="es-419" w:eastAsia="es-CO"/>
        </w:rPr>
      </w:pPr>
      <w:r w:rsidRPr="006B72E5">
        <w:rPr>
          <w:lang w:val="es-419" w:eastAsia="es-CO"/>
        </w:rPr>
        <w:lastRenderedPageBreak/>
        <w:t>En la práctica, la labor de los gremios se refleja en acciones de apoyo que ayudan a comprender mejor el comportamiento del sector financiero. Estas acciones sirven como referencia para que el gestor de cartera analice su entorno, identifique tendencias y cuente con información útil al momento de sustentar decisiones institucionales.</w:t>
      </w:r>
    </w:p>
    <w:p w14:paraId="03358E66" w14:textId="5F7FA6F5" w:rsidR="006B72E5" w:rsidRDefault="006B72E5" w:rsidP="006B72E5">
      <w:pPr>
        <w:rPr>
          <w:lang w:val="es-419" w:eastAsia="es-CO"/>
        </w:rPr>
      </w:pPr>
      <w:r w:rsidRPr="006B72E5">
        <w:rPr>
          <w:lang w:val="es-419" w:eastAsia="es-CO"/>
        </w:rPr>
        <w:t>A partir de esta función de apoyo sectorial, se destacan cuatro acciones que sintetizan el aporte de los gremios a la gestión financiera:</w:t>
      </w:r>
    </w:p>
    <w:p w14:paraId="3F350069" w14:textId="4749138F" w:rsidR="006B72E5" w:rsidRPr="006B72E5" w:rsidRDefault="006B72E5" w:rsidP="00C52DBF">
      <w:pPr>
        <w:pStyle w:val="Prrafodelista"/>
        <w:numPr>
          <w:ilvl w:val="0"/>
          <w:numId w:val="27"/>
        </w:numPr>
        <w:rPr>
          <w:lang w:val="es-419" w:eastAsia="es-CO"/>
        </w:rPr>
      </w:pPr>
      <w:r w:rsidRPr="006B72E5">
        <w:rPr>
          <w:lang w:val="es-419" w:eastAsia="es-CO"/>
        </w:rPr>
        <w:t>Orientar</w:t>
      </w:r>
    </w:p>
    <w:p w14:paraId="59802C2A" w14:textId="2A9E3FAD" w:rsidR="006B72E5" w:rsidRPr="006B72E5" w:rsidRDefault="006B72E5" w:rsidP="00C52DBF">
      <w:pPr>
        <w:pStyle w:val="Prrafodelista"/>
        <w:numPr>
          <w:ilvl w:val="0"/>
          <w:numId w:val="27"/>
        </w:numPr>
        <w:rPr>
          <w:lang w:val="es-419" w:eastAsia="es-CO"/>
        </w:rPr>
      </w:pPr>
      <w:r w:rsidRPr="006B72E5">
        <w:rPr>
          <w:lang w:val="es-419" w:eastAsia="es-CO"/>
        </w:rPr>
        <w:t>Analizar</w:t>
      </w:r>
    </w:p>
    <w:p w14:paraId="13FD86C6" w14:textId="4AB3268F" w:rsidR="006B72E5" w:rsidRPr="006B72E5" w:rsidRDefault="006B72E5" w:rsidP="00C52DBF">
      <w:pPr>
        <w:pStyle w:val="Prrafodelista"/>
        <w:numPr>
          <w:ilvl w:val="0"/>
          <w:numId w:val="27"/>
        </w:numPr>
        <w:rPr>
          <w:lang w:val="es-419" w:eastAsia="es-CO"/>
        </w:rPr>
      </w:pPr>
      <w:r w:rsidRPr="006B72E5">
        <w:rPr>
          <w:lang w:val="es-419" w:eastAsia="es-CO"/>
        </w:rPr>
        <w:t>Proponer</w:t>
      </w:r>
    </w:p>
    <w:p w14:paraId="55DB2A78" w14:textId="1741ABAB" w:rsidR="006B72E5" w:rsidRPr="006B72E5" w:rsidRDefault="006B72E5" w:rsidP="00C52DBF">
      <w:pPr>
        <w:pStyle w:val="Prrafodelista"/>
        <w:numPr>
          <w:ilvl w:val="0"/>
          <w:numId w:val="27"/>
        </w:numPr>
        <w:rPr>
          <w:lang w:val="es-419" w:eastAsia="es-CO"/>
        </w:rPr>
      </w:pPr>
      <w:r w:rsidRPr="006B72E5">
        <w:rPr>
          <w:lang w:val="es-419" w:eastAsia="es-CO"/>
        </w:rPr>
        <w:t>Aportar información</w:t>
      </w:r>
    </w:p>
    <w:p w14:paraId="29521603" w14:textId="77777777" w:rsidR="006B72E5" w:rsidRPr="006B72E5" w:rsidRDefault="006B72E5" w:rsidP="006B72E5">
      <w:pPr>
        <w:rPr>
          <w:lang w:val="es-419" w:eastAsia="es-CO"/>
        </w:rPr>
      </w:pPr>
      <w:r w:rsidRPr="006B72E5">
        <w:rPr>
          <w:lang w:val="es-419" w:eastAsia="es-CO"/>
        </w:rPr>
        <w:t>En el sistema financiero, estas acciones permiten que los gremios aporten una visión amplia sobre el comportamiento del crédito, la cartera, la mora y la inclusión financiera. Para el gestor de cartera, esta información sirve como apoyo para interpretar el entorno, comparar tendencias del sector y fortalecer el análisis de las decisiones relacionadas con seguimiento, recuperación y atención al deudor.</w:t>
      </w:r>
    </w:p>
    <w:p w14:paraId="5C12D43F" w14:textId="77777777" w:rsidR="006B72E5" w:rsidRPr="006B72E5" w:rsidRDefault="006B72E5" w:rsidP="006B72E5">
      <w:pPr>
        <w:rPr>
          <w:lang w:val="es-419" w:eastAsia="es-CO"/>
        </w:rPr>
      </w:pPr>
      <w:r w:rsidRPr="006B72E5">
        <w:rPr>
          <w:lang w:val="es-419" w:eastAsia="es-CO"/>
        </w:rPr>
        <w:t xml:space="preserve">Entre los gremios más relevantes para la gestión de cartera se encuentran Asobancaria y </w:t>
      </w:r>
      <w:proofErr w:type="spellStart"/>
      <w:r w:rsidRPr="006B72E5">
        <w:rPr>
          <w:lang w:val="es-419" w:eastAsia="es-CO"/>
        </w:rPr>
        <w:t>Asomicrofinanzas</w:t>
      </w:r>
      <w:proofErr w:type="spellEnd"/>
      <w:r w:rsidRPr="006B72E5">
        <w:rPr>
          <w:lang w:val="es-419" w:eastAsia="es-CO"/>
        </w:rPr>
        <w:t>. El primero reúne principalmente a entidades bancarias y financieras; el segundo agrupa actores vinculados con el microcrédito y la inclusión financiera. Sus estudios, estadísticas y publicaciones permiten comprender mejor el comportamiento del sector y apoyar la gestión técnica de la cartera.</w:t>
      </w:r>
    </w:p>
    <w:p w14:paraId="20980F94" w14:textId="77777777" w:rsidR="006B72E5" w:rsidRPr="006B72E5" w:rsidRDefault="006B72E5" w:rsidP="006B72E5">
      <w:pPr>
        <w:rPr>
          <w:lang w:val="es-419" w:eastAsia="es-CO"/>
        </w:rPr>
      </w:pPr>
      <w:r w:rsidRPr="006B72E5">
        <w:rPr>
          <w:lang w:val="es-419" w:eastAsia="es-CO"/>
        </w:rPr>
        <w:t>Los dos principales gremios del sector financiero colombiano y su relevancia para la gestión de cartera son los siguientes:</w:t>
      </w:r>
    </w:p>
    <w:p w14:paraId="049A60E8" w14:textId="47093CB2" w:rsidR="006B72E5" w:rsidRPr="006B72E5" w:rsidRDefault="006B72E5" w:rsidP="00C52DBF">
      <w:pPr>
        <w:pStyle w:val="Prrafodelista"/>
        <w:numPr>
          <w:ilvl w:val="0"/>
          <w:numId w:val="28"/>
        </w:numPr>
        <w:rPr>
          <w:lang w:val="es-419" w:eastAsia="es-CO"/>
        </w:rPr>
      </w:pPr>
      <w:r w:rsidRPr="006B72E5">
        <w:rPr>
          <w:b/>
          <w:bCs/>
          <w:lang w:val="es-419" w:eastAsia="es-CO"/>
        </w:rPr>
        <w:lastRenderedPageBreak/>
        <w:t>Asobancaria:</w:t>
      </w:r>
      <w:r w:rsidRPr="006B72E5">
        <w:rPr>
          <w:lang w:val="es-419" w:eastAsia="es-CO"/>
        </w:rPr>
        <w:t xml:space="preserve"> la Asociación Bancaria y de Entidades Financieras de Colombia es uno de los gremios más representativos del sector financiero colombiano. Sus informes, cifras sectoriales y publicaciones periódicas presentan análisis sobre coyuntura económica, regulación, supervisión, calidad de cartera, evolución de la mora y comportamiento del crédito. Para el gestor de cartera, esta información sirve como referencia para contextualizar los indicadores de su portafolio frente al desempeño general del sector. </w:t>
      </w:r>
    </w:p>
    <w:p w14:paraId="31846A57" w14:textId="379C756B" w:rsidR="006B72E5" w:rsidRPr="006B72E5" w:rsidRDefault="006B72E5" w:rsidP="00C52DBF">
      <w:pPr>
        <w:pStyle w:val="Prrafodelista"/>
        <w:numPr>
          <w:ilvl w:val="0"/>
          <w:numId w:val="28"/>
        </w:numPr>
        <w:rPr>
          <w:lang w:val="es-419" w:eastAsia="es-CO"/>
        </w:rPr>
      </w:pPr>
      <w:proofErr w:type="spellStart"/>
      <w:r w:rsidRPr="006B72E5">
        <w:rPr>
          <w:b/>
          <w:bCs/>
          <w:lang w:val="es-419" w:eastAsia="es-CO"/>
        </w:rPr>
        <w:t>Asomicrofinanzas</w:t>
      </w:r>
      <w:proofErr w:type="spellEnd"/>
      <w:r w:rsidRPr="006B72E5">
        <w:rPr>
          <w:b/>
          <w:bCs/>
          <w:lang w:val="es-419" w:eastAsia="es-CO"/>
        </w:rPr>
        <w:t>:</w:t>
      </w:r>
      <w:r w:rsidRPr="006B72E5">
        <w:rPr>
          <w:lang w:val="es-419" w:eastAsia="es-CO"/>
        </w:rPr>
        <w:t xml:space="preserve"> la Asociación Colombiana de Instituciones Microfinancieras reúne actores vinculados con el microcrédito y la inclusión financiera. Sus publicaciones, cifras y espacios sectoriales permiten conocer tendencias del segmento </w:t>
      </w:r>
      <w:proofErr w:type="spellStart"/>
      <w:r w:rsidRPr="006B72E5">
        <w:rPr>
          <w:lang w:val="es-419" w:eastAsia="es-CO"/>
        </w:rPr>
        <w:t>microfinanciero</w:t>
      </w:r>
      <w:proofErr w:type="spellEnd"/>
      <w:r w:rsidRPr="006B72E5">
        <w:rPr>
          <w:lang w:val="es-419" w:eastAsia="es-CO"/>
        </w:rPr>
        <w:t>, condiciones de los deudores, educación financiera y dinámicas propias del crédito dirigido a pequeños negocios o unidades productivas. Para el gestor que administra cartera de microcrédito, esta información apoya el análisis del riesgo y la definición de estrategias de recuperación.</w:t>
      </w:r>
    </w:p>
    <w:p w14:paraId="037C4315" w14:textId="77777777" w:rsidR="006B72E5" w:rsidRPr="006B72E5" w:rsidRDefault="006B72E5" w:rsidP="006B72E5">
      <w:pPr>
        <w:rPr>
          <w:lang w:val="es-419" w:eastAsia="es-CO"/>
        </w:rPr>
      </w:pPr>
      <w:r w:rsidRPr="006B72E5">
        <w:rPr>
          <w:lang w:val="es-419" w:eastAsia="es-CO"/>
        </w:rPr>
        <w:t>El conocimiento de estos gremios permite al gestor de cartera acceder a información sectorial útil para interpretar el comportamiento del crédito, comparar indicadores y reconocer tendencias que pueden afectar su labor. Aunque estas organizaciones no ejercen funciones de vigilancia ni sanción, sus publicaciones y espacios técnicos contribuyen a fortalecer el análisis y la toma de decisiones en la gestión de cartera.</w:t>
      </w:r>
    </w:p>
    <w:p w14:paraId="4D638B31" w14:textId="265A5E6C" w:rsidR="00C65B3C" w:rsidRDefault="006B72E5" w:rsidP="006B72E5">
      <w:pPr>
        <w:rPr>
          <w:lang w:val="es-419" w:eastAsia="es-CO"/>
        </w:rPr>
      </w:pPr>
      <w:r w:rsidRPr="006B72E5">
        <w:rPr>
          <w:lang w:val="es-419" w:eastAsia="es-CO"/>
        </w:rPr>
        <w:t xml:space="preserve">Con el conocimiento de las entidades que integran el entorno institucional del sistema financiero colombiano, el gestor de cartera cuenta con una visión más amplia </w:t>
      </w:r>
      <w:r w:rsidRPr="006B72E5">
        <w:rPr>
          <w:lang w:val="es-419" w:eastAsia="es-CO"/>
        </w:rPr>
        <w:lastRenderedPageBreak/>
        <w:t>para comprender cómo se regulan, supervisan y respaldan las operaciones crediticias. Esta base permite avanzar hacia la aplicación práctica de la normativa en situaciones reales de gestión, donde cada decisión debe sustentarse en información verificable, criterios técnicos y cumplimiento institucional.</w:t>
      </w:r>
    </w:p>
    <w:p w14:paraId="73E523E8" w14:textId="77777777" w:rsidR="00C65B3C" w:rsidRDefault="00C65B3C">
      <w:pPr>
        <w:spacing w:before="0" w:after="160" w:line="259" w:lineRule="auto"/>
        <w:ind w:firstLine="0"/>
        <w:rPr>
          <w:lang w:val="es-419" w:eastAsia="es-CO"/>
        </w:rPr>
      </w:pPr>
      <w:r>
        <w:rPr>
          <w:lang w:val="es-419" w:eastAsia="es-CO"/>
        </w:rPr>
        <w:br w:type="page"/>
      </w:r>
    </w:p>
    <w:p w14:paraId="7C4887BA" w14:textId="4D0776AE" w:rsidR="0060074A" w:rsidRDefault="0060074A" w:rsidP="0060074A">
      <w:pPr>
        <w:pStyle w:val="Ttulo1"/>
      </w:pPr>
      <w:bookmarkStart w:id="25" w:name="_Toc232493849"/>
      <w:r w:rsidRPr="0060074A">
        <w:lastRenderedPageBreak/>
        <w:t>Aplicación normativa en la gestión de cartera</w:t>
      </w:r>
      <w:bookmarkEnd w:id="25"/>
    </w:p>
    <w:p w14:paraId="3C2A19DA" w14:textId="77777777" w:rsidR="006B72E5" w:rsidRPr="006B72E5" w:rsidRDefault="006B72E5" w:rsidP="006B72E5">
      <w:pPr>
        <w:rPr>
          <w:lang w:val="es-419" w:eastAsia="es-CO"/>
        </w:rPr>
      </w:pPr>
      <w:r w:rsidRPr="006B72E5">
        <w:rPr>
          <w:lang w:val="es-419" w:eastAsia="es-CO"/>
        </w:rPr>
        <w:t>El conocimiento de la normativa contable y financiera solo adquiere valor real cuando se traduce en la capacidad de aplicarla correctamente en las situaciones concretas que el profesional de cartera enfrenta en su trabajo cotidiano. El conocimiento teórico de las normas no es suficiente: es necesario saber cómo se implementan esas normas en cada proceso específico de la gestión de cartera.</w:t>
      </w:r>
    </w:p>
    <w:p w14:paraId="362E8CC6" w14:textId="77777777" w:rsidR="006B72E5" w:rsidRPr="006B72E5" w:rsidRDefault="006B72E5" w:rsidP="006B72E5">
      <w:pPr>
        <w:rPr>
          <w:lang w:val="es-419" w:eastAsia="es-CO"/>
        </w:rPr>
      </w:pPr>
      <w:r w:rsidRPr="006B72E5">
        <w:rPr>
          <w:lang w:val="es-419" w:eastAsia="es-CO"/>
        </w:rPr>
        <w:t>La aplicación normativa en la gestión de cartera exige precisión técnica, criterio profesional y capacidad de análisis frente a situaciones que con frecuencia no encajan perfectamente en los modelos previstos por las normas. El gestor que domina la aplicación práctica de la normativa puede tomar decisiones fundamentadas incluso en situaciones complejas o inusuales.</w:t>
      </w:r>
    </w:p>
    <w:p w14:paraId="32DB53D5" w14:textId="77777777" w:rsidR="006B72E5" w:rsidRPr="006B72E5" w:rsidRDefault="006B72E5" w:rsidP="006B72E5">
      <w:pPr>
        <w:rPr>
          <w:lang w:val="es-419" w:eastAsia="es-CO"/>
        </w:rPr>
      </w:pPr>
      <w:r w:rsidRPr="006B72E5">
        <w:rPr>
          <w:lang w:val="es-419" w:eastAsia="es-CO"/>
        </w:rPr>
        <w:t>Este tema desarrolla tres procesos específicos de aplicación normativa que el gestor de cartera debe dominar:</w:t>
      </w:r>
    </w:p>
    <w:p w14:paraId="232BEC4C" w14:textId="1F3759F2" w:rsidR="006B72E5" w:rsidRPr="006B72E5" w:rsidRDefault="006B72E5" w:rsidP="00C52DBF">
      <w:pPr>
        <w:pStyle w:val="Prrafodelista"/>
        <w:numPr>
          <w:ilvl w:val="0"/>
          <w:numId w:val="29"/>
        </w:numPr>
        <w:rPr>
          <w:lang w:val="es-419" w:eastAsia="es-CO"/>
        </w:rPr>
      </w:pPr>
      <w:r w:rsidRPr="006B72E5">
        <w:rPr>
          <w:b/>
          <w:bCs/>
          <w:lang w:val="es-419" w:eastAsia="es-CO"/>
        </w:rPr>
        <w:t>Cálculo de provisiones:</w:t>
      </w:r>
      <w:r w:rsidRPr="006B72E5">
        <w:rPr>
          <w:lang w:val="es-419" w:eastAsia="es-CO"/>
        </w:rPr>
        <w:t xml:space="preserve"> procedimiento técnico para determinar las reservas contables que la entidad debe constituir según la categoría de riesgo de cada obligación.</w:t>
      </w:r>
    </w:p>
    <w:p w14:paraId="6714D1E2" w14:textId="42BD0680" w:rsidR="006B72E5" w:rsidRPr="006B72E5" w:rsidRDefault="006B72E5" w:rsidP="00C52DBF">
      <w:pPr>
        <w:pStyle w:val="Prrafodelista"/>
        <w:numPr>
          <w:ilvl w:val="0"/>
          <w:numId w:val="29"/>
        </w:numPr>
        <w:rPr>
          <w:lang w:val="es-419" w:eastAsia="es-CO"/>
        </w:rPr>
      </w:pPr>
      <w:r w:rsidRPr="006B72E5">
        <w:rPr>
          <w:b/>
          <w:bCs/>
          <w:lang w:val="es-419" w:eastAsia="es-CO"/>
        </w:rPr>
        <w:t>Reporte e informes de cumplimiento:</w:t>
      </w:r>
      <w:r w:rsidRPr="006B72E5">
        <w:rPr>
          <w:lang w:val="es-419" w:eastAsia="es-CO"/>
        </w:rPr>
        <w:t xml:space="preserve"> procedimiento para transmitir información sobre el estado de la cartera a la Superintendencia Financiera y para elaborar los informes internos que documentan el cumplimiento normativo del área.</w:t>
      </w:r>
    </w:p>
    <w:p w14:paraId="24C4C6BC" w14:textId="17812E57" w:rsidR="006B72E5" w:rsidRPr="006B72E5" w:rsidRDefault="006B72E5" w:rsidP="00C52DBF">
      <w:pPr>
        <w:pStyle w:val="Prrafodelista"/>
        <w:numPr>
          <w:ilvl w:val="0"/>
          <w:numId w:val="29"/>
        </w:numPr>
        <w:rPr>
          <w:lang w:val="es-419" w:eastAsia="es-CO"/>
        </w:rPr>
      </w:pPr>
      <w:r w:rsidRPr="006B72E5">
        <w:rPr>
          <w:b/>
          <w:bCs/>
          <w:lang w:val="es-419" w:eastAsia="es-CO"/>
        </w:rPr>
        <w:t>Gestión de quejas:</w:t>
      </w:r>
      <w:r w:rsidRPr="006B72E5">
        <w:rPr>
          <w:lang w:val="es-419" w:eastAsia="es-CO"/>
        </w:rPr>
        <w:t xml:space="preserve"> procedimiento para atender y resolver las reclamaciones de los consumidores financieros conforme a los mecanismos establecidos por la Ley 1328 de 2009.</w:t>
      </w:r>
    </w:p>
    <w:p w14:paraId="2C08E8E6" w14:textId="77777777" w:rsidR="006B72E5" w:rsidRPr="006B72E5" w:rsidRDefault="006B72E5" w:rsidP="006B72E5">
      <w:pPr>
        <w:rPr>
          <w:lang w:val="es-419" w:eastAsia="es-CO"/>
        </w:rPr>
      </w:pPr>
      <w:r w:rsidRPr="006B72E5">
        <w:rPr>
          <w:lang w:val="es-419" w:eastAsia="es-CO"/>
        </w:rPr>
        <w:lastRenderedPageBreak/>
        <w:t>El dominio de estos tres procesos le permite al gestor de cartera cumplir con responsabilidad sus obligaciones normativas y actuar como un profesional técnicamente competente ante el regulador, la alta dirección y los consumidores financieros.</w:t>
      </w:r>
    </w:p>
    <w:p w14:paraId="3260C428" w14:textId="389F70D8" w:rsidR="006B72E5" w:rsidRDefault="006B72E5" w:rsidP="006B72E5">
      <w:pPr>
        <w:rPr>
          <w:lang w:val="es-419" w:eastAsia="es-CO"/>
        </w:rPr>
      </w:pPr>
      <w:r w:rsidRPr="006B72E5">
        <w:rPr>
          <w:lang w:val="es-419" w:eastAsia="es-CO"/>
        </w:rPr>
        <w:t>Para aplicar la normativa en la gestión de cartera, el primer aspecto que debe revisarse es el cálculo de provisiones, porque permite estimar el posible deterioro de las obligaciones según su categoría de riesgo. Este proceso ayuda a reconocer cuánto debe reservar la entidad para cubrir pérdidas esperadas y garantiza que la información financiera refleje de manera más precisa el estado real de la cartera.</w:t>
      </w:r>
    </w:p>
    <w:p w14:paraId="57B8E828" w14:textId="77777777" w:rsidR="00C65B3C" w:rsidRPr="006B72E5" w:rsidRDefault="00C65B3C" w:rsidP="006B72E5">
      <w:pPr>
        <w:rPr>
          <w:lang w:val="es-419" w:eastAsia="es-CO"/>
        </w:rPr>
      </w:pPr>
    </w:p>
    <w:p w14:paraId="058BED79" w14:textId="680A798C" w:rsidR="0060074A" w:rsidRDefault="0060074A" w:rsidP="0060074A">
      <w:pPr>
        <w:pStyle w:val="Ttulo2"/>
      </w:pPr>
      <w:bookmarkStart w:id="26" w:name="_Toc232493850"/>
      <w:r w:rsidRPr="0060074A">
        <w:t>Cálculo de provisiones por categoría de riesgo</w:t>
      </w:r>
      <w:bookmarkEnd w:id="26"/>
    </w:p>
    <w:p w14:paraId="079080F5" w14:textId="77777777" w:rsidR="006B72E5" w:rsidRPr="006B72E5" w:rsidRDefault="006B72E5" w:rsidP="006B72E5">
      <w:pPr>
        <w:rPr>
          <w:lang w:val="es-419" w:eastAsia="es-CO"/>
        </w:rPr>
      </w:pPr>
      <w:r w:rsidRPr="006B72E5">
        <w:rPr>
          <w:lang w:val="es-419" w:eastAsia="es-CO"/>
        </w:rPr>
        <w:t>El cálculo de provisiones es una de las tareas técnicas más importantes del área de cartera, con impacto directo sobre los estados financieros de la entidad. Su correcta aplicación garantiza que la entidad cumple con las normas de la Superintendencia Financiera y que sus estados financieros reflejan fielmente el riesgo real de su portafolio.</w:t>
      </w:r>
    </w:p>
    <w:p w14:paraId="4DAFEE4D" w14:textId="77777777" w:rsidR="006B72E5" w:rsidRPr="006B72E5" w:rsidRDefault="006B72E5" w:rsidP="006B72E5">
      <w:pPr>
        <w:rPr>
          <w:lang w:val="es-419" w:eastAsia="es-CO"/>
        </w:rPr>
      </w:pPr>
      <w:r w:rsidRPr="006B72E5">
        <w:rPr>
          <w:lang w:val="es-419" w:eastAsia="es-CO"/>
        </w:rPr>
        <w:t>Asimismo, el proceso de cálculo de provisiones no es solo un ejercicio contable, es una herramienta de gestión que permite a la entidad identificar con precisión el nivel de deterioro de su cartera y cuantificar el costo financiero de ese deterioro. Un cálculo correcto de provisiones es el fundamento de una toma de decisiones rigurosa en materia de gestión de riesgo crediticio.</w:t>
      </w:r>
    </w:p>
    <w:p w14:paraId="7155DBC2" w14:textId="77777777" w:rsidR="006B72E5" w:rsidRPr="006B72E5" w:rsidRDefault="006B72E5" w:rsidP="006B72E5">
      <w:pPr>
        <w:rPr>
          <w:lang w:val="es-419" w:eastAsia="es-CO"/>
        </w:rPr>
      </w:pPr>
      <w:r w:rsidRPr="006B72E5">
        <w:rPr>
          <w:lang w:val="es-419" w:eastAsia="es-CO"/>
        </w:rPr>
        <w:t>El proceso de cálculo de provisiones individuales según la categoría de riesgo se realiza de la siguiente manera:</w:t>
      </w:r>
    </w:p>
    <w:p w14:paraId="05DC8EE0" w14:textId="00F2CD6D" w:rsidR="006B72E5" w:rsidRPr="006B72E5" w:rsidRDefault="006B72E5" w:rsidP="00C52DBF">
      <w:pPr>
        <w:pStyle w:val="Prrafodelista"/>
        <w:numPr>
          <w:ilvl w:val="0"/>
          <w:numId w:val="30"/>
        </w:numPr>
        <w:rPr>
          <w:lang w:val="es-419" w:eastAsia="es-CO"/>
        </w:rPr>
      </w:pPr>
      <w:r w:rsidRPr="006B72E5">
        <w:rPr>
          <w:b/>
          <w:bCs/>
          <w:lang w:val="es-419" w:eastAsia="es-CO"/>
        </w:rPr>
        <w:lastRenderedPageBreak/>
        <w:t>Identificación de la categoría de riesgo:</w:t>
      </w:r>
      <w:r w:rsidRPr="006B72E5">
        <w:rPr>
          <w:lang w:val="es-419" w:eastAsia="es-CO"/>
        </w:rPr>
        <w:t xml:space="preserve"> el primer paso es verificar la categoría A, B, C, D o E asignada a cada obligación según los criterios de la CBCF: días de mora, comportamiento de pago, capacidad del deudor y perspectivas de recuperación. Esta categoría determina el porcentaje de provisión aplicable.</w:t>
      </w:r>
    </w:p>
    <w:p w14:paraId="7961E257" w14:textId="77777777" w:rsidR="006B72E5" w:rsidRPr="006B72E5" w:rsidRDefault="006B72E5" w:rsidP="00C65B3C">
      <w:pPr>
        <w:ind w:left="1416" w:firstLine="1"/>
        <w:rPr>
          <w:lang w:val="es-419" w:eastAsia="es-CO"/>
        </w:rPr>
      </w:pPr>
      <w:r w:rsidRPr="006B72E5">
        <w:rPr>
          <w:lang w:val="es-419" w:eastAsia="es-CO"/>
        </w:rPr>
        <w:t>Ejemplo: el gestor revisa el sistema de cartera y encuentra que un crédito comercial de $50.000.000 tiene 75 días de mora, lo que corresponde a categoría C. El porcentaje de provisión individual requerido para esta categoría es del 20 %.</w:t>
      </w:r>
    </w:p>
    <w:p w14:paraId="3B3521EF" w14:textId="6B819279" w:rsidR="006B72E5" w:rsidRPr="006B72E5" w:rsidRDefault="006B72E5" w:rsidP="00C52DBF">
      <w:pPr>
        <w:pStyle w:val="Prrafodelista"/>
        <w:numPr>
          <w:ilvl w:val="0"/>
          <w:numId w:val="30"/>
        </w:numPr>
        <w:rPr>
          <w:lang w:val="es-419" w:eastAsia="es-CO"/>
        </w:rPr>
      </w:pPr>
      <w:r w:rsidRPr="006B72E5">
        <w:rPr>
          <w:b/>
          <w:bCs/>
          <w:lang w:val="es-419" w:eastAsia="es-CO"/>
        </w:rPr>
        <w:t>Cálculo de la provisión requerida:</w:t>
      </w:r>
      <w:r w:rsidRPr="006B72E5">
        <w:rPr>
          <w:lang w:val="es-419" w:eastAsia="es-CO"/>
        </w:rPr>
        <w:t xml:space="preserve"> se aplica el porcentaje de provisión correspondiente a la categoría sobre el saldo bruto de la obligación. La provisión requerida es el monto que la entidad debe tener reservado como respaldo ante la pérdida potencial de ese crédito.</w:t>
      </w:r>
    </w:p>
    <w:p w14:paraId="0063B142" w14:textId="77777777" w:rsidR="006B72E5" w:rsidRPr="006B72E5" w:rsidRDefault="006B72E5" w:rsidP="00C65B3C">
      <w:pPr>
        <w:ind w:left="1416" w:firstLine="1"/>
        <w:rPr>
          <w:lang w:val="es-419" w:eastAsia="es-CO"/>
        </w:rPr>
      </w:pPr>
      <w:r w:rsidRPr="006B72E5">
        <w:rPr>
          <w:lang w:val="es-419" w:eastAsia="es-CO"/>
        </w:rPr>
        <w:t>Ejemplo: para el crédito del ejemplo anterior: $50.000.000 × 20 % = $10.000.000 de provisión individual requerida. Si la entidad tiene constituida una provisión de $500.000 (1 % de categoría A anterior), el ajuste necesario es de $9.500.000 adicionales.</w:t>
      </w:r>
    </w:p>
    <w:p w14:paraId="0B93E5E1" w14:textId="10A2EEDA" w:rsidR="006B72E5" w:rsidRPr="006B72E5" w:rsidRDefault="006B72E5" w:rsidP="00C52DBF">
      <w:pPr>
        <w:pStyle w:val="Prrafodelista"/>
        <w:numPr>
          <w:ilvl w:val="0"/>
          <w:numId w:val="30"/>
        </w:numPr>
        <w:rPr>
          <w:lang w:val="es-419" w:eastAsia="es-CO"/>
        </w:rPr>
      </w:pPr>
      <w:r w:rsidRPr="006B72E5">
        <w:rPr>
          <w:b/>
          <w:bCs/>
          <w:lang w:val="es-419" w:eastAsia="es-CO"/>
        </w:rPr>
        <w:t>Comparación con la provisión constituida:</w:t>
      </w:r>
      <w:r w:rsidRPr="006B72E5">
        <w:rPr>
          <w:lang w:val="es-419" w:eastAsia="es-CO"/>
        </w:rPr>
        <w:t xml:space="preserve"> el resultado del cálculo se compara con la provisión que la entidad tiene actualmente registrada en su contabilidad para esa obligación. Si la provisión constituida es menor a la requerida, debe constituirse la diferencia; si es mayor, puede liberarse el exceso.</w:t>
      </w:r>
    </w:p>
    <w:p w14:paraId="43E6A55B" w14:textId="77777777" w:rsidR="006B72E5" w:rsidRPr="006B72E5" w:rsidRDefault="006B72E5" w:rsidP="00C65B3C">
      <w:pPr>
        <w:ind w:left="1416" w:firstLine="1"/>
        <w:rPr>
          <w:lang w:val="es-419" w:eastAsia="es-CO"/>
        </w:rPr>
      </w:pPr>
      <w:r w:rsidRPr="006B72E5">
        <w:rPr>
          <w:lang w:val="es-419" w:eastAsia="es-CO"/>
        </w:rPr>
        <w:lastRenderedPageBreak/>
        <w:t>Ejemplo: si una obligación requiere una provisión de $10.000.000 y la entidad solo tiene registrada una provisión de $7.000.000, debe constituir $3.000.000 adicionales para cubrir el nivel de riesgo correspondiente.</w:t>
      </w:r>
    </w:p>
    <w:p w14:paraId="02627A41" w14:textId="025F00EA" w:rsidR="006B72E5" w:rsidRPr="006B72E5" w:rsidRDefault="006B72E5" w:rsidP="00C52DBF">
      <w:pPr>
        <w:pStyle w:val="Prrafodelista"/>
        <w:numPr>
          <w:ilvl w:val="0"/>
          <w:numId w:val="30"/>
        </w:numPr>
        <w:rPr>
          <w:lang w:val="es-419" w:eastAsia="es-CO"/>
        </w:rPr>
      </w:pPr>
      <w:r w:rsidRPr="006B72E5">
        <w:rPr>
          <w:b/>
          <w:bCs/>
          <w:lang w:val="es-419" w:eastAsia="es-CO"/>
        </w:rPr>
        <w:t>Registro contable del ajuste:</w:t>
      </w:r>
      <w:r w:rsidRPr="006B72E5">
        <w:rPr>
          <w:lang w:val="es-419" w:eastAsia="es-CO"/>
        </w:rPr>
        <w:t xml:space="preserve"> el ajuste de provisiones se registra como gasto en el estado de resultados (débito a la cuenta de gasto por provisiones) y como incremento de la provisión acumulada en el balance general (crédito a la cuenta de provisión acumulada de cartera).</w:t>
      </w:r>
    </w:p>
    <w:p w14:paraId="16F8D0E1" w14:textId="77777777" w:rsidR="006B72E5" w:rsidRPr="006B72E5" w:rsidRDefault="006B72E5" w:rsidP="00C65B3C">
      <w:pPr>
        <w:ind w:left="1416" w:firstLine="1"/>
        <w:rPr>
          <w:lang w:val="es-419" w:eastAsia="es-CO"/>
        </w:rPr>
      </w:pPr>
      <w:r w:rsidRPr="006B72E5">
        <w:rPr>
          <w:lang w:val="es-419" w:eastAsia="es-CO"/>
        </w:rPr>
        <w:t>Ejemplo: si la entidad debe aumentar la provisión en $3.000.000, registra ese valor como gasto por provisiones y lo suma a la provisión acumulada de cartera, para que los estados financieros reflejen el riesgo real de la obligación.</w:t>
      </w:r>
    </w:p>
    <w:p w14:paraId="6272033B" w14:textId="11AD55A6" w:rsidR="006B72E5" w:rsidRPr="006B72E5" w:rsidRDefault="006B72E5" w:rsidP="00C52DBF">
      <w:pPr>
        <w:pStyle w:val="Prrafodelista"/>
        <w:numPr>
          <w:ilvl w:val="0"/>
          <w:numId w:val="30"/>
        </w:numPr>
        <w:rPr>
          <w:lang w:val="es-419" w:eastAsia="es-CO"/>
        </w:rPr>
      </w:pPr>
      <w:r w:rsidRPr="006B72E5">
        <w:rPr>
          <w:b/>
          <w:bCs/>
          <w:lang w:val="es-419" w:eastAsia="es-CO"/>
        </w:rPr>
        <w:t>Periodicidad del cálculo:</w:t>
      </w:r>
      <w:r w:rsidRPr="006B72E5">
        <w:rPr>
          <w:lang w:val="es-419" w:eastAsia="es-CO"/>
        </w:rPr>
        <w:t xml:space="preserve"> el proceso debe realizarse mensualmente para la mayoría de las entidades, conforme a las instrucciones de la SFC, y los resultados deben ser revisados por el área contable antes de su registro definitivo en los estados financieros del período.</w:t>
      </w:r>
    </w:p>
    <w:p w14:paraId="4AF2E7D1" w14:textId="77777777" w:rsidR="006B72E5" w:rsidRPr="006B72E5" w:rsidRDefault="006B72E5" w:rsidP="00C65B3C">
      <w:pPr>
        <w:ind w:left="1416" w:firstLine="1"/>
        <w:rPr>
          <w:lang w:val="es-419" w:eastAsia="es-CO"/>
        </w:rPr>
      </w:pPr>
      <w:r w:rsidRPr="006B72E5">
        <w:rPr>
          <w:lang w:val="es-419" w:eastAsia="es-CO"/>
        </w:rPr>
        <w:t>Ejemplo: al cierre de cada mes, el área de cartera actualiza los días de mora y la categoría de riesgo de cada obligación. Luego, el área contable revisa los valores calculados y registra los ajustes de provisión que correspondan.</w:t>
      </w:r>
    </w:p>
    <w:p w14:paraId="10559DCF" w14:textId="77777777" w:rsidR="006B72E5" w:rsidRPr="006B72E5" w:rsidRDefault="006B72E5" w:rsidP="006B72E5">
      <w:pPr>
        <w:rPr>
          <w:lang w:val="es-419" w:eastAsia="es-CO"/>
        </w:rPr>
      </w:pPr>
      <w:r w:rsidRPr="006B72E5">
        <w:rPr>
          <w:lang w:val="es-419" w:eastAsia="es-CO"/>
        </w:rPr>
        <w:t>El dominio del proceso de cálculo de provisiones le permite al gestor de cartera dimensionar con precisión el impacto financiero del deterioro de cada obligación, fundamentar sus informes ante la dirección con información cuantitativa, verificable y actuar con criterio técnico en la priorización de las acciones de recuperación.</w:t>
      </w:r>
    </w:p>
    <w:p w14:paraId="74E5E7BE" w14:textId="28CBDCD0" w:rsidR="006B72E5" w:rsidRDefault="006B72E5" w:rsidP="006B72E5">
      <w:pPr>
        <w:rPr>
          <w:lang w:val="es-419" w:eastAsia="es-CO"/>
        </w:rPr>
      </w:pPr>
      <w:r w:rsidRPr="006B72E5">
        <w:rPr>
          <w:lang w:val="es-419" w:eastAsia="es-CO"/>
        </w:rPr>
        <w:lastRenderedPageBreak/>
        <w:t>Una vez dominado el proceso de cálculo de provisiones, es necesario revisar el proceso de reporte de esa información a la Superintendencia Financiera y la elaboración de los informes de cumplimiento normativo que documentan la gestión del área ante la alta dirección y el regulador.</w:t>
      </w:r>
    </w:p>
    <w:p w14:paraId="2FE2F154" w14:textId="77777777" w:rsidR="00C65B3C" w:rsidRPr="006B72E5" w:rsidRDefault="00C65B3C" w:rsidP="006B72E5">
      <w:pPr>
        <w:rPr>
          <w:lang w:val="es-419" w:eastAsia="es-CO"/>
        </w:rPr>
      </w:pPr>
    </w:p>
    <w:p w14:paraId="6421FB05" w14:textId="6E2116E8" w:rsidR="0060074A" w:rsidRDefault="0060074A" w:rsidP="0060074A">
      <w:pPr>
        <w:pStyle w:val="Ttulo2"/>
      </w:pPr>
      <w:bookmarkStart w:id="27" w:name="_Toc232493851"/>
      <w:r w:rsidRPr="0060074A">
        <w:t>Reporte e informes de cumplimiento normativo</w:t>
      </w:r>
      <w:bookmarkEnd w:id="27"/>
    </w:p>
    <w:p w14:paraId="2EB6CE54" w14:textId="77777777" w:rsidR="006B72E5" w:rsidRPr="006B72E5" w:rsidRDefault="006B72E5" w:rsidP="006B72E5">
      <w:pPr>
        <w:rPr>
          <w:lang w:val="es-419" w:eastAsia="es-CO"/>
        </w:rPr>
      </w:pPr>
      <w:r w:rsidRPr="006B72E5">
        <w:rPr>
          <w:lang w:val="es-419" w:eastAsia="es-CO"/>
        </w:rPr>
        <w:t>Las entidades financieras tienen la obligación de reportar periódicamente a la Superintendencia Financiera información detallada sobre el estado de su cartera de créditos a través de los módulos de información del regulador. Este reporte incluye el saldo de cada obligación, su categoría de riesgo, las provisiones constituidas, los pagos recibidos y las gestiones de cobranza realizadas.</w:t>
      </w:r>
    </w:p>
    <w:p w14:paraId="36163A24" w14:textId="77777777" w:rsidR="006B72E5" w:rsidRPr="006B72E5" w:rsidRDefault="006B72E5" w:rsidP="006B72E5">
      <w:pPr>
        <w:rPr>
          <w:lang w:val="es-419" w:eastAsia="es-CO"/>
        </w:rPr>
      </w:pPr>
      <w:r w:rsidRPr="006B72E5">
        <w:rPr>
          <w:lang w:val="es-419" w:eastAsia="es-CO"/>
        </w:rPr>
        <w:t>Asimismo, además del reporte externo al regulador, el área de cartera debe elaborar informes internos de cumplimiento normativo que demuestran a la alta dirección, al área de auditoría interna y eventualmente a la SFC que los procesos del área se ajustan a los estándares regulatorios. Estos informes son la evidencia documental del cumplimiento normativo del área de cartera.</w:t>
      </w:r>
    </w:p>
    <w:p w14:paraId="4D528D25" w14:textId="77777777" w:rsidR="006B72E5" w:rsidRPr="006B72E5" w:rsidRDefault="006B72E5" w:rsidP="006B72E5">
      <w:pPr>
        <w:rPr>
          <w:lang w:val="es-419" w:eastAsia="es-CO"/>
        </w:rPr>
      </w:pPr>
      <w:r w:rsidRPr="006B72E5">
        <w:rPr>
          <w:lang w:val="es-419" w:eastAsia="es-CO"/>
        </w:rPr>
        <w:t>Los informes de cumplimiento normativo del área de cartera deben incluir los siguientes elementos:</w:t>
      </w:r>
    </w:p>
    <w:p w14:paraId="72FDA253" w14:textId="0DE4DB2A" w:rsidR="006B72E5" w:rsidRPr="006B72E5" w:rsidRDefault="006B72E5" w:rsidP="00C52DBF">
      <w:pPr>
        <w:pStyle w:val="Prrafodelista"/>
        <w:numPr>
          <w:ilvl w:val="0"/>
          <w:numId w:val="30"/>
        </w:numPr>
        <w:rPr>
          <w:lang w:val="es-419" w:eastAsia="es-CO"/>
        </w:rPr>
      </w:pPr>
      <w:r w:rsidRPr="006B72E5">
        <w:rPr>
          <w:b/>
          <w:bCs/>
          <w:lang w:val="es-419" w:eastAsia="es-CO"/>
        </w:rPr>
        <w:t>Estado de los indicadores regulatorios:</w:t>
      </w:r>
      <w:r w:rsidRPr="006B72E5">
        <w:rPr>
          <w:lang w:val="es-419" w:eastAsia="es-CO"/>
        </w:rPr>
        <w:t xml:space="preserve"> presenta los indicadores de calidad de cartera frente a los límites establecidos por la SFC, índice de cartera vencida, cobertura de provisiones, porcentaje de cartera en categorías de alto riesgo y muestra la tendencia de estos indicadores en el período analizado.</w:t>
      </w:r>
    </w:p>
    <w:p w14:paraId="07493AD9" w14:textId="0946EA8A" w:rsidR="006B72E5" w:rsidRPr="006B72E5" w:rsidRDefault="006B72E5" w:rsidP="00C52DBF">
      <w:pPr>
        <w:pStyle w:val="Prrafodelista"/>
        <w:numPr>
          <w:ilvl w:val="0"/>
          <w:numId w:val="30"/>
        </w:numPr>
        <w:rPr>
          <w:lang w:val="es-419" w:eastAsia="es-CO"/>
        </w:rPr>
      </w:pPr>
      <w:r w:rsidRPr="006B72E5">
        <w:rPr>
          <w:b/>
          <w:bCs/>
          <w:lang w:val="es-419" w:eastAsia="es-CO"/>
        </w:rPr>
        <w:lastRenderedPageBreak/>
        <w:t>Evolución de la calidad de la cartera:</w:t>
      </w:r>
      <w:r w:rsidRPr="006B72E5">
        <w:rPr>
          <w:lang w:val="es-419" w:eastAsia="es-CO"/>
        </w:rPr>
        <w:t xml:space="preserve"> describe los movimientos entre categorías de riesgo durante el período: obligaciones que migraron a categorías de mayor riesgo, obligaciones que mejoraron su calificación y obligaciones que fueron castigadas o recuperadas. Esta información permite evaluar la efectividad de las acciones de gestión.</w:t>
      </w:r>
    </w:p>
    <w:p w14:paraId="1F635181" w14:textId="7B619A7B" w:rsidR="006B72E5" w:rsidRPr="006B72E5" w:rsidRDefault="006B72E5" w:rsidP="00C52DBF">
      <w:pPr>
        <w:pStyle w:val="Prrafodelista"/>
        <w:numPr>
          <w:ilvl w:val="0"/>
          <w:numId w:val="30"/>
        </w:numPr>
        <w:rPr>
          <w:lang w:val="es-419" w:eastAsia="es-CO"/>
        </w:rPr>
      </w:pPr>
      <w:r w:rsidRPr="006B72E5">
        <w:rPr>
          <w:b/>
          <w:bCs/>
          <w:lang w:val="es-419" w:eastAsia="es-CO"/>
        </w:rPr>
        <w:t>Estado de las provisiones:</w:t>
      </w:r>
      <w:r w:rsidRPr="006B72E5">
        <w:rPr>
          <w:lang w:val="es-419" w:eastAsia="es-CO"/>
        </w:rPr>
        <w:t xml:space="preserve"> compara las provisiones requeridas con las provisiones constituidas para cada categoría y cada modalidad de crédito, e identifica si existen brechas que deben corregirse antes del cierre del período contable.</w:t>
      </w:r>
    </w:p>
    <w:p w14:paraId="403A7DF5" w14:textId="4FED5E64" w:rsidR="006B72E5" w:rsidRPr="006B72E5" w:rsidRDefault="006B72E5" w:rsidP="00C52DBF">
      <w:pPr>
        <w:pStyle w:val="Prrafodelista"/>
        <w:numPr>
          <w:ilvl w:val="0"/>
          <w:numId w:val="30"/>
        </w:numPr>
        <w:rPr>
          <w:lang w:val="es-419" w:eastAsia="es-CO"/>
        </w:rPr>
      </w:pPr>
      <w:r w:rsidRPr="006B72E5">
        <w:rPr>
          <w:b/>
          <w:bCs/>
          <w:lang w:val="es-419" w:eastAsia="es-CO"/>
        </w:rPr>
        <w:t>Evidencias del cumplimiento del SARC:</w:t>
      </w:r>
      <w:r w:rsidRPr="006B72E5">
        <w:rPr>
          <w:lang w:val="es-419" w:eastAsia="es-CO"/>
        </w:rPr>
        <w:t xml:space="preserve"> documenta que los procedimientos del Sistema de Administración del Riesgo Crediticio se han aplicado correctamente durante el período: políticas vigentes y aprobadas, procedimientos documentados y seguidos, modelos de calificación aplicados con los criterios establecidos.</w:t>
      </w:r>
    </w:p>
    <w:p w14:paraId="1EFEED68" w14:textId="538A1161" w:rsidR="006B72E5" w:rsidRPr="006B72E5" w:rsidRDefault="006B72E5" w:rsidP="00C52DBF">
      <w:pPr>
        <w:pStyle w:val="Prrafodelista"/>
        <w:numPr>
          <w:ilvl w:val="0"/>
          <w:numId w:val="30"/>
        </w:numPr>
        <w:rPr>
          <w:lang w:val="es-419" w:eastAsia="es-CO"/>
        </w:rPr>
      </w:pPr>
      <w:r w:rsidRPr="006B72E5">
        <w:rPr>
          <w:b/>
          <w:bCs/>
          <w:lang w:val="es-419" w:eastAsia="es-CO"/>
        </w:rPr>
        <w:t>Acciones de mejora:</w:t>
      </w:r>
      <w:r w:rsidRPr="006B72E5">
        <w:rPr>
          <w:lang w:val="es-419" w:eastAsia="es-CO"/>
        </w:rPr>
        <w:t xml:space="preserve"> propone los ajustes necesarios para corregir las desviaciones identificadas, mejorar la calidad de los datos, actualizar los procedimientos desactualizados o reforzar la gestión en los segmentos con mayor deterioro.</w:t>
      </w:r>
    </w:p>
    <w:p w14:paraId="0678C329" w14:textId="16485879" w:rsidR="006B72E5" w:rsidRDefault="006B72E5" w:rsidP="006B72E5">
      <w:pPr>
        <w:rPr>
          <w:lang w:val="es-419" w:eastAsia="es-CO"/>
        </w:rPr>
      </w:pPr>
      <w:r w:rsidRPr="006B72E5">
        <w:rPr>
          <w:lang w:val="es-419" w:eastAsia="es-CO"/>
        </w:rPr>
        <w:t>La oportunidad y exactitud de los reportes a la SFC es una obligación regulatoria de primer orden. La SFC realiza cruces sistemáticos entre los reportes de diferentes entidades para detectar inconsistencias y puede iniciar investigaciones cuando identifica diferencias significativas entre los datos reportados y los resultados esperados.</w:t>
      </w:r>
    </w:p>
    <w:p w14:paraId="7076CE8E" w14:textId="251033EE" w:rsidR="006B72E5" w:rsidRDefault="006B72E5" w:rsidP="006B72E5">
      <w:pPr>
        <w:rPr>
          <w:lang w:val="es-419" w:eastAsia="es-CO"/>
        </w:rPr>
      </w:pPr>
      <w:r w:rsidRPr="006B72E5">
        <w:rPr>
          <w:lang w:val="es-419" w:eastAsia="es-CO"/>
        </w:rPr>
        <w:lastRenderedPageBreak/>
        <w:t>Un reporte confiable permite evidenciar la gestión realizada y reduce el riesgo de sanciones por información incompleta o inconsistente.</w:t>
      </w:r>
    </w:p>
    <w:p w14:paraId="79A50740" w14:textId="3050EE38" w:rsidR="006B72E5" w:rsidRDefault="006B72E5" w:rsidP="006B72E5">
      <w:pPr>
        <w:rPr>
          <w:lang w:val="es-419" w:eastAsia="es-CO"/>
        </w:rPr>
      </w:pPr>
      <w:r w:rsidRPr="006B72E5">
        <w:rPr>
          <w:lang w:val="es-419" w:eastAsia="es-CO"/>
        </w:rPr>
        <w:t>Con el dominio del proceso de reporte e informes de cumplimiento normativo, el gestor de cartera cuenta con herramientas para documentar su gestión de manera clara, ordenada y verificable. Esta base permite avanzar hacia la gestión de quejas de consumidores financieros, proceso en el que la entidad debe responder con oportunidad, soporte documental y respeto por los derechos del usuario.</w:t>
      </w:r>
    </w:p>
    <w:p w14:paraId="2BCFB7DB" w14:textId="77777777" w:rsidR="00C65B3C" w:rsidRPr="006B72E5" w:rsidRDefault="00C65B3C" w:rsidP="006B72E5">
      <w:pPr>
        <w:rPr>
          <w:lang w:val="es-419" w:eastAsia="es-CO"/>
        </w:rPr>
      </w:pPr>
    </w:p>
    <w:p w14:paraId="06A7D446" w14:textId="4C5FED9D" w:rsidR="0060074A" w:rsidRDefault="0060074A" w:rsidP="0060074A">
      <w:pPr>
        <w:pStyle w:val="Ttulo2"/>
      </w:pPr>
      <w:bookmarkStart w:id="28" w:name="_Toc232493852"/>
      <w:r w:rsidRPr="0060074A">
        <w:t>Gestión de quejas de consumidores financieros</w:t>
      </w:r>
      <w:bookmarkEnd w:id="28"/>
    </w:p>
    <w:p w14:paraId="5E5D10F4" w14:textId="77777777" w:rsidR="006B72E5" w:rsidRPr="006B72E5" w:rsidRDefault="006B72E5" w:rsidP="006B72E5">
      <w:pPr>
        <w:rPr>
          <w:lang w:val="es-419" w:eastAsia="es-CO"/>
        </w:rPr>
      </w:pPr>
      <w:r w:rsidRPr="006B72E5">
        <w:rPr>
          <w:lang w:val="es-419" w:eastAsia="es-CO"/>
        </w:rPr>
        <w:t>La gestión de quejas de consumidores financieros permite atender, revisar y resolver las inconformidades que los usuarios presentan frente a los servicios, cobros o procedimientos aplicados por una entidad financiera. En el área de cartera, estas reclamaciones pueden relacionarse con intereses liquidados, acuerdos de pago, reportes de mora, trato recibido durante la cobranza o información registrada en el sistema.</w:t>
      </w:r>
    </w:p>
    <w:p w14:paraId="33604545" w14:textId="77777777" w:rsidR="006B72E5" w:rsidRPr="006B72E5" w:rsidRDefault="006B72E5" w:rsidP="006B72E5">
      <w:pPr>
        <w:rPr>
          <w:lang w:val="es-419" w:eastAsia="es-CO"/>
        </w:rPr>
      </w:pPr>
      <w:r w:rsidRPr="006B72E5">
        <w:rPr>
          <w:lang w:val="es-419" w:eastAsia="es-CO"/>
        </w:rPr>
        <w:t>La Ley 1328 de 2009 establece mecanismos de protección al consumidor financiero y exige que las entidades vigiladas cuenten con procedimientos claros para recibir y responder quejas. Este proceso se desarrolla mediante instancias sucesivas, que permiten revisar la reclamación de manera ordenada y garantizar una respuesta sustentada:</w:t>
      </w:r>
    </w:p>
    <w:p w14:paraId="0F4E3FBC" w14:textId="40F3A55C" w:rsidR="006B72E5" w:rsidRPr="006B72E5" w:rsidRDefault="006B72E5" w:rsidP="00C52DBF">
      <w:pPr>
        <w:pStyle w:val="Prrafodelista"/>
        <w:numPr>
          <w:ilvl w:val="0"/>
          <w:numId w:val="31"/>
        </w:numPr>
        <w:rPr>
          <w:lang w:val="es-419" w:eastAsia="es-CO"/>
        </w:rPr>
      </w:pPr>
      <w:r w:rsidRPr="006B72E5">
        <w:rPr>
          <w:b/>
          <w:bCs/>
          <w:lang w:val="es-419" w:eastAsia="es-CO"/>
        </w:rPr>
        <w:t>Atención directa por parte de la entidad:</w:t>
      </w:r>
      <w:r w:rsidRPr="006B72E5">
        <w:rPr>
          <w:lang w:val="es-419" w:eastAsia="es-CO"/>
        </w:rPr>
        <w:t xml:space="preserve"> es el primer canal al que acude el consumidor financiero para presentar su queja o solicitud. La entidad </w:t>
      </w:r>
      <w:r w:rsidRPr="006B72E5">
        <w:rPr>
          <w:lang w:val="es-419" w:eastAsia="es-CO"/>
        </w:rPr>
        <w:lastRenderedPageBreak/>
        <w:t xml:space="preserve">debe revisar los hechos, verificar los soportes y responder dentro de los plazos establecidos. </w:t>
      </w:r>
    </w:p>
    <w:p w14:paraId="47EFD6B4" w14:textId="78724521" w:rsidR="006B72E5" w:rsidRPr="006B72E5" w:rsidRDefault="006B72E5" w:rsidP="00C52DBF">
      <w:pPr>
        <w:pStyle w:val="Prrafodelista"/>
        <w:numPr>
          <w:ilvl w:val="0"/>
          <w:numId w:val="31"/>
        </w:numPr>
        <w:rPr>
          <w:lang w:val="es-419" w:eastAsia="es-CO"/>
        </w:rPr>
      </w:pPr>
      <w:r w:rsidRPr="006B72E5">
        <w:rPr>
          <w:b/>
          <w:bCs/>
          <w:lang w:val="es-419" w:eastAsia="es-CO"/>
        </w:rPr>
        <w:t>Actuación del defensor del consumidor financiero:</w:t>
      </w:r>
      <w:r w:rsidRPr="006B72E5">
        <w:rPr>
          <w:lang w:val="es-419" w:eastAsia="es-CO"/>
        </w:rPr>
        <w:t xml:space="preserve"> interviene cuando el usuario no está conforme con la respuesta recibida o considera que sus derechos no fueron atendidos adecuadamente. Su función es revisar el caso de manera imparcial y emitir una respuesta conforme al marco aplicable. </w:t>
      </w:r>
    </w:p>
    <w:p w14:paraId="570C9533" w14:textId="7E780778" w:rsidR="006B72E5" w:rsidRPr="006B72E5" w:rsidRDefault="006B72E5" w:rsidP="00C52DBF">
      <w:pPr>
        <w:pStyle w:val="Prrafodelista"/>
        <w:numPr>
          <w:ilvl w:val="0"/>
          <w:numId w:val="31"/>
        </w:numPr>
        <w:rPr>
          <w:lang w:val="es-419" w:eastAsia="es-CO"/>
        </w:rPr>
      </w:pPr>
      <w:r w:rsidRPr="006B72E5">
        <w:rPr>
          <w:b/>
          <w:bCs/>
          <w:lang w:val="es-419" w:eastAsia="es-CO"/>
        </w:rPr>
        <w:t>Superintendencia Financiera de Colombia:</w:t>
      </w:r>
      <w:r w:rsidRPr="006B72E5">
        <w:rPr>
          <w:lang w:val="es-419" w:eastAsia="es-CO"/>
        </w:rPr>
        <w:t xml:space="preserve"> puede conocer la reclamación cuando el caso escala a una instancia superior o cuando se evidencian posibles incumplimientos normativos. Su intervención permite verificar la actuación de la entidad vigilada y adoptar las medidas correspondientes.</w:t>
      </w:r>
    </w:p>
    <w:p w14:paraId="18C4AF41" w14:textId="77777777" w:rsidR="006B72E5" w:rsidRPr="006B72E5" w:rsidRDefault="006B72E5" w:rsidP="006B72E5">
      <w:pPr>
        <w:rPr>
          <w:lang w:val="es-419" w:eastAsia="es-CO"/>
        </w:rPr>
      </w:pPr>
      <w:r w:rsidRPr="006B72E5">
        <w:rPr>
          <w:lang w:val="es-419" w:eastAsia="es-CO"/>
        </w:rPr>
        <w:t>Estas instancias permiten que el consumidor financiero cuente con canales organizados para presentar sus reclamaciones y recibir una respuesta verificable. Para la entidad, la correcta atención de quejas fortalece la transparencia, mejora la trazabilidad de la gestión y reduce el riesgo de sanciones, especialmente cuando existen soportes claros sobre los valores cobrados, los acuerdos realizados y las comunicaciones efectuadas.</w:t>
      </w:r>
    </w:p>
    <w:p w14:paraId="4C840F67" w14:textId="77777777" w:rsidR="006B72E5" w:rsidRPr="006B72E5" w:rsidRDefault="006B72E5" w:rsidP="006B72E5">
      <w:pPr>
        <w:rPr>
          <w:lang w:val="es-419" w:eastAsia="es-CO"/>
        </w:rPr>
      </w:pPr>
      <w:r w:rsidRPr="006B72E5">
        <w:rPr>
          <w:lang w:val="es-419" w:eastAsia="es-CO"/>
        </w:rPr>
        <w:t>Asimismo, para el área de cartera, la gestión correcta de las quejas no es solo una obligación regulatoria, es una oportunidad para identificar y corregir prácticas inadecuadas en los procesos de cobranza antes de que escalen a instancias superiores. Una queja bien resuelta fortalece la confianza del consumidor en la entidad; una queja mal gestionada puede derivar en sanciones, daños reputacionales y precedentes negativos para la institución.</w:t>
      </w:r>
    </w:p>
    <w:p w14:paraId="014FC481" w14:textId="77777777" w:rsidR="006B72E5" w:rsidRPr="006B72E5" w:rsidRDefault="006B72E5" w:rsidP="006B72E5">
      <w:pPr>
        <w:rPr>
          <w:lang w:val="es-419" w:eastAsia="es-CO"/>
        </w:rPr>
      </w:pPr>
      <w:r w:rsidRPr="006B72E5">
        <w:rPr>
          <w:lang w:val="es-419" w:eastAsia="es-CO"/>
        </w:rPr>
        <w:lastRenderedPageBreak/>
        <w:t>Las quejas más frecuentes relacionadas con la gestión de cartera y el procedimiento para atenderlas son las siguientes:</w:t>
      </w:r>
    </w:p>
    <w:p w14:paraId="6C32336C" w14:textId="608A81FB" w:rsidR="006B72E5" w:rsidRPr="006B72E5" w:rsidRDefault="006B72E5" w:rsidP="00C52DBF">
      <w:pPr>
        <w:pStyle w:val="Prrafodelista"/>
        <w:numPr>
          <w:ilvl w:val="0"/>
          <w:numId w:val="32"/>
        </w:numPr>
        <w:rPr>
          <w:lang w:val="es-419" w:eastAsia="es-CO"/>
        </w:rPr>
      </w:pPr>
      <w:r w:rsidRPr="006B72E5">
        <w:rPr>
          <w:b/>
          <w:bCs/>
          <w:lang w:val="es-419" w:eastAsia="es-CO"/>
        </w:rPr>
        <w:t>Cobro de intereses por encima de los límites legales:</w:t>
      </w:r>
      <w:r w:rsidRPr="006B72E5">
        <w:rPr>
          <w:lang w:val="es-419" w:eastAsia="es-CO"/>
        </w:rPr>
        <w:t xml:space="preserve"> el área de cartera debe verificar si los intereses calculados corresponden a la tasa pactada y si no superan la tasa de usura vigente en el período. Si se confirma el error, debe corregirse y reintegrar al consumidor los cobros indebidos.</w:t>
      </w:r>
    </w:p>
    <w:p w14:paraId="5CEB96AB" w14:textId="77777777" w:rsidR="006B72E5" w:rsidRPr="006B72E5" w:rsidRDefault="006B72E5" w:rsidP="00C65B3C">
      <w:pPr>
        <w:ind w:left="1416" w:firstLine="1"/>
        <w:rPr>
          <w:lang w:val="es-419" w:eastAsia="es-CO"/>
        </w:rPr>
      </w:pPr>
      <w:r w:rsidRPr="006B72E5">
        <w:rPr>
          <w:lang w:val="es-419" w:eastAsia="es-CO"/>
        </w:rPr>
        <w:t>Ejemplo: la señora Guerrero alega que le cobraron intereses de mora de $1.850.000 cuando su cálculo indica que deberían ser $920.000. El área de cartera verifica la liquidación y confirma que se aplicó incorrectamente la tasa; procede a la corrección y al reintegro del exceso cobrado.</w:t>
      </w:r>
    </w:p>
    <w:p w14:paraId="54FFFACE" w14:textId="543C16B6" w:rsidR="006B72E5" w:rsidRPr="006B72E5" w:rsidRDefault="006B72E5" w:rsidP="00C52DBF">
      <w:pPr>
        <w:pStyle w:val="Prrafodelista"/>
        <w:numPr>
          <w:ilvl w:val="0"/>
          <w:numId w:val="32"/>
        </w:numPr>
        <w:rPr>
          <w:lang w:val="es-419" w:eastAsia="es-CO"/>
        </w:rPr>
      </w:pPr>
      <w:r w:rsidRPr="006B72E5">
        <w:rPr>
          <w:b/>
          <w:bCs/>
          <w:lang w:val="es-419" w:eastAsia="es-CO"/>
        </w:rPr>
        <w:t>Aplicación incorrecta de pagos:</w:t>
      </w:r>
      <w:r w:rsidRPr="006B72E5">
        <w:rPr>
          <w:lang w:val="es-419" w:eastAsia="es-CO"/>
        </w:rPr>
        <w:t xml:space="preserve"> cuando el deudor alega que un pago no fue aplicado correctamente a su obligación, el área de cartera debe verificar el registro del pago en el sistema, el estado de cuenta antes y después del pago y la aplicación del valor según las reglas del contrato.</w:t>
      </w:r>
    </w:p>
    <w:p w14:paraId="7B45A51F" w14:textId="77777777" w:rsidR="006B72E5" w:rsidRPr="006B72E5" w:rsidRDefault="006B72E5" w:rsidP="00C65B3C">
      <w:pPr>
        <w:ind w:left="1416" w:firstLine="1"/>
        <w:rPr>
          <w:lang w:val="es-419" w:eastAsia="es-CO"/>
        </w:rPr>
      </w:pPr>
      <w:r w:rsidRPr="006B72E5">
        <w:rPr>
          <w:lang w:val="es-419" w:eastAsia="es-CO"/>
        </w:rPr>
        <w:t>Ejemplo: el señor Ramírez informa que realizó un pago de $850.000, pero su obligación continúa apareciendo en mora. El área de cartera revisa el comprobante, verifica la fecha de aplicación y encuentra que el pago fue registrado en otra obligación del mismo cliente. La entidad corrige la imputación y actualiza el estado de cuenta.</w:t>
      </w:r>
    </w:p>
    <w:p w14:paraId="39DC92DE" w14:textId="6084E4A9" w:rsidR="006B72E5" w:rsidRPr="006B72E5" w:rsidRDefault="006B72E5" w:rsidP="00C52DBF">
      <w:pPr>
        <w:pStyle w:val="Prrafodelista"/>
        <w:numPr>
          <w:ilvl w:val="0"/>
          <w:numId w:val="32"/>
        </w:numPr>
        <w:rPr>
          <w:lang w:val="es-419" w:eastAsia="es-CO"/>
        </w:rPr>
      </w:pPr>
      <w:r w:rsidRPr="006B72E5">
        <w:rPr>
          <w:b/>
          <w:bCs/>
          <w:lang w:val="es-419" w:eastAsia="es-CO"/>
        </w:rPr>
        <w:t>Prácticas de cobranza indebidas:</w:t>
      </w:r>
      <w:r w:rsidRPr="006B72E5">
        <w:rPr>
          <w:lang w:val="es-419" w:eastAsia="es-CO"/>
        </w:rPr>
        <w:t xml:space="preserve"> el consumidor puede quejarse de llamadas en horarios no autorizados, contacto a terceros, lenguaje amenazante o cualquier otra práctica que considere contraria a sus </w:t>
      </w:r>
      <w:r w:rsidRPr="006B72E5">
        <w:rPr>
          <w:lang w:val="es-419" w:eastAsia="es-CO"/>
        </w:rPr>
        <w:lastRenderedPageBreak/>
        <w:t>derechos. El área de cartera debe revisar los registros de gestión y determinar si la queja tiene fundamento.</w:t>
      </w:r>
    </w:p>
    <w:p w14:paraId="5DFB2B2F" w14:textId="77777777" w:rsidR="006B72E5" w:rsidRPr="006B72E5" w:rsidRDefault="006B72E5" w:rsidP="00C65B3C">
      <w:pPr>
        <w:ind w:left="1416" w:firstLine="1"/>
        <w:rPr>
          <w:lang w:val="es-419" w:eastAsia="es-CO"/>
        </w:rPr>
      </w:pPr>
      <w:r w:rsidRPr="006B72E5">
        <w:rPr>
          <w:lang w:val="es-419" w:eastAsia="es-CO"/>
        </w:rPr>
        <w:t>Ejemplo: una consumidora manifiesta que recibió llamadas de cobranza en horas de la noche y que también contactaron a un familiar que no era codeudor. El área de cartera revisa los registros de llamadas, confirma la situación y ordena suspender ese tipo de contacto, además de reforzar las instrucciones al equipo de cobranza.</w:t>
      </w:r>
    </w:p>
    <w:p w14:paraId="07B4906E" w14:textId="21D5673F" w:rsidR="006B72E5" w:rsidRPr="006B72E5" w:rsidRDefault="006B72E5" w:rsidP="00C52DBF">
      <w:pPr>
        <w:pStyle w:val="Prrafodelista"/>
        <w:numPr>
          <w:ilvl w:val="0"/>
          <w:numId w:val="32"/>
        </w:numPr>
        <w:rPr>
          <w:lang w:val="es-419" w:eastAsia="es-CO"/>
        </w:rPr>
      </w:pPr>
      <w:r w:rsidRPr="006B72E5">
        <w:rPr>
          <w:b/>
          <w:bCs/>
          <w:lang w:val="es-419" w:eastAsia="es-CO"/>
        </w:rPr>
        <w:t>Reporte indebido a centrales de riesgo:</w:t>
      </w:r>
      <w:r w:rsidRPr="006B72E5">
        <w:rPr>
          <w:lang w:val="es-419" w:eastAsia="es-CO"/>
        </w:rPr>
        <w:t xml:space="preserve"> el deudor puede reclamar que fue reportado incorrectamente o que la información no fue actualizada luego de un pago. El área debe verificar la exactitud del reporte y corregirlo si se constata algún error.</w:t>
      </w:r>
    </w:p>
    <w:p w14:paraId="35158415" w14:textId="77777777" w:rsidR="006B72E5" w:rsidRPr="006B72E5" w:rsidRDefault="006B72E5" w:rsidP="00C65B3C">
      <w:pPr>
        <w:ind w:left="1416" w:firstLine="1"/>
        <w:rPr>
          <w:lang w:val="es-419" w:eastAsia="es-CO"/>
        </w:rPr>
      </w:pPr>
      <w:r w:rsidRPr="006B72E5">
        <w:rPr>
          <w:lang w:val="es-419" w:eastAsia="es-CO"/>
        </w:rPr>
        <w:t>Ejemplo: la señora López solicita revisar su reporte porque canceló la obligación hace un mes y aún aparece como deudora en mora. El área de cartera verifica el pago total, confirma que la actualización no fue enviada oportunamente y solicita la corrección ante la central de riesgo correspondiente.</w:t>
      </w:r>
    </w:p>
    <w:p w14:paraId="172B875D" w14:textId="49590924" w:rsidR="006B72E5" w:rsidRDefault="006B72E5" w:rsidP="006B72E5">
      <w:pPr>
        <w:rPr>
          <w:lang w:val="es-419" w:eastAsia="es-CO"/>
        </w:rPr>
      </w:pPr>
      <w:r w:rsidRPr="006B72E5">
        <w:rPr>
          <w:lang w:val="es-419" w:eastAsia="es-CO"/>
        </w:rPr>
        <w:t>El procedimiento general para atender una queja incluye recibirla formalmente, registrarla en el sistema de seguimiento de quejas, investigar los hechos con base en la documentación disponible, emitir una respuesta fundamentada dentro del plazo establecido por la normativa y, si procede, aplicar las correcciones necesarias.</w:t>
      </w:r>
    </w:p>
    <w:p w14:paraId="77C07C59" w14:textId="55EB6767" w:rsidR="006B72E5" w:rsidRDefault="006B72E5" w:rsidP="006B72E5">
      <w:pPr>
        <w:rPr>
          <w:lang w:val="es-419" w:eastAsia="es-CO"/>
        </w:rPr>
      </w:pPr>
      <w:r w:rsidRPr="006B72E5">
        <w:rPr>
          <w:lang w:val="es-419" w:eastAsia="es-CO"/>
        </w:rPr>
        <w:t>Toda queja debe quedar documentada con soportes claros, respuesta oportuna y registro verificable de la gestión realizada.</w:t>
      </w:r>
    </w:p>
    <w:p w14:paraId="01D16974" w14:textId="77777777" w:rsidR="006B72E5" w:rsidRPr="006B72E5" w:rsidRDefault="006B72E5" w:rsidP="006B72E5">
      <w:pPr>
        <w:rPr>
          <w:lang w:val="es-419" w:eastAsia="es-CO"/>
        </w:rPr>
      </w:pPr>
      <w:r w:rsidRPr="006B72E5">
        <w:rPr>
          <w:lang w:val="es-419" w:eastAsia="es-CO"/>
        </w:rPr>
        <w:lastRenderedPageBreak/>
        <w:t>La gestión de quejas del consumidor financiero permite verificar si las actuaciones de la entidad se desarrollan con oportunidad, transparencia y soporte documental. Cada reclamación debe analizarse a partir de los hechos reportados, los registros disponibles, las normas aplicables y la respuesta emitida por la entidad.</w:t>
      </w:r>
    </w:p>
    <w:p w14:paraId="42EAAECA" w14:textId="07148F7F" w:rsidR="00C65B3C" w:rsidRDefault="006B72E5" w:rsidP="006B72E5">
      <w:pPr>
        <w:rPr>
          <w:lang w:val="es-419" w:eastAsia="es-CO"/>
        </w:rPr>
      </w:pPr>
      <w:r w:rsidRPr="006B72E5">
        <w:rPr>
          <w:lang w:val="es-419" w:eastAsia="es-CO"/>
        </w:rPr>
        <w:t>A partir de esta base, se profundiza en casos aplicados que representan situaciones frecuentes en la vida real del área de cartera. Su análisis permite identificar errores de liquidación, reportes indebidos, prácticas de cobranza inadecuadas o fallas en la atención al usuario, con el fin de establecer decisiones correctivas claras, verificables y ajustadas a la normativa vigente.</w:t>
      </w:r>
    </w:p>
    <w:p w14:paraId="3AD1BA14" w14:textId="77777777" w:rsidR="00C65B3C" w:rsidRDefault="00C65B3C">
      <w:pPr>
        <w:spacing w:before="0" w:after="160" w:line="259" w:lineRule="auto"/>
        <w:ind w:firstLine="0"/>
        <w:rPr>
          <w:lang w:val="es-419" w:eastAsia="es-CO"/>
        </w:rPr>
      </w:pPr>
      <w:r>
        <w:rPr>
          <w:lang w:val="es-419" w:eastAsia="es-CO"/>
        </w:rPr>
        <w:br w:type="page"/>
      </w:r>
    </w:p>
    <w:p w14:paraId="4DE3F64F" w14:textId="5DC88D74" w:rsidR="0060074A" w:rsidRDefault="0060074A" w:rsidP="0060074A">
      <w:pPr>
        <w:pStyle w:val="Ttulo1"/>
      </w:pPr>
      <w:bookmarkStart w:id="29" w:name="_Toc232493853"/>
      <w:r w:rsidRPr="0060074A">
        <w:lastRenderedPageBreak/>
        <w:t>Casos prácticos</w:t>
      </w:r>
      <w:bookmarkEnd w:id="29"/>
    </w:p>
    <w:p w14:paraId="5C042CBA" w14:textId="77777777" w:rsidR="006B72E5" w:rsidRPr="006B72E5" w:rsidRDefault="006B72E5" w:rsidP="006B72E5">
      <w:pPr>
        <w:rPr>
          <w:lang w:val="es-419" w:eastAsia="es-CO"/>
        </w:rPr>
      </w:pPr>
      <w:r w:rsidRPr="006B72E5">
        <w:rPr>
          <w:lang w:val="es-419" w:eastAsia="es-CO"/>
        </w:rPr>
        <w:t>La aplicación de los conocimientos contables y normativos del sector financiero colombiano exige analizar situaciones cercanas a la realidad del área de cartera. Por esta razón, los siguientes casos permiten relacionar los conceptos desarrollados a lo largo del componente con decisiones concretas de gestión: cálculo de provisiones, reestructuración de créditos, verificación del SARC y atención de quejas de consumidores financieros.</w:t>
      </w:r>
    </w:p>
    <w:p w14:paraId="2734C299" w14:textId="77777777" w:rsidR="006B72E5" w:rsidRPr="006B72E5" w:rsidRDefault="006B72E5" w:rsidP="006B72E5">
      <w:pPr>
        <w:rPr>
          <w:lang w:val="es-419" w:eastAsia="es-CO"/>
        </w:rPr>
      </w:pPr>
      <w:r w:rsidRPr="006B72E5">
        <w:rPr>
          <w:lang w:val="es-419" w:eastAsia="es-CO"/>
        </w:rPr>
        <w:t>Asimismo, cada caso se presenta mediante una narración breve y una tabla con datos clave. Esta organización facilita la lectura de cifras, porcentajes, días de mora y valores relevantes, y orienta al aprendiz hacia la decisión esperada en cada situación.</w:t>
      </w:r>
    </w:p>
    <w:p w14:paraId="2E1A380E" w14:textId="77777777" w:rsidR="006B72E5" w:rsidRPr="006B72E5" w:rsidRDefault="006B72E5" w:rsidP="006B72E5">
      <w:pPr>
        <w:rPr>
          <w:lang w:val="es-419" w:eastAsia="es-CO"/>
        </w:rPr>
      </w:pPr>
      <w:r w:rsidRPr="006B72E5">
        <w:rPr>
          <w:lang w:val="es-419" w:eastAsia="es-CO"/>
        </w:rPr>
        <w:t>De igual manera, el análisis de casos favorece la comprensión progresiva de los procesos normativos y contables, porque integra información técnica, criterio regulatorio y aplicación de procedimientos institucionales en un contexto verificable.</w:t>
      </w:r>
    </w:p>
    <w:p w14:paraId="3EE54E13" w14:textId="77777777" w:rsidR="006B72E5" w:rsidRPr="006B72E5" w:rsidRDefault="006B72E5" w:rsidP="006B72E5">
      <w:pPr>
        <w:rPr>
          <w:lang w:val="es-419" w:eastAsia="es-CO"/>
        </w:rPr>
      </w:pPr>
      <w:r w:rsidRPr="006B72E5">
        <w:rPr>
          <w:lang w:val="es-419" w:eastAsia="es-CO"/>
        </w:rPr>
        <w:t>En el desarrollo de los casos se tendrán en cuenta los siguientes aspectos:</w:t>
      </w:r>
    </w:p>
    <w:p w14:paraId="7DF0F256" w14:textId="0791ABFE" w:rsidR="006B72E5" w:rsidRPr="006B72E5" w:rsidRDefault="006B72E5" w:rsidP="00C52DBF">
      <w:pPr>
        <w:pStyle w:val="Prrafodelista"/>
        <w:numPr>
          <w:ilvl w:val="0"/>
          <w:numId w:val="32"/>
        </w:numPr>
        <w:rPr>
          <w:lang w:val="es-419" w:eastAsia="es-CO"/>
        </w:rPr>
      </w:pPr>
      <w:r w:rsidRPr="006B72E5">
        <w:rPr>
          <w:b/>
          <w:bCs/>
          <w:lang w:val="es-419" w:eastAsia="es-CO"/>
        </w:rPr>
        <w:t>Contexto del caso:</w:t>
      </w:r>
      <w:r w:rsidRPr="006B72E5">
        <w:rPr>
          <w:lang w:val="es-419" w:eastAsia="es-CO"/>
        </w:rPr>
        <w:t xml:space="preserve"> presenta la situación general que debe analizarse.</w:t>
      </w:r>
    </w:p>
    <w:p w14:paraId="1F8DB95E" w14:textId="07B8A11F" w:rsidR="006B72E5" w:rsidRPr="006B72E5" w:rsidRDefault="006B72E5" w:rsidP="00C52DBF">
      <w:pPr>
        <w:pStyle w:val="Prrafodelista"/>
        <w:numPr>
          <w:ilvl w:val="0"/>
          <w:numId w:val="32"/>
        </w:numPr>
        <w:rPr>
          <w:lang w:val="es-419" w:eastAsia="es-CO"/>
        </w:rPr>
      </w:pPr>
      <w:r w:rsidRPr="006B72E5">
        <w:rPr>
          <w:b/>
          <w:bCs/>
          <w:lang w:val="es-419" w:eastAsia="es-CO"/>
        </w:rPr>
        <w:t>Datos clave:</w:t>
      </w:r>
      <w:r w:rsidRPr="006B72E5">
        <w:rPr>
          <w:lang w:val="es-419" w:eastAsia="es-CO"/>
        </w:rPr>
        <w:t xml:space="preserve"> organiza cifras, porcentajes, días de mora y valores relevantes.</w:t>
      </w:r>
    </w:p>
    <w:p w14:paraId="1B0D02D3" w14:textId="1F5924B2" w:rsidR="006B72E5" w:rsidRPr="006B72E5" w:rsidRDefault="006B72E5" w:rsidP="00C52DBF">
      <w:pPr>
        <w:pStyle w:val="Prrafodelista"/>
        <w:numPr>
          <w:ilvl w:val="0"/>
          <w:numId w:val="32"/>
        </w:numPr>
        <w:rPr>
          <w:lang w:val="es-419" w:eastAsia="es-CO"/>
        </w:rPr>
      </w:pPr>
      <w:r w:rsidRPr="006B72E5">
        <w:rPr>
          <w:b/>
          <w:bCs/>
          <w:lang w:val="es-419" w:eastAsia="es-CO"/>
        </w:rPr>
        <w:t>Análisis de la situación:</w:t>
      </w:r>
      <w:r w:rsidRPr="006B72E5">
        <w:rPr>
          <w:lang w:val="es-419" w:eastAsia="es-CO"/>
        </w:rPr>
        <w:t xml:space="preserve"> permite interpretar el problema y reconocer sus implicaciones contables y normativas.</w:t>
      </w:r>
    </w:p>
    <w:p w14:paraId="5D320A8E" w14:textId="092C8EC6" w:rsidR="006B72E5" w:rsidRPr="006B72E5" w:rsidRDefault="006B72E5" w:rsidP="00C52DBF">
      <w:pPr>
        <w:pStyle w:val="Prrafodelista"/>
        <w:numPr>
          <w:ilvl w:val="0"/>
          <w:numId w:val="32"/>
        </w:numPr>
        <w:rPr>
          <w:lang w:val="es-419" w:eastAsia="es-CO"/>
        </w:rPr>
      </w:pPr>
      <w:r w:rsidRPr="006B72E5">
        <w:rPr>
          <w:b/>
          <w:bCs/>
          <w:lang w:val="es-419" w:eastAsia="es-CO"/>
        </w:rPr>
        <w:t>Decisión esperada:</w:t>
      </w:r>
      <w:r w:rsidRPr="006B72E5">
        <w:rPr>
          <w:lang w:val="es-419" w:eastAsia="es-CO"/>
        </w:rPr>
        <w:t xml:space="preserve"> orienta la acción técnica que debe aplicarse conforme a la normativa vigente.</w:t>
      </w:r>
    </w:p>
    <w:p w14:paraId="71E78EFA" w14:textId="63CBC260" w:rsidR="006B72E5" w:rsidRPr="006B72E5" w:rsidRDefault="006B72E5" w:rsidP="006B72E5">
      <w:pPr>
        <w:rPr>
          <w:lang w:val="es-419" w:eastAsia="es-CO"/>
        </w:rPr>
      </w:pPr>
      <w:r w:rsidRPr="006B72E5">
        <w:rPr>
          <w:lang w:val="es-419" w:eastAsia="es-CO"/>
        </w:rPr>
        <w:t>Estos aspectos ayudan a comprender que los casos prácticos no son ejercicios aislados, sino situaciones de análisis que permiten aplicar los contenidos estudiados en condiciones similares a las del sector financiero colombiano.</w:t>
      </w:r>
    </w:p>
    <w:p w14:paraId="3D6D1E0D" w14:textId="48AF11BA" w:rsidR="0060074A" w:rsidRDefault="0060074A" w:rsidP="0060074A">
      <w:pPr>
        <w:pStyle w:val="Ttulo2"/>
      </w:pPr>
      <w:bookmarkStart w:id="30" w:name="_Toc232493854"/>
      <w:r w:rsidRPr="0060074A">
        <w:lastRenderedPageBreak/>
        <w:t>Aprendizajes de los casos prácticos</w:t>
      </w:r>
      <w:bookmarkEnd w:id="30"/>
    </w:p>
    <w:p w14:paraId="1651E7AF" w14:textId="77777777" w:rsidR="006B72E5" w:rsidRPr="006B72E5" w:rsidRDefault="006B72E5" w:rsidP="006B72E5">
      <w:pPr>
        <w:rPr>
          <w:lang w:val="es-419" w:eastAsia="es-CO"/>
        </w:rPr>
      </w:pPr>
      <w:r w:rsidRPr="006B72E5">
        <w:rPr>
          <w:lang w:val="es-419" w:eastAsia="es-CO"/>
        </w:rPr>
        <w:t>El análisis de los casos prácticos permite reconocer que la gestión contable y normativa de la cartera requiere información precisa, aplicación correcta de los procedimientos regulatorios y criterio profesional para tomar decisiones en situaciones donde confluyen datos financieros, obligaciones normativas y derechos del consumidor.</w:t>
      </w:r>
    </w:p>
    <w:p w14:paraId="5F31DC52" w14:textId="77777777" w:rsidR="006B72E5" w:rsidRPr="006B72E5" w:rsidRDefault="006B72E5" w:rsidP="006B72E5">
      <w:pPr>
        <w:rPr>
          <w:lang w:val="es-419" w:eastAsia="es-CO"/>
        </w:rPr>
      </w:pPr>
      <w:r w:rsidRPr="006B72E5">
        <w:rPr>
          <w:lang w:val="es-419" w:eastAsia="es-CO"/>
        </w:rPr>
        <w:t>De igual manera, los casos muestran que el cumplimiento normativo no es un proceso independiente de la gestión de cartera: está integrado en cada etapa, desde el cálculo de provisiones hasta la atención de una queja. El gestor que domina esta integración actúa con mayor precisión, menor riesgo regulatorio y mejores resultados para la entidad.</w:t>
      </w:r>
    </w:p>
    <w:p w14:paraId="16DE1507" w14:textId="77777777" w:rsidR="006B72E5" w:rsidRPr="006B72E5" w:rsidRDefault="006B72E5" w:rsidP="006B72E5">
      <w:pPr>
        <w:rPr>
          <w:lang w:val="es-419" w:eastAsia="es-CO"/>
        </w:rPr>
      </w:pPr>
      <w:r w:rsidRPr="006B72E5">
        <w:rPr>
          <w:lang w:val="es-419" w:eastAsia="es-CO"/>
        </w:rPr>
        <w:t>A partir de los casos analizados, se identifican los siguientes aprendizajes:</w:t>
      </w:r>
    </w:p>
    <w:p w14:paraId="60D95BD9" w14:textId="2D7A49ED" w:rsidR="006B72E5" w:rsidRPr="006B72E5" w:rsidRDefault="006B72E5" w:rsidP="00C52DBF">
      <w:pPr>
        <w:pStyle w:val="Prrafodelista"/>
        <w:numPr>
          <w:ilvl w:val="0"/>
          <w:numId w:val="33"/>
        </w:numPr>
        <w:rPr>
          <w:lang w:val="es-419" w:eastAsia="es-CO"/>
        </w:rPr>
      </w:pPr>
      <w:r w:rsidRPr="006B72E5">
        <w:rPr>
          <w:b/>
          <w:bCs/>
          <w:lang w:val="es-419" w:eastAsia="es-CO"/>
        </w:rPr>
        <w:t>Impacto financiero de las categorías de riesgo:</w:t>
      </w:r>
      <w:r w:rsidRPr="006B72E5">
        <w:rPr>
          <w:lang w:val="es-419" w:eastAsia="es-CO"/>
        </w:rPr>
        <w:t xml:space="preserve"> el cálculo de provisiones evidencia que cada migración de categoría tiene consecuencias directas y cuantificables sobre el estado de resultados de la entidad. Gestionar la cartera de manera preventiva es financieramente más eficiente que permitir el deterioro.</w:t>
      </w:r>
    </w:p>
    <w:p w14:paraId="0DA5776A" w14:textId="4293D143" w:rsidR="006B72E5" w:rsidRPr="006B72E5" w:rsidRDefault="006B72E5" w:rsidP="00C52DBF">
      <w:pPr>
        <w:pStyle w:val="Prrafodelista"/>
        <w:numPr>
          <w:ilvl w:val="0"/>
          <w:numId w:val="33"/>
        </w:numPr>
        <w:rPr>
          <w:lang w:val="es-419" w:eastAsia="es-CO"/>
        </w:rPr>
      </w:pPr>
      <w:r w:rsidRPr="006B72E5">
        <w:rPr>
          <w:b/>
          <w:bCs/>
          <w:lang w:val="es-419" w:eastAsia="es-CO"/>
        </w:rPr>
        <w:t>Fundamento técnico de la reestructuración:</w:t>
      </w:r>
      <w:r w:rsidRPr="006B72E5">
        <w:rPr>
          <w:lang w:val="es-419" w:eastAsia="es-CO"/>
        </w:rPr>
        <w:t xml:space="preserve"> la reestructuración de un crédito debe basarse en la evaluación actualizada de la capacidad de pago del deudor y en el análisis de la viabilidad de las nuevas condiciones. Sin este fundamento, la reestructuración solo pospone el problema.</w:t>
      </w:r>
    </w:p>
    <w:p w14:paraId="1FE2E059" w14:textId="518218B6" w:rsidR="006B72E5" w:rsidRPr="006B72E5" w:rsidRDefault="006B72E5" w:rsidP="00C52DBF">
      <w:pPr>
        <w:pStyle w:val="Prrafodelista"/>
        <w:numPr>
          <w:ilvl w:val="0"/>
          <w:numId w:val="33"/>
        </w:numPr>
        <w:rPr>
          <w:lang w:val="es-419" w:eastAsia="es-CO"/>
        </w:rPr>
      </w:pPr>
      <w:r w:rsidRPr="006B72E5">
        <w:rPr>
          <w:b/>
          <w:bCs/>
          <w:lang w:val="es-419" w:eastAsia="es-CO"/>
        </w:rPr>
        <w:t>Documentación como evidencia de cumplimiento:</w:t>
      </w:r>
      <w:r w:rsidRPr="006B72E5">
        <w:rPr>
          <w:lang w:val="es-419" w:eastAsia="es-CO"/>
        </w:rPr>
        <w:t xml:space="preserve"> en todos los procesos con implicaciones normativas, provisiones, reestructuración, verificación del SARC, atención de quejas, la documentación es la evidencia que </w:t>
      </w:r>
      <w:r w:rsidRPr="006B72E5">
        <w:rPr>
          <w:lang w:val="es-419" w:eastAsia="es-CO"/>
        </w:rPr>
        <w:lastRenderedPageBreak/>
        <w:t>respalda las decisiones ante el regulador, la auditoría interna y los consumidores financieros.</w:t>
      </w:r>
    </w:p>
    <w:p w14:paraId="5DC56AB5" w14:textId="2E7373F7" w:rsidR="006B72E5" w:rsidRPr="006B72E5" w:rsidRDefault="006B72E5" w:rsidP="00C52DBF">
      <w:pPr>
        <w:pStyle w:val="Prrafodelista"/>
        <w:numPr>
          <w:ilvl w:val="0"/>
          <w:numId w:val="33"/>
        </w:numPr>
        <w:rPr>
          <w:lang w:val="es-419" w:eastAsia="es-CO"/>
        </w:rPr>
      </w:pPr>
      <w:r w:rsidRPr="006B72E5">
        <w:rPr>
          <w:b/>
          <w:bCs/>
          <w:lang w:val="es-419" w:eastAsia="es-CO"/>
        </w:rPr>
        <w:t>Autoevaluación proactiva del SARC:</w:t>
      </w:r>
      <w:r w:rsidRPr="006B72E5">
        <w:rPr>
          <w:lang w:val="es-419" w:eastAsia="es-CO"/>
        </w:rPr>
        <w:t xml:space="preserve"> identificar y corregir deficiencias antes de una visita de inspección demuestra madurez en la gestión de riesgo crediticio. Una entidad que actúa reactivamente frente al regulador presenta mayor exposición a sanciones.</w:t>
      </w:r>
    </w:p>
    <w:p w14:paraId="799B7A51" w14:textId="3D53AD92" w:rsidR="006B72E5" w:rsidRPr="006B72E5" w:rsidRDefault="006B72E5" w:rsidP="00C52DBF">
      <w:pPr>
        <w:pStyle w:val="Prrafodelista"/>
        <w:numPr>
          <w:ilvl w:val="0"/>
          <w:numId w:val="33"/>
        </w:numPr>
        <w:rPr>
          <w:lang w:val="es-419" w:eastAsia="es-CO"/>
        </w:rPr>
      </w:pPr>
      <w:r w:rsidRPr="006B72E5">
        <w:rPr>
          <w:b/>
          <w:bCs/>
          <w:lang w:val="es-419" w:eastAsia="es-CO"/>
        </w:rPr>
        <w:t>Resolución efectiva de quejas:</w:t>
      </w:r>
      <w:r w:rsidRPr="006B72E5">
        <w:rPr>
          <w:lang w:val="es-419" w:eastAsia="es-CO"/>
        </w:rPr>
        <w:t xml:space="preserve"> atender correctamente una queja requiere verificar los hechos con base en los registros del sistema, calcular correctamente los valores adeudados y responder dentro de los plazos establecidos por la normativa. Una queja bien resuelta protege a la entidad de sanciones regulatorias.</w:t>
      </w:r>
    </w:p>
    <w:p w14:paraId="5CB06A16" w14:textId="0EEBC391" w:rsidR="006B72E5" w:rsidRPr="006B72E5" w:rsidRDefault="006B72E5" w:rsidP="00C52DBF">
      <w:pPr>
        <w:pStyle w:val="Prrafodelista"/>
        <w:numPr>
          <w:ilvl w:val="0"/>
          <w:numId w:val="33"/>
        </w:numPr>
        <w:rPr>
          <w:lang w:val="es-419" w:eastAsia="es-CO"/>
        </w:rPr>
      </w:pPr>
      <w:r w:rsidRPr="006B72E5">
        <w:rPr>
          <w:b/>
          <w:bCs/>
          <w:lang w:val="es-419" w:eastAsia="es-CO"/>
        </w:rPr>
        <w:t>Consistencia entre registros y estados financieros:</w:t>
      </w:r>
      <w:r w:rsidRPr="006B72E5">
        <w:rPr>
          <w:lang w:val="es-419" w:eastAsia="es-CO"/>
        </w:rPr>
        <w:t xml:space="preserve"> los datos que el gestor registra en el sistema de cartera son los que alimentan los estados financieros y los reportes al regulador. Un error en el registro genera inconsistencias que pueden derivar en estados financieros incorrectos y reportes inválidos.</w:t>
      </w:r>
    </w:p>
    <w:p w14:paraId="76E2C726" w14:textId="119F00FD" w:rsidR="006B72E5" w:rsidRPr="006B72E5" w:rsidRDefault="006B72E5" w:rsidP="00C52DBF">
      <w:pPr>
        <w:pStyle w:val="Prrafodelista"/>
        <w:numPr>
          <w:ilvl w:val="0"/>
          <w:numId w:val="33"/>
        </w:numPr>
        <w:rPr>
          <w:lang w:val="es-419" w:eastAsia="es-CO"/>
        </w:rPr>
      </w:pPr>
      <w:r w:rsidRPr="006B72E5">
        <w:rPr>
          <w:b/>
          <w:bCs/>
          <w:lang w:val="es-419" w:eastAsia="es-CO"/>
        </w:rPr>
        <w:t>Criterio diferenciado por tipo de obligación:</w:t>
      </w:r>
      <w:r w:rsidRPr="006B72E5">
        <w:rPr>
          <w:lang w:val="es-419" w:eastAsia="es-CO"/>
        </w:rPr>
        <w:t xml:space="preserve"> las decisiones de gestión para reestructurar, provisionar, reportar o atender una queja, tienen implicaciones distintas según el tipo de crédito, la categoría de riesgo y el perfil del deudor. El gestor que conoce estas diferencias aplica criterios más precisos.</w:t>
      </w:r>
    </w:p>
    <w:p w14:paraId="74FEF1FD" w14:textId="4A1279F6" w:rsidR="006B72E5" w:rsidRPr="006B72E5" w:rsidRDefault="006B72E5" w:rsidP="00C52DBF">
      <w:pPr>
        <w:pStyle w:val="Prrafodelista"/>
        <w:numPr>
          <w:ilvl w:val="0"/>
          <w:numId w:val="33"/>
        </w:numPr>
        <w:rPr>
          <w:lang w:val="es-419" w:eastAsia="es-CO"/>
        </w:rPr>
      </w:pPr>
      <w:r w:rsidRPr="006B72E5">
        <w:rPr>
          <w:b/>
          <w:bCs/>
          <w:lang w:val="es-419" w:eastAsia="es-CO"/>
        </w:rPr>
        <w:t>Protección del consumidor como dimensión técnica:</w:t>
      </w:r>
      <w:r w:rsidRPr="006B72E5">
        <w:rPr>
          <w:lang w:val="es-419" w:eastAsia="es-CO"/>
        </w:rPr>
        <w:t xml:space="preserve"> los derechos del consumidor financiero no son solo una obligación ética, tienen consecuencias jurídicas y regulatorias concretas. Verificar que los intereses </w:t>
      </w:r>
      <w:r w:rsidRPr="006B72E5">
        <w:rPr>
          <w:lang w:val="es-419" w:eastAsia="es-CO"/>
        </w:rPr>
        <w:lastRenderedPageBreak/>
        <w:t>cobrados son correctos, que los pagos se aplican bien y que las quejas se atienden en plazo es parte de la gestión técnica de la cartera.</w:t>
      </w:r>
    </w:p>
    <w:p w14:paraId="73967A68" w14:textId="77777777" w:rsidR="006B72E5" w:rsidRPr="006B72E5" w:rsidRDefault="006B72E5" w:rsidP="006B72E5">
      <w:pPr>
        <w:rPr>
          <w:lang w:val="es-419" w:eastAsia="es-CO"/>
        </w:rPr>
      </w:pPr>
      <w:r w:rsidRPr="006B72E5">
        <w:rPr>
          <w:lang w:val="es-419" w:eastAsia="es-CO"/>
        </w:rPr>
        <w:t>Los aprendizajes derivados de los casos prácticos permiten reconocer que la gestión de cartera no se limita a conocer normas o procedimientos, sino que exige aplicarlos en situaciones concretas, con información verificable y criterio técnico. Por esta razón, el análisis de casos facilita observar cómo una decisión sobre provisiones, reestructuración, cumplimiento del Sistema de Administración del Riesgo Crediticio (SARC) o atención de quejas puede afectar los estados financieros, la relación con el deudor y la seguridad jurídica de la entidad.</w:t>
      </w:r>
    </w:p>
    <w:p w14:paraId="7F47DAF1" w14:textId="1ADC5AEC" w:rsidR="006B72E5" w:rsidRDefault="006B72E5" w:rsidP="006B72E5">
      <w:pPr>
        <w:rPr>
          <w:lang w:val="es-419" w:eastAsia="es-CO"/>
        </w:rPr>
      </w:pPr>
      <w:r w:rsidRPr="006B72E5">
        <w:rPr>
          <w:lang w:val="es-419" w:eastAsia="es-CO"/>
        </w:rPr>
        <w:t>A partir de esta integración entre contabilidad, normativa y gestión operativa, se presentan situaciones representativas del sector financiero colombiano. Cada caso permite revisar un problema específico, interpretar los datos disponibles, identificar la norma aplicable y definir una decisión técnica coherente con las políticas institucionales y la protección del consumidor financiero.</w:t>
      </w:r>
    </w:p>
    <w:p w14:paraId="1298D86B" w14:textId="77777777" w:rsidR="00C65B3C" w:rsidRPr="006B72E5" w:rsidRDefault="00C65B3C" w:rsidP="006B72E5">
      <w:pPr>
        <w:rPr>
          <w:lang w:val="es-419" w:eastAsia="es-CO"/>
        </w:rPr>
      </w:pPr>
    </w:p>
    <w:p w14:paraId="12B01F02" w14:textId="6B1F806C" w:rsidR="0060074A" w:rsidRDefault="0060074A" w:rsidP="0060074A">
      <w:pPr>
        <w:pStyle w:val="Ttulo2"/>
      </w:pPr>
      <w:bookmarkStart w:id="31" w:name="_Toc232493855"/>
      <w:r w:rsidRPr="0060074A">
        <w:t>Análisis aplicado de situaciones de cartera</w:t>
      </w:r>
      <w:bookmarkEnd w:id="31"/>
    </w:p>
    <w:p w14:paraId="1149744A" w14:textId="77777777" w:rsidR="006B72E5" w:rsidRPr="006B72E5" w:rsidRDefault="006B72E5" w:rsidP="006B72E5">
      <w:pPr>
        <w:rPr>
          <w:lang w:val="es-419" w:eastAsia="es-CO"/>
        </w:rPr>
      </w:pPr>
      <w:r w:rsidRPr="006B72E5">
        <w:rPr>
          <w:lang w:val="es-419" w:eastAsia="es-CO"/>
        </w:rPr>
        <w:t xml:space="preserve">El análisis aplicado de situaciones de cartera permite relacionar los conceptos contables y normativos estudiados con decisiones concretas que ocurren en el día a día del sector financiero colombiano. Para facilitar este proceso, cada caso se presenta mediante una narración breve que describe el contexto de la situación, seguida de una tabla con los datos clave que orientan el análisis. Los datos de las tablas no reemplazan la explicación del caso, la complementan con información cuantitativa verificable que </w:t>
      </w:r>
      <w:r w:rsidRPr="006B72E5">
        <w:rPr>
          <w:lang w:val="es-419" w:eastAsia="es-CO"/>
        </w:rPr>
        <w:lastRenderedPageBreak/>
        <w:t>permite identificar el problema central, revisar los elementos normativos pertinentes y establecer la decisión técnica esperada con mayor precisión.</w:t>
      </w:r>
    </w:p>
    <w:p w14:paraId="49FEF63A" w14:textId="77777777" w:rsidR="006B72E5" w:rsidRPr="006B72E5" w:rsidRDefault="006B72E5" w:rsidP="006B72E5">
      <w:pPr>
        <w:rPr>
          <w:lang w:val="es-419" w:eastAsia="es-CO"/>
        </w:rPr>
      </w:pPr>
      <w:r w:rsidRPr="006B72E5">
        <w:rPr>
          <w:lang w:val="es-419" w:eastAsia="es-CO"/>
        </w:rPr>
        <w:t>Los cuatro casos que se presentan a continuación abordan, respectivamente, el cálculo de provisiones de una cartera de consumo, la reestructuración de un crédito comercial y su registro contable, la autoevaluación del SARC en una entidad financiera y la atención de una queja ante la Defensoría del Consumidor Financiero. Cada uno integra el criterio regulatorio, procedimiento institucional y aplicación de la normativa vigente en un escenario representativo de la gestión real del área de cartera.</w:t>
      </w:r>
    </w:p>
    <w:p w14:paraId="5538E383" w14:textId="699845ED" w:rsidR="006B72E5" w:rsidRDefault="006B72E5" w:rsidP="006B72E5">
      <w:pPr>
        <w:rPr>
          <w:lang w:val="es-419" w:eastAsia="es-CO"/>
        </w:rPr>
      </w:pPr>
      <w:r w:rsidRPr="006B72E5">
        <w:rPr>
          <w:lang w:val="es-419" w:eastAsia="es-CO"/>
        </w:rPr>
        <w:t>Con base en los fundamentos contables y normativos desarrollados a lo largo del componente, se presentan las siguientes situaciones de gestión de cartera:</w:t>
      </w:r>
    </w:p>
    <w:p w14:paraId="11BF9048" w14:textId="77777777" w:rsidR="00C65B3C" w:rsidRPr="006B72E5" w:rsidRDefault="00C65B3C" w:rsidP="006B72E5">
      <w:pPr>
        <w:rPr>
          <w:lang w:val="es-419" w:eastAsia="es-CO"/>
        </w:rPr>
      </w:pPr>
    </w:p>
    <w:p w14:paraId="027D0DA2" w14:textId="77777777" w:rsidR="006B72E5" w:rsidRPr="006B72E5" w:rsidRDefault="006B72E5" w:rsidP="006B72E5">
      <w:pPr>
        <w:rPr>
          <w:b/>
          <w:bCs/>
          <w:lang w:val="es-419" w:eastAsia="es-CO"/>
        </w:rPr>
      </w:pPr>
      <w:r w:rsidRPr="006B72E5">
        <w:rPr>
          <w:b/>
          <w:bCs/>
          <w:lang w:val="es-419" w:eastAsia="es-CO"/>
        </w:rPr>
        <w:t>Caso 1: cálculo de provisiones de una cartera de consumo</w:t>
      </w:r>
    </w:p>
    <w:p w14:paraId="1280A8B1" w14:textId="6B5E8BE6" w:rsidR="00C65B3C" w:rsidRDefault="006B72E5" w:rsidP="006B72E5">
      <w:pPr>
        <w:rPr>
          <w:lang w:val="es-419" w:eastAsia="es-CO"/>
        </w:rPr>
      </w:pPr>
      <w:r w:rsidRPr="006B72E5">
        <w:rPr>
          <w:lang w:val="es-419" w:eastAsia="es-CO"/>
        </w:rPr>
        <w:t>El Banco Regional del Café S. A. debe calcular las provisiones individuales de su cartera de consumo al cierre del mes de mayo de 2026. La distribución de la cartera por categoría de riesgo es la que se presenta en la siguiente tabla, con los saldos brutos de cada categoría y los porcentajes de provisión individual requeridos por la CBCF. Para comprender el caso, es necesario revisar los datos principales de la cartera y las provisiones requeridas por cada categoría. En la siguiente tabla se presentan los valores que orientan el cálculo.</w:t>
      </w:r>
    </w:p>
    <w:p w14:paraId="2529EB12" w14:textId="77777777" w:rsidR="00C65B3C" w:rsidRDefault="00C65B3C">
      <w:pPr>
        <w:spacing w:before="0" w:after="160" w:line="259" w:lineRule="auto"/>
        <w:ind w:firstLine="0"/>
        <w:rPr>
          <w:lang w:val="es-419" w:eastAsia="es-CO"/>
        </w:rPr>
      </w:pPr>
      <w:r>
        <w:rPr>
          <w:lang w:val="es-419" w:eastAsia="es-CO"/>
        </w:rPr>
        <w:br w:type="page"/>
      </w:r>
    </w:p>
    <w:p w14:paraId="328E95F6" w14:textId="1E89E50A" w:rsidR="006B72E5" w:rsidRDefault="006B72E5" w:rsidP="00C65B3C">
      <w:pPr>
        <w:pStyle w:val="Tabla"/>
        <w:rPr>
          <w:lang w:val="es-419" w:eastAsia="es-CO"/>
        </w:rPr>
      </w:pPr>
      <w:r w:rsidRPr="006B72E5">
        <w:rPr>
          <w:lang w:val="es-419" w:eastAsia="es-CO"/>
        </w:rPr>
        <w:lastRenderedPageBreak/>
        <w:t>Datos clave del cálculo de provisiones de cartera de consumo</w:t>
      </w:r>
    </w:p>
    <w:tbl>
      <w:tblPr>
        <w:tblStyle w:val="SENA"/>
        <w:tblW w:w="9926" w:type="dxa"/>
        <w:tblLook w:val="00A0" w:firstRow="1" w:lastRow="0" w:firstColumn="1" w:lastColumn="0" w:noHBand="0" w:noVBand="0"/>
      </w:tblPr>
      <w:tblGrid>
        <w:gridCol w:w="2651"/>
        <w:gridCol w:w="2524"/>
        <w:gridCol w:w="1839"/>
        <w:gridCol w:w="2912"/>
      </w:tblGrid>
      <w:tr w:rsidR="006B72E5" w:rsidRPr="00C65B3C" w14:paraId="78646F22" w14:textId="77777777" w:rsidTr="00062726">
        <w:trPr>
          <w:cnfStyle w:val="100000000000" w:firstRow="1" w:lastRow="0" w:firstColumn="0" w:lastColumn="0" w:oddVBand="0" w:evenVBand="0" w:oddHBand="0" w:evenHBand="0" w:firstRowFirstColumn="0" w:firstRowLastColumn="0" w:lastRowFirstColumn="0" w:lastRowLastColumn="0"/>
          <w:trHeight w:val="616"/>
          <w:tblHeader/>
        </w:trPr>
        <w:tc>
          <w:tcPr>
            <w:tcW w:w="0" w:type="auto"/>
          </w:tcPr>
          <w:p w14:paraId="5B85D4BE" w14:textId="77777777" w:rsidR="006B72E5" w:rsidRPr="00C65B3C" w:rsidRDefault="006B72E5" w:rsidP="00C65B3C">
            <w:pPr>
              <w:pStyle w:val="TextoTablas"/>
            </w:pPr>
            <w:r w:rsidRPr="00C65B3C">
              <w:t>Categoría</w:t>
            </w:r>
          </w:p>
        </w:tc>
        <w:tc>
          <w:tcPr>
            <w:tcW w:w="0" w:type="auto"/>
          </w:tcPr>
          <w:p w14:paraId="383F6028" w14:textId="77777777" w:rsidR="006B72E5" w:rsidRPr="00C65B3C" w:rsidRDefault="006B72E5" w:rsidP="00C65B3C">
            <w:pPr>
              <w:pStyle w:val="TextoTablas"/>
            </w:pPr>
            <w:r w:rsidRPr="00C65B3C">
              <w:t>Saldo bruto</w:t>
            </w:r>
          </w:p>
        </w:tc>
        <w:tc>
          <w:tcPr>
            <w:tcW w:w="0" w:type="auto"/>
          </w:tcPr>
          <w:p w14:paraId="72589DEB" w14:textId="77777777" w:rsidR="006B72E5" w:rsidRPr="00C65B3C" w:rsidRDefault="006B72E5" w:rsidP="00C65B3C">
            <w:pPr>
              <w:pStyle w:val="TextoTablas"/>
            </w:pPr>
            <w:r w:rsidRPr="00C65B3C">
              <w:t>% Provisión</w:t>
            </w:r>
          </w:p>
        </w:tc>
        <w:tc>
          <w:tcPr>
            <w:tcW w:w="0" w:type="auto"/>
          </w:tcPr>
          <w:p w14:paraId="4CAF33D6" w14:textId="77777777" w:rsidR="006B72E5" w:rsidRPr="00C65B3C" w:rsidRDefault="006B72E5" w:rsidP="00C65B3C">
            <w:pPr>
              <w:pStyle w:val="TextoTablas"/>
            </w:pPr>
            <w:r w:rsidRPr="00C65B3C">
              <w:t>Provisión requerida</w:t>
            </w:r>
          </w:p>
        </w:tc>
      </w:tr>
      <w:tr w:rsidR="006B72E5" w:rsidRPr="00C65B3C" w14:paraId="4A656F53" w14:textId="77777777" w:rsidTr="00062726">
        <w:trPr>
          <w:cnfStyle w:val="000000100000" w:firstRow="0" w:lastRow="0" w:firstColumn="0" w:lastColumn="0" w:oddVBand="0" w:evenVBand="0" w:oddHBand="1" w:evenHBand="0" w:firstRowFirstColumn="0" w:firstRowLastColumn="0" w:lastRowFirstColumn="0" w:lastRowLastColumn="0"/>
          <w:trHeight w:val="616"/>
        </w:trPr>
        <w:tc>
          <w:tcPr>
            <w:tcW w:w="0" w:type="auto"/>
          </w:tcPr>
          <w:p w14:paraId="400855C0" w14:textId="77777777" w:rsidR="006B72E5" w:rsidRPr="00C65B3C" w:rsidRDefault="006B72E5" w:rsidP="00C65B3C">
            <w:pPr>
              <w:pStyle w:val="TextoTablas"/>
            </w:pPr>
            <w:r w:rsidRPr="00C65B3C">
              <w:t>A — Normal</w:t>
            </w:r>
          </w:p>
        </w:tc>
        <w:tc>
          <w:tcPr>
            <w:tcW w:w="0" w:type="auto"/>
          </w:tcPr>
          <w:p w14:paraId="1ACE7DE5" w14:textId="77777777" w:rsidR="006B72E5" w:rsidRPr="00C65B3C" w:rsidRDefault="006B72E5" w:rsidP="00C65B3C">
            <w:pPr>
              <w:pStyle w:val="TextoTablas"/>
            </w:pPr>
            <w:r w:rsidRPr="00C65B3C">
              <w:t>$28.500 millones</w:t>
            </w:r>
          </w:p>
        </w:tc>
        <w:tc>
          <w:tcPr>
            <w:tcW w:w="0" w:type="auto"/>
          </w:tcPr>
          <w:p w14:paraId="7EC0772E" w14:textId="77777777" w:rsidR="006B72E5" w:rsidRPr="00C65B3C" w:rsidRDefault="006B72E5" w:rsidP="00C65B3C">
            <w:pPr>
              <w:pStyle w:val="TextoTablas"/>
            </w:pPr>
            <w:r w:rsidRPr="00C65B3C">
              <w:t>1 %</w:t>
            </w:r>
          </w:p>
        </w:tc>
        <w:tc>
          <w:tcPr>
            <w:tcW w:w="0" w:type="auto"/>
          </w:tcPr>
          <w:p w14:paraId="38A91A5F" w14:textId="77777777" w:rsidR="006B72E5" w:rsidRPr="00C65B3C" w:rsidRDefault="006B72E5" w:rsidP="00C65B3C">
            <w:pPr>
              <w:pStyle w:val="TextoTablas"/>
            </w:pPr>
            <w:r w:rsidRPr="00C65B3C">
              <w:t>$285 millones</w:t>
            </w:r>
          </w:p>
        </w:tc>
      </w:tr>
      <w:tr w:rsidR="006B72E5" w:rsidRPr="00C65B3C" w14:paraId="5F3DFD92" w14:textId="77777777" w:rsidTr="00062726">
        <w:trPr>
          <w:trHeight w:val="600"/>
        </w:trPr>
        <w:tc>
          <w:tcPr>
            <w:tcW w:w="0" w:type="auto"/>
          </w:tcPr>
          <w:p w14:paraId="306CA190" w14:textId="77777777" w:rsidR="006B72E5" w:rsidRPr="00C65B3C" w:rsidRDefault="006B72E5" w:rsidP="00C65B3C">
            <w:pPr>
              <w:pStyle w:val="TextoTablas"/>
            </w:pPr>
            <w:r w:rsidRPr="00C65B3C">
              <w:t>B — Aceptable</w:t>
            </w:r>
          </w:p>
        </w:tc>
        <w:tc>
          <w:tcPr>
            <w:tcW w:w="0" w:type="auto"/>
          </w:tcPr>
          <w:p w14:paraId="527EE60E" w14:textId="77777777" w:rsidR="006B72E5" w:rsidRPr="00C65B3C" w:rsidRDefault="006B72E5" w:rsidP="00C65B3C">
            <w:pPr>
              <w:pStyle w:val="TextoTablas"/>
            </w:pPr>
            <w:r w:rsidRPr="00C65B3C">
              <w:t>$3.200 millones</w:t>
            </w:r>
          </w:p>
        </w:tc>
        <w:tc>
          <w:tcPr>
            <w:tcW w:w="0" w:type="auto"/>
          </w:tcPr>
          <w:p w14:paraId="694C91A2" w14:textId="77777777" w:rsidR="006B72E5" w:rsidRPr="00C65B3C" w:rsidRDefault="006B72E5" w:rsidP="00C65B3C">
            <w:pPr>
              <w:pStyle w:val="TextoTablas"/>
            </w:pPr>
            <w:r w:rsidRPr="00C65B3C">
              <w:t>3,2 %</w:t>
            </w:r>
          </w:p>
        </w:tc>
        <w:tc>
          <w:tcPr>
            <w:tcW w:w="0" w:type="auto"/>
          </w:tcPr>
          <w:p w14:paraId="397BD8EE" w14:textId="77777777" w:rsidR="006B72E5" w:rsidRPr="00C65B3C" w:rsidRDefault="006B72E5" w:rsidP="00C65B3C">
            <w:pPr>
              <w:pStyle w:val="TextoTablas"/>
            </w:pPr>
            <w:r w:rsidRPr="00C65B3C">
              <w:t>$102,4 millones</w:t>
            </w:r>
          </w:p>
        </w:tc>
      </w:tr>
      <w:tr w:rsidR="006B72E5" w:rsidRPr="00C65B3C" w14:paraId="672A6591" w14:textId="77777777" w:rsidTr="00062726">
        <w:trPr>
          <w:cnfStyle w:val="000000100000" w:firstRow="0" w:lastRow="0" w:firstColumn="0" w:lastColumn="0" w:oddVBand="0" w:evenVBand="0" w:oddHBand="1" w:evenHBand="0" w:firstRowFirstColumn="0" w:firstRowLastColumn="0" w:lastRowFirstColumn="0" w:lastRowLastColumn="0"/>
          <w:trHeight w:val="616"/>
        </w:trPr>
        <w:tc>
          <w:tcPr>
            <w:tcW w:w="0" w:type="auto"/>
          </w:tcPr>
          <w:p w14:paraId="6835C572" w14:textId="77777777" w:rsidR="006B72E5" w:rsidRPr="00C65B3C" w:rsidRDefault="006B72E5" w:rsidP="00C65B3C">
            <w:pPr>
              <w:pStyle w:val="TextoTablas"/>
            </w:pPr>
            <w:r w:rsidRPr="00C65B3C">
              <w:t>C — Apreciable</w:t>
            </w:r>
          </w:p>
        </w:tc>
        <w:tc>
          <w:tcPr>
            <w:tcW w:w="0" w:type="auto"/>
          </w:tcPr>
          <w:p w14:paraId="71E48678" w14:textId="77777777" w:rsidR="006B72E5" w:rsidRPr="00C65B3C" w:rsidRDefault="006B72E5" w:rsidP="00C65B3C">
            <w:pPr>
              <w:pStyle w:val="TextoTablas"/>
            </w:pPr>
            <w:r w:rsidRPr="00C65B3C">
              <w:t>$2.800 millones</w:t>
            </w:r>
          </w:p>
        </w:tc>
        <w:tc>
          <w:tcPr>
            <w:tcW w:w="0" w:type="auto"/>
          </w:tcPr>
          <w:p w14:paraId="6707A48D" w14:textId="77777777" w:rsidR="006B72E5" w:rsidRPr="00C65B3C" w:rsidRDefault="006B72E5" w:rsidP="00C65B3C">
            <w:pPr>
              <w:pStyle w:val="TextoTablas"/>
            </w:pPr>
            <w:r w:rsidRPr="00C65B3C">
              <w:t>20 %</w:t>
            </w:r>
          </w:p>
        </w:tc>
        <w:tc>
          <w:tcPr>
            <w:tcW w:w="0" w:type="auto"/>
          </w:tcPr>
          <w:p w14:paraId="2B4091E9" w14:textId="77777777" w:rsidR="006B72E5" w:rsidRPr="00C65B3C" w:rsidRDefault="006B72E5" w:rsidP="00C65B3C">
            <w:pPr>
              <w:pStyle w:val="TextoTablas"/>
            </w:pPr>
            <w:r w:rsidRPr="00C65B3C">
              <w:t>$560 millones</w:t>
            </w:r>
          </w:p>
        </w:tc>
      </w:tr>
      <w:tr w:rsidR="006B72E5" w:rsidRPr="00C65B3C" w14:paraId="31C286AE" w14:textId="77777777" w:rsidTr="00062726">
        <w:trPr>
          <w:trHeight w:val="616"/>
        </w:trPr>
        <w:tc>
          <w:tcPr>
            <w:tcW w:w="0" w:type="auto"/>
          </w:tcPr>
          <w:p w14:paraId="60876848" w14:textId="77777777" w:rsidR="006B72E5" w:rsidRPr="00C65B3C" w:rsidRDefault="006B72E5" w:rsidP="00C65B3C">
            <w:pPr>
              <w:pStyle w:val="TextoTablas"/>
            </w:pPr>
            <w:r w:rsidRPr="00C65B3C">
              <w:t>D — Significativo</w:t>
            </w:r>
          </w:p>
        </w:tc>
        <w:tc>
          <w:tcPr>
            <w:tcW w:w="0" w:type="auto"/>
          </w:tcPr>
          <w:p w14:paraId="45B86E9E" w14:textId="77777777" w:rsidR="006B72E5" w:rsidRPr="00C65B3C" w:rsidRDefault="006B72E5" w:rsidP="00C65B3C">
            <w:pPr>
              <w:pStyle w:val="TextoTablas"/>
            </w:pPr>
            <w:r w:rsidRPr="00C65B3C">
              <w:t>$1.100 millones</w:t>
            </w:r>
          </w:p>
        </w:tc>
        <w:tc>
          <w:tcPr>
            <w:tcW w:w="0" w:type="auto"/>
          </w:tcPr>
          <w:p w14:paraId="4F7882C8" w14:textId="77777777" w:rsidR="006B72E5" w:rsidRPr="00C65B3C" w:rsidRDefault="006B72E5" w:rsidP="00C65B3C">
            <w:pPr>
              <w:pStyle w:val="TextoTablas"/>
            </w:pPr>
            <w:r w:rsidRPr="00C65B3C">
              <w:t>50 %</w:t>
            </w:r>
          </w:p>
        </w:tc>
        <w:tc>
          <w:tcPr>
            <w:tcW w:w="0" w:type="auto"/>
          </w:tcPr>
          <w:p w14:paraId="5D3E1543" w14:textId="77777777" w:rsidR="006B72E5" w:rsidRPr="00C65B3C" w:rsidRDefault="006B72E5" w:rsidP="00C65B3C">
            <w:pPr>
              <w:pStyle w:val="TextoTablas"/>
            </w:pPr>
            <w:r w:rsidRPr="00C65B3C">
              <w:t>$550 millones</w:t>
            </w:r>
          </w:p>
        </w:tc>
      </w:tr>
      <w:tr w:rsidR="006B72E5" w:rsidRPr="00C65B3C" w14:paraId="238042CC" w14:textId="77777777" w:rsidTr="00062726">
        <w:trPr>
          <w:cnfStyle w:val="000000100000" w:firstRow="0" w:lastRow="0" w:firstColumn="0" w:lastColumn="0" w:oddVBand="0" w:evenVBand="0" w:oddHBand="1" w:evenHBand="0" w:firstRowFirstColumn="0" w:firstRowLastColumn="0" w:lastRowFirstColumn="0" w:lastRowLastColumn="0"/>
          <w:trHeight w:val="616"/>
        </w:trPr>
        <w:tc>
          <w:tcPr>
            <w:tcW w:w="0" w:type="auto"/>
          </w:tcPr>
          <w:p w14:paraId="0EB584CD" w14:textId="77777777" w:rsidR="006B72E5" w:rsidRPr="00C65B3C" w:rsidRDefault="006B72E5" w:rsidP="00C65B3C">
            <w:pPr>
              <w:pStyle w:val="TextoTablas"/>
            </w:pPr>
            <w:r w:rsidRPr="00C65B3C">
              <w:t>E — Irrecuperable</w:t>
            </w:r>
          </w:p>
        </w:tc>
        <w:tc>
          <w:tcPr>
            <w:tcW w:w="0" w:type="auto"/>
          </w:tcPr>
          <w:p w14:paraId="64B459CD" w14:textId="77777777" w:rsidR="006B72E5" w:rsidRPr="00C65B3C" w:rsidRDefault="006B72E5" w:rsidP="00C65B3C">
            <w:pPr>
              <w:pStyle w:val="TextoTablas"/>
            </w:pPr>
            <w:r w:rsidRPr="00C65B3C">
              <w:t>$145 millones</w:t>
            </w:r>
          </w:p>
        </w:tc>
        <w:tc>
          <w:tcPr>
            <w:tcW w:w="0" w:type="auto"/>
          </w:tcPr>
          <w:p w14:paraId="75E6098D" w14:textId="77777777" w:rsidR="006B72E5" w:rsidRPr="00C65B3C" w:rsidRDefault="006B72E5" w:rsidP="00C65B3C">
            <w:pPr>
              <w:pStyle w:val="TextoTablas"/>
            </w:pPr>
            <w:r w:rsidRPr="00C65B3C">
              <w:t>100 %</w:t>
            </w:r>
          </w:p>
        </w:tc>
        <w:tc>
          <w:tcPr>
            <w:tcW w:w="0" w:type="auto"/>
          </w:tcPr>
          <w:p w14:paraId="15095EA3" w14:textId="77777777" w:rsidR="006B72E5" w:rsidRPr="00C65B3C" w:rsidRDefault="006B72E5" w:rsidP="00C65B3C">
            <w:pPr>
              <w:pStyle w:val="TextoTablas"/>
            </w:pPr>
            <w:r w:rsidRPr="00C65B3C">
              <w:t>$145 millones</w:t>
            </w:r>
          </w:p>
        </w:tc>
      </w:tr>
      <w:tr w:rsidR="006B72E5" w:rsidRPr="00C65B3C" w14:paraId="378FCBBC" w14:textId="77777777" w:rsidTr="00062726">
        <w:trPr>
          <w:trHeight w:val="600"/>
        </w:trPr>
        <w:tc>
          <w:tcPr>
            <w:tcW w:w="0" w:type="auto"/>
          </w:tcPr>
          <w:p w14:paraId="0A8F4CB3" w14:textId="77777777" w:rsidR="006B72E5" w:rsidRPr="00C65B3C" w:rsidRDefault="006B72E5" w:rsidP="00C65B3C">
            <w:pPr>
              <w:pStyle w:val="TextoTablas"/>
            </w:pPr>
            <w:r w:rsidRPr="00C65B3C">
              <w:t>Total</w:t>
            </w:r>
          </w:p>
        </w:tc>
        <w:tc>
          <w:tcPr>
            <w:tcW w:w="0" w:type="auto"/>
          </w:tcPr>
          <w:p w14:paraId="367E3888" w14:textId="77777777" w:rsidR="006B72E5" w:rsidRPr="00C65B3C" w:rsidRDefault="006B72E5" w:rsidP="00C65B3C">
            <w:pPr>
              <w:pStyle w:val="TextoTablas"/>
            </w:pPr>
            <w:r w:rsidRPr="00C65B3C">
              <w:t>$35.745 millones</w:t>
            </w:r>
          </w:p>
        </w:tc>
        <w:tc>
          <w:tcPr>
            <w:tcW w:w="0" w:type="auto"/>
          </w:tcPr>
          <w:p w14:paraId="234B9A84" w14:textId="55812046" w:rsidR="006B72E5" w:rsidRPr="00C65B3C" w:rsidRDefault="00C65B3C" w:rsidP="00C65B3C">
            <w:pPr>
              <w:pStyle w:val="TextoTablas"/>
            </w:pPr>
            <w:r>
              <w:t>-</w:t>
            </w:r>
          </w:p>
        </w:tc>
        <w:tc>
          <w:tcPr>
            <w:tcW w:w="0" w:type="auto"/>
          </w:tcPr>
          <w:p w14:paraId="26737D04" w14:textId="77777777" w:rsidR="006B72E5" w:rsidRPr="00C65B3C" w:rsidRDefault="006B72E5" w:rsidP="00C65B3C">
            <w:pPr>
              <w:pStyle w:val="TextoTablas"/>
            </w:pPr>
            <w:r w:rsidRPr="00C65B3C">
              <w:t>$1.642,4 millones</w:t>
            </w:r>
          </w:p>
        </w:tc>
      </w:tr>
    </w:tbl>
    <w:p w14:paraId="72D4FE3E" w14:textId="77777777" w:rsidR="006B72E5" w:rsidRPr="006B72E5" w:rsidRDefault="006B72E5" w:rsidP="006B72E5">
      <w:pPr>
        <w:rPr>
          <w:lang w:val="es-419" w:eastAsia="es-CO"/>
        </w:rPr>
      </w:pPr>
      <w:r w:rsidRPr="006B72E5">
        <w:rPr>
          <w:lang w:val="es-419" w:eastAsia="es-CO"/>
        </w:rPr>
        <w:t>Nota. Elaboración propia con fines pedagógicos. Los porcentajes de provisión corresponden a los establecidos en la Circular Básica Contable y Financiera, Capítulo II, Superintendencia Financiera de Colombia (2023).</w:t>
      </w:r>
    </w:p>
    <w:p w14:paraId="41D6D438" w14:textId="77777777" w:rsidR="00C65B3C" w:rsidRDefault="00C65B3C" w:rsidP="006B72E5">
      <w:pPr>
        <w:rPr>
          <w:lang w:val="es-419" w:eastAsia="es-CO"/>
        </w:rPr>
      </w:pPr>
    </w:p>
    <w:p w14:paraId="702A7466" w14:textId="7D0EE54E" w:rsidR="006B72E5" w:rsidRDefault="006B72E5" w:rsidP="006B72E5">
      <w:pPr>
        <w:rPr>
          <w:lang w:val="es-419" w:eastAsia="es-CO"/>
        </w:rPr>
      </w:pPr>
      <w:r w:rsidRPr="006B72E5">
        <w:rPr>
          <w:lang w:val="es-419" w:eastAsia="es-CO"/>
        </w:rPr>
        <w:t>Con base en estos datos, la provisión individual requerida asciende a $1.642,4 millones. Comparada con la provisión constituida al inicio del mes ($680 millones), el ajuste necesario es de $962,4 millones adicionales que deben registrarse como gasto en el estado de resultados del período. La decisión esperada consiste en registrar el ajuste de provisiones con el débito correspondiente al gasto y el crédito a la provisión acumulada de cartera, y en elaborar el informe de variación de provisiones que sustente el movimiento ante el área contable y el regulador.</w:t>
      </w:r>
    </w:p>
    <w:p w14:paraId="3F7FE8A8" w14:textId="613147FF" w:rsidR="00062726" w:rsidRDefault="00062726">
      <w:pPr>
        <w:spacing w:before="0" w:after="160" w:line="259" w:lineRule="auto"/>
        <w:ind w:firstLine="0"/>
        <w:rPr>
          <w:lang w:val="es-419" w:eastAsia="es-CO"/>
        </w:rPr>
      </w:pPr>
      <w:r>
        <w:rPr>
          <w:lang w:val="es-419" w:eastAsia="es-CO"/>
        </w:rPr>
        <w:br w:type="page"/>
      </w:r>
    </w:p>
    <w:p w14:paraId="1CEA0631" w14:textId="77777777" w:rsidR="006B72E5" w:rsidRPr="006B72E5" w:rsidRDefault="006B72E5" w:rsidP="006B72E5">
      <w:pPr>
        <w:rPr>
          <w:b/>
          <w:bCs/>
          <w:lang w:val="es-419" w:eastAsia="es-CO"/>
        </w:rPr>
      </w:pPr>
      <w:r w:rsidRPr="006B72E5">
        <w:rPr>
          <w:b/>
          <w:bCs/>
          <w:lang w:val="es-419" w:eastAsia="es-CO"/>
        </w:rPr>
        <w:lastRenderedPageBreak/>
        <w:t>Caso 2: reestructuración de un crédito comercial y su registro contable</w:t>
      </w:r>
    </w:p>
    <w:p w14:paraId="58FC3C59" w14:textId="77777777" w:rsidR="006B72E5" w:rsidRPr="006B72E5" w:rsidRDefault="006B72E5" w:rsidP="006B72E5">
      <w:pPr>
        <w:rPr>
          <w:lang w:val="es-419" w:eastAsia="es-CO"/>
        </w:rPr>
      </w:pPr>
      <w:r w:rsidRPr="006B72E5">
        <w:rPr>
          <w:lang w:val="es-419" w:eastAsia="es-CO"/>
        </w:rPr>
        <w:t>La empresa Textiles del Tolima Ltda. tiene un crédito comercial con el Banco Regional del Café por un saldo de capital de $85.000.000, clasificado en categoría C con 72 días de mora. La empresa presenta dificultades temporales de liquidez originadas en la demora en el pago de un pedido de exportación. Antes de tomar una decisión, la entidad debe revisar los datos del crédito y validar la información entregada por la empresa. En la siguiente tabla se presentan los elementos que permiten orientar el análisis.</w:t>
      </w:r>
    </w:p>
    <w:p w14:paraId="2C2457E5" w14:textId="290D50AC" w:rsidR="006B72E5" w:rsidRDefault="006B72E5" w:rsidP="00C65B3C">
      <w:pPr>
        <w:pStyle w:val="Tabla"/>
        <w:rPr>
          <w:lang w:val="es-419" w:eastAsia="es-CO"/>
        </w:rPr>
      </w:pPr>
      <w:r w:rsidRPr="006B72E5">
        <w:rPr>
          <w:lang w:val="es-419" w:eastAsia="es-CO"/>
        </w:rPr>
        <w:t>Datos clave del crédito comercial en proceso de reestructuración</w:t>
      </w:r>
    </w:p>
    <w:tbl>
      <w:tblPr>
        <w:tblStyle w:val="SENA"/>
        <w:tblW w:w="9957" w:type="dxa"/>
        <w:tblLook w:val="04A0" w:firstRow="1" w:lastRow="0" w:firstColumn="1" w:lastColumn="0" w:noHBand="0" w:noVBand="1"/>
      </w:tblPr>
      <w:tblGrid>
        <w:gridCol w:w="2375"/>
        <w:gridCol w:w="3664"/>
        <w:gridCol w:w="3918"/>
      </w:tblGrid>
      <w:tr w:rsidR="006B72E5" w:rsidRPr="006B72E5" w14:paraId="708C4422" w14:textId="77777777" w:rsidTr="00062726">
        <w:trPr>
          <w:cnfStyle w:val="100000000000" w:firstRow="1" w:lastRow="0" w:firstColumn="0" w:lastColumn="0" w:oddVBand="0" w:evenVBand="0" w:oddHBand="0" w:evenHBand="0" w:firstRowFirstColumn="0" w:firstRowLastColumn="0" w:lastRowFirstColumn="0" w:lastRowLastColumn="0"/>
          <w:trHeight w:val="556"/>
          <w:tblHeader/>
        </w:trPr>
        <w:tc>
          <w:tcPr>
            <w:tcW w:w="0" w:type="auto"/>
          </w:tcPr>
          <w:p w14:paraId="58CE23CF" w14:textId="77777777" w:rsidR="006B72E5" w:rsidRPr="006B72E5" w:rsidRDefault="006B72E5" w:rsidP="00C65B3C">
            <w:pPr>
              <w:pStyle w:val="TextoTablas"/>
            </w:pPr>
            <w:r w:rsidRPr="006B72E5">
              <w:t>Variable</w:t>
            </w:r>
          </w:p>
        </w:tc>
        <w:tc>
          <w:tcPr>
            <w:tcW w:w="0" w:type="auto"/>
          </w:tcPr>
          <w:p w14:paraId="77409AC2" w14:textId="77777777" w:rsidR="006B72E5" w:rsidRPr="006B72E5" w:rsidRDefault="006B72E5" w:rsidP="00C65B3C">
            <w:pPr>
              <w:pStyle w:val="TextoTablas"/>
            </w:pPr>
            <w:r w:rsidRPr="006B72E5">
              <w:t>Valor actual</w:t>
            </w:r>
          </w:p>
        </w:tc>
        <w:tc>
          <w:tcPr>
            <w:tcW w:w="0" w:type="auto"/>
          </w:tcPr>
          <w:p w14:paraId="047DFE2A" w14:textId="77777777" w:rsidR="006B72E5" w:rsidRPr="006B72E5" w:rsidRDefault="006B72E5" w:rsidP="00C65B3C">
            <w:pPr>
              <w:pStyle w:val="TextoTablas"/>
            </w:pPr>
            <w:r w:rsidRPr="006B72E5">
              <w:t>Observación</w:t>
            </w:r>
          </w:p>
        </w:tc>
      </w:tr>
      <w:tr w:rsidR="006B72E5" w:rsidRPr="006B72E5" w14:paraId="2F862903" w14:textId="77777777" w:rsidTr="00C65B3C">
        <w:trPr>
          <w:cnfStyle w:val="000000100000" w:firstRow="0" w:lastRow="0" w:firstColumn="0" w:lastColumn="0" w:oddVBand="0" w:evenVBand="0" w:oddHBand="1" w:evenHBand="0" w:firstRowFirstColumn="0" w:firstRowLastColumn="0" w:lastRowFirstColumn="0" w:lastRowLastColumn="0"/>
          <w:trHeight w:val="556"/>
        </w:trPr>
        <w:tc>
          <w:tcPr>
            <w:tcW w:w="0" w:type="auto"/>
          </w:tcPr>
          <w:p w14:paraId="501EB301" w14:textId="77777777" w:rsidR="006B72E5" w:rsidRPr="006B72E5" w:rsidRDefault="006B72E5" w:rsidP="00C65B3C">
            <w:pPr>
              <w:pStyle w:val="TextoTablas"/>
              <w:rPr>
                <w:szCs w:val="24"/>
              </w:rPr>
            </w:pPr>
            <w:r w:rsidRPr="006B72E5">
              <w:rPr>
                <w:szCs w:val="24"/>
              </w:rPr>
              <w:t>Saldo de capital</w:t>
            </w:r>
          </w:p>
        </w:tc>
        <w:tc>
          <w:tcPr>
            <w:tcW w:w="0" w:type="auto"/>
          </w:tcPr>
          <w:p w14:paraId="44C60182" w14:textId="77777777" w:rsidR="006B72E5" w:rsidRPr="006B72E5" w:rsidRDefault="006B72E5" w:rsidP="00C65B3C">
            <w:pPr>
              <w:pStyle w:val="TextoTablas"/>
              <w:rPr>
                <w:szCs w:val="24"/>
              </w:rPr>
            </w:pPr>
            <w:r w:rsidRPr="006B72E5">
              <w:rPr>
                <w:szCs w:val="24"/>
              </w:rPr>
              <w:t>$85.000.000</w:t>
            </w:r>
          </w:p>
        </w:tc>
        <w:tc>
          <w:tcPr>
            <w:tcW w:w="0" w:type="auto"/>
          </w:tcPr>
          <w:p w14:paraId="7B34B163" w14:textId="77777777" w:rsidR="006B72E5" w:rsidRPr="006B72E5" w:rsidRDefault="006B72E5" w:rsidP="00C65B3C">
            <w:pPr>
              <w:pStyle w:val="TextoTablas"/>
              <w:rPr>
                <w:szCs w:val="24"/>
              </w:rPr>
            </w:pPr>
            <w:r w:rsidRPr="006B72E5">
              <w:rPr>
                <w:szCs w:val="24"/>
              </w:rPr>
              <w:t>Clasificado en categoría C</w:t>
            </w:r>
          </w:p>
        </w:tc>
      </w:tr>
      <w:tr w:rsidR="006B72E5" w:rsidRPr="006B72E5" w14:paraId="702B40C9" w14:textId="77777777" w:rsidTr="00C65B3C">
        <w:trPr>
          <w:trHeight w:val="556"/>
        </w:trPr>
        <w:tc>
          <w:tcPr>
            <w:tcW w:w="0" w:type="auto"/>
          </w:tcPr>
          <w:p w14:paraId="48E03048" w14:textId="77777777" w:rsidR="006B72E5" w:rsidRPr="006B72E5" w:rsidRDefault="006B72E5" w:rsidP="00C65B3C">
            <w:pPr>
              <w:pStyle w:val="TextoTablas"/>
              <w:rPr>
                <w:szCs w:val="24"/>
              </w:rPr>
            </w:pPr>
            <w:r w:rsidRPr="006B72E5">
              <w:rPr>
                <w:szCs w:val="24"/>
              </w:rPr>
              <w:t>Intereses en mora</w:t>
            </w:r>
          </w:p>
        </w:tc>
        <w:tc>
          <w:tcPr>
            <w:tcW w:w="0" w:type="auto"/>
          </w:tcPr>
          <w:p w14:paraId="5BA90BFA" w14:textId="77777777" w:rsidR="006B72E5" w:rsidRPr="006B72E5" w:rsidRDefault="006B72E5" w:rsidP="00C65B3C">
            <w:pPr>
              <w:pStyle w:val="TextoTablas"/>
              <w:rPr>
                <w:szCs w:val="24"/>
              </w:rPr>
            </w:pPr>
            <w:r w:rsidRPr="006B72E5">
              <w:rPr>
                <w:szCs w:val="24"/>
              </w:rPr>
              <w:t>$6.800.000</w:t>
            </w:r>
          </w:p>
        </w:tc>
        <w:tc>
          <w:tcPr>
            <w:tcW w:w="0" w:type="auto"/>
          </w:tcPr>
          <w:p w14:paraId="7F3D5D25" w14:textId="77777777" w:rsidR="006B72E5" w:rsidRPr="006B72E5" w:rsidRDefault="006B72E5" w:rsidP="00C65B3C">
            <w:pPr>
              <w:pStyle w:val="TextoTablas"/>
              <w:rPr>
                <w:szCs w:val="24"/>
              </w:rPr>
            </w:pPr>
            <w:r w:rsidRPr="006B72E5">
              <w:rPr>
                <w:szCs w:val="24"/>
              </w:rPr>
              <w:t>Causados durante los 72 días</w:t>
            </w:r>
          </w:p>
        </w:tc>
      </w:tr>
      <w:tr w:rsidR="006B72E5" w:rsidRPr="006B72E5" w14:paraId="1A42E5EB" w14:textId="77777777" w:rsidTr="00C65B3C">
        <w:trPr>
          <w:cnfStyle w:val="000000100000" w:firstRow="0" w:lastRow="0" w:firstColumn="0" w:lastColumn="0" w:oddVBand="0" w:evenVBand="0" w:oddHBand="1" w:evenHBand="0" w:firstRowFirstColumn="0" w:firstRowLastColumn="0" w:lastRowFirstColumn="0" w:lastRowLastColumn="0"/>
          <w:trHeight w:val="541"/>
        </w:trPr>
        <w:tc>
          <w:tcPr>
            <w:tcW w:w="0" w:type="auto"/>
          </w:tcPr>
          <w:p w14:paraId="46615209" w14:textId="77777777" w:rsidR="006B72E5" w:rsidRPr="006B72E5" w:rsidRDefault="006B72E5" w:rsidP="00C65B3C">
            <w:pPr>
              <w:pStyle w:val="TextoTablas"/>
              <w:rPr>
                <w:szCs w:val="24"/>
              </w:rPr>
            </w:pPr>
            <w:r w:rsidRPr="006B72E5">
              <w:rPr>
                <w:szCs w:val="24"/>
              </w:rPr>
              <w:t>Provisión actual</w:t>
            </w:r>
          </w:p>
        </w:tc>
        <w:tc>
          <w:tcPr>
            <w:tcW w:w="0" w:type="auto"/>
          </w:tcPr>
          <w:p w14:paraId="1E94F638" w14:textId="77777777" w:rsidR="006B72E5" w:rsidRPr="006B72E5" w:rsidRDefault="006B72E5" w:rsidP="00C65B3C">
            <w:pPr>
              <w:pStyle w:val="TextoTablas"/>
              <w:rPr>
                <w:szCs w:val="24"/>
              </w:rPr>
            </w:pPr>
            <w:r w:rsidRPr="006B72E5">
              <w:rPr>
                <w:szCs w:val="24"/>
              </w:rPr>
              <w:t>$17.000.000</w:t>
            </w:r>
          </w:p>
        </w:tc>
        <w:tc>
          <w:tcPr>
            <w:tcW w:w="0" w:type="auto"/>
          </w:tcPr>
          <w:p w14:paraId="53B678BE" w14:textId="77777777" w:rsidR="006B72E5" w:rsidRPr="006B72E5" w:rsidRDefault="006B72E5" w:rsidP="00C65B3C">
            <w:pPr>
              <w:pStyle w:val="TextoTablas"/>
              <w:rPr>
                <w:szCs w:val="24"/>
              </w:rPr>
            </w:pPr>
            <w:r w:rsidRPr="006B72E5">
              <w:rPr>
                <w:szCs w:val="24"/>
              </w:rPr>
              <w:t>20 % del saldo — categoría C</w:t>
            </w:r>
          </w:p>
        </w:tc>
      </w:tr>
      <w:tr w:rsidR="006B72E5" w:rsidRPr="006B72E5" w14:paraId="4A1D71EB" w14:textId="77777777" w:rsidTr="00C65B3C">
        <w:trPr>
          <w:trHeight w:val="556"/>
        </w:trPr>
        <w:tc>
          <w:tcPr>
            <w:tcW w:w="0" w:type="auto"/>
          </w:tcPr>
          <w:p w14:paraId="137B3A7F" w14:textId="77777777" w:rsidR="006B72E5" w:rsidRPr="006B72E5" w:rsidRDefault="006B72E5" w:rsidP="00C65B3C">
            <w:pPr>
              <w:pStyle w:val="TextoTablas"/>
              <w:rPr>
                <w:szCs w:val="24"/>
              </w:rPr>
            </w:pPr>
            <w:r w:rsidRPr="006B72E5">
              <w:rPr>
                <w:szCs w:val="24"/>
              </w:rPr>
              <w:t>Situación del deudor</w:t>
            </w:r>
          </w:p>
        </w:tc>
        <w:tc>
          <w:tcPr>
            <w:tcW w:w="0" w:type="auto"/>
          </w:tcPr>
          <w:p w14:paraId="797FD09B" w14:textId="77777777" w:rsidR="006B72E5" w:rsidRPr="006B72E5" w:rsidRDefault="006B72E5" w:rsidP="00C65B3C">
            <w:pPr>
              <w:pStyle w:val="TextoTablas"/>
              <w:rPr>
                <w:szCs w:val="24"/>
              </w:rPr>
            </w:pPr>
            <w:r w:rsidRPr="006B72E5">
              <w:rPr>
                <w:szCs w:val="24"/>
              </w:rPr>
              <w:t>Dificultad temporal de liquidez</w:t>
            </w:r>
          </w:p>
        </w:tc>
        <w:tc>
          <w:tcPr>
            <w:tcW w:w="0" w:type="auto"/>
          </w:tcPr>
          <w:p w14:paraId="3772CC89" w14:textId="77777777" w:rsidR="006B72E5" w:rsidRPr="006B72E5" w:rsidRDefault="006B72E5" w:rsidP="00C65B3C">
            <w:pPr>
              <w:pStyle w:val="TextoTablas"/>
              <w:rPr>
                <w:szCs w:val="24"/>
              </w:rPr>
            </w:pPr>
            <w:r w:rsidRPr="006B72E5">
              <w:rPr>
                <w:szCs w:val="24"/>
              </w:rPr>
              <w:t>Contrato de exportación verificado.</w:t>
            </w:r>
          </w:p>
        </w:tc>
      </w:tr>
      <w:tr w:rsidR="006B72E5" w:rsidRPr="006B72E5" w14:paraId="176E617F" w14:textId="77777777" w:rsidTr="00C65B3C">
        <w:trPr>
          <w:cnfStyle w:val="000000100000" w:firstRow="0" w:lastRow="0" w:firstColumn="0" w:lastColumn="0" w:oddVBand="0" w:evenVBand="0" w:oddHBand="1" w:evenHBand="0" w:firstRowFirstColumn="0" w:firstRowLastColumn="0" w:lastRowFirstColumn="0" w:lastRowLastColumn="0"/>
          <w:trHeight w:val="556"/>
        </w:trPr>
        <w:tc>
          <w:tcPr>
            <w:tcW w:w="0" w:type="auto"/>
          </w:tcPr>
          <w:p w14:paraId="66A82F84" w14:textId="77777777" w:rsidR="006B72E5" w:rsidRPr="006B72E5" w:rsidRDefault="006B72E5" w:rsidP="00C65B3C">
            <w:pPr>
              <w:pStyle w:val="TextoTablas"/>
              <w:rPr>
                <w:szCs w:val="24"/>
              </w:rPr>
            </w:pPr>
            <w:r w:rsidRPr="006B72E5">
              <w:rPr>
                <w:szCs w:val="24"/>
              </w:rPr>
              <w:t>Garantía</w:t>
            </w:r>
          </w:p>
        </w:tc>
        <w:tc>
          <w:tcPr>
            <w:tcW w:w="0" w:type="auto"/>
          </w:tcPr>
          <w:p w14:paraId="5D33D16A" w14:textId="77777777" w:rsidR="006B72E5" w:rsidRPr="006B72E5" w:rsidRDefault="006B72E5" w:rsidP="00C65B3C">
            <w:pPr>
              <w:pStyle w:val="TextoTablas"/>
              <w:rPr>
                <w:szCs w:val="24"/>
              </w:rPr>
            </w:pPr>
            <w:r w:rsidRPr="006B72E5">
              <w:rPr>
                <w:szCs w:val="24"/>
              </w:rPr>
              <w:t>Hipotecaria sobre nave industrial</w:t>
            </w:r>
          </w:p>
        </w:tc>
        <w:tc>
          <w:tcPr>
            <w:tcW w:w="0" w:type="auto"/>
          </w:tcPr>
          <w:p w14:paraId="27F5B004" w14:textId="77777777" w:rsidR="006B72E5" w:rsidRPr="006B72E5" w:rsidRDefault="006B72E5" w:rsidP="00C65B3C">
            <w:pPr>
              <w:pStyle w:val="TextoTablas"/>
              <w:rPr>
                <w:szCs w:val="24"/>
              </w:rPr>
            </w:pPr>
            <w:r w:rsidRPr="006B72E5">
              <w:rPr>
                <w:szCs w:val="24"/>
              </w:rPr>
              <w:t>Avalúo vigente: $180.000.000</w:t>
            </w:r>
          </w:p>
        </w:tc>
      </w:tr>
    </w:tbl>
    <w:p w14:paraId="589606D4" w14:textId="77777777" w:rsidR="00062726" w:rsidRDefault="00062726" w:rsidP="006B72E5">
      <w:pPr>
        <w:rPr>
          <w:lang w:val="es-419" w:eastAsia="es-CO"/>
        </w:rPr>
      </w:pPr>
    </w:p>
    <w:p w14:paraId="0187FA9F" w14:textId="3F9715E9" w:rsidR="006B72E5" w:rsidRDefault="006B72E5" w:rsidP="006B72E5">
      <w:pPr>
        <w:rPr>
          <w:lang w:val="es-419" w:eastAsia="es-CO"/>
        </w:rPr>
      </w:pPr>
      <w:r w:rsidRPr="006B72E5">
        <w:rPr>
          <w:lang w:val="es-419" w:eastAsia="es-CO"/>
        </w:rPr>
        <w:t xml:space="preserve">A partir de estos datos, la entidad debe solicitar los estados financieros actualizados de la empresa, verificar la existencia del contrato de exportación y determinar la fecha estimada de ingreso de los recursos. Si la información confirma que la dificultad es temporal y superable, el banco puede proceder a la reestructuración. La decisión esperada es formalizar la reestructuración con las nuevas condiciones documentadas en un otrosí del contrato, registrar contablemente la capitalización de </w:t>
      </w:r>
      <w:r w:rsidRPr="006B72E5">
        <w:rPr>
          <w:lang w:val="es-419" w:eastAsia="es-CO"/>
        </w:rPr>
        <w:lastRenderedPageBreak/>
        <w:t>los intereses en mora y reclasificar la obligación a categoría B, con el ajuste de provisiones correspondiente.</w:t>
      </w:r>
    </w:p>
    <w:p w14:paraId="2230547A" w14:textId="77777777" w:rsidR="00062726" w:rsidRPr="006B72E5" w:rsidRDefault="00062726" w:rsidP="006B72E5">
      <w:pPr>
        <w:rPr>
          <w:lang w:val="es-419" w:eastAsia="es-CO"/>
        </w:rPr>
      </w:pPr>
    </w:p>
    <w:p w14:paraId="016DF2C1" w14:textId="77777777" w:rsidR="006B72E5" w:rsidRPr="006B72E5" w:rsidRDefault="006B72E5" w:rsidP="006B72E5">
      <w:pPr>
        <w:rPr>
          <w:b/>
          <w:bCs/>
          <w:lang w:val="es-419" w:eastAsia="es-CO"/>
        </w:rPr>
      </w:pPr>
      <w:r w:rsidRPr="006B72E5">
        <w:rPr>
          <w:b/>
          <w:bCs/>
          <w:lang w:val="es-419" w:eastAsia="es-CO"/>
        </w:rPr>
        <w:t>Caso 3: verificación del cumplimiento del SARC en una entidad financiera</w:t>
      </w:r>
    </w:p>
    <w:p w14:paraId="72068C6F" w14:textId="77777777" w:rsidR="006B72E5" w:rsidRPr="006B72E5" w:rsidRDefault="006B72E5" w:rsidP="006B72E5">
      <w:pPr>
        <w:rPr>
          <w:lang w:val="es-419" w:eastAsia="es-CO"/>
        </w:rPr>
      </w:pPr>
      <w:r w:rsidRPr="006B72E5">
        <w:rPr>
          <w:lang w:val="es-419" w:eastAsia="es-CO"/>
        </w:rPr>
        <w:t>La Cooperativa de Ahorro y Crédito Progreso Ltda. está preparando la visita de inspección de la Superintendencia Financiera programada para el mes siguiente. El equipo de gestión de cartera debe realizar una autoevaluación del cumplimiento del SARC para identificar posibles deficiencias y corregirlas con anticipación. La autoevaluación debe cubrir los cuatro componentes del sistema. En la siguiente tabla se presentan los aspectos que deben verificarse en cada dimensión y los hallazgos típicos que requieren corrección.</w:t>
      </w:r>
    </w:p>
    <w:p w14:paraId="3097AA4D" w14:textId="33259514" w:rsidR="006B72E5" w:rsidRDefault="006B72E5" w:rsidP="00062726">
      <w:pPr>
        <w:pStyle w:val="Tabla"/>
        <w:rPr>
          <w:lang w:val="es-419" w:eastAsia="es-CO"/>
        </w:rPr>
      </w:pPr>
      <w:r w:rsidRPr="006B72E5">
        <w:rPr>
          <w:lang w:val="es-419" w:eastAsia="es-CO"/>
        </w:rPr>
        <w:t>Autoevaluación del SARC</w:t>
      </w:r>
    </w:p>
    <w:tbl>
      <w:tblPr>
        <w:tblStyle w:val="SENA"/>
        <w:tblW w:w="0" w:type="auto"/>
        <w:tblLook w:val="04A0" w:firstRow="1" w:lastRow="0" w:firstColumn="1" w:lastColumn="0" w:noHBand="0" w:noVBand="1"/>
      </w:tblPr>
      <w:tblGrid>
        <w:gridCol w:w="1949"/>
        <w:gridCol w:w="4428"/>
        <w:gridCol w:w="3585"/>
      </w:tblGrid>
      <w:tr w:rsidR="006B72E5" w:rsidRPr="006B72E5" w14:paraId="3E3E899E" w14:textId="77777777" w:rsidTr="00062726">
        <w:trPr>
          <w:cnfStyle w:val="100000000000" w:firstRow="1" w:lastRow="0" w:firstColumn="0" w:lastColumn="0" w:oddVBand="0" w:evenVBand="0" w:oddHBand="0" w:evenHBand="0" w:firstRowFirstColumn="0" w:firstRowLastColumn="0" w:lastRowFirstColumn="0" w:lastRowLastColumn="0"/>
          <w:tblHeader/>
        </w:trPr>
        <w:tc>
          <w:tcPr>
            <w:tcW w:w="0" w:type="auto"/>
          </w:tcPr>
          <w:p w14:paraId="3241DFEF" w14:textId="77777777" w:rsidR="006B72E5" w:rsidRPr="006B72E5" w:rsidRDefault="006B72E5" w:rsidP="00062726">
            <w:pPr>
              <w:pStyle w:val="TextoTablas"/>
            </w:pPr>
            <w:r w:rsidRPr="006B72E5">
              <w:t>Componente del SARC</w:t>
            </w:r>
          </w:p>
        </w:tc>
        <w:tc>
          <w:tcPr>
            <w:tcW w:w="0" w:type="auto"/>
          </w:tcPr>
          <w:p w14:paraId="2438959D" w14:textId="77777777" w:rsidR="006B72E5" w:rsidRPr="006B72E5" w:rsidRDefault="006B72E5" w:rsidP="00062726">
            <w:pPr>
              <w:pStyle w:val="TextoTablas"/>
            </w:pPr>
            <w:r w:rsidRPr="006B72E5">
              <w:t>Aspecto por verificar</w:t>
            </w:r>
          </w:p>
        </w:tc>
        <w:tc>
          <w:tcPr>
            <w:tcW w:w="0" w:type="auto"/>
          </w:tcPr>
          <w:p w14:paraId="29D07C55" w14:textId="77777777" w:rsidR="006B72E5" w:rsidRPr="006B72E5" w:rsidRDefault="006B72E5" w:rsidP="00062726">
            <w:pPr>
              <w:pStyle w:val="TextoTablas"/>
            </w:pPr>
            <w:r w:rsidRPr="006B72E5">
              <w:t>Hallazgo que requiere corrección</w:t>
            </w:r>
          </w:p>
        </w:tc>
      </w:tr>
      <w:tr w:rsidR="006B72E5" w:rsidRPr="006B72E5" w14:paraId="6B7568B0" w14:textId="77777777" w:rsidTr="00062726">
        <w:trPr>
          <w:cnfStyle w:val="000000100000" w:firstRow="0" w:lastRow="0" w:firstColumn="0" w:lastColumn="0" w:oddVBand="0" w:evenVBand="0" w:oddHBand="1" w:evenHBand="0" w:firstRowFirstColumn="0" w:firstRowLastColumn="0" w:lastRowFirstColumn="0" w:lastRowLastColumn="0"/>
        </w:trPr>
        <w:tc>
          <w:tcPr>
            <w:tcW w:w="0" w:type="auto"/>
          </w:tcPr>
          <w:p w14:paraId="003249D8" w14:textId="77777777" w:rsidR="006B72E5" w:rsidRPr="006B72E5" w:rsidRDefault="006B72E5" w:rsidP="00062726">
            <w:pPr>
              <w:pStyle w:val="TextoTablas"/>
              <w:rPr>
                <w:szCs w:val="24"/>
              </w:rPr>
            </w:pPr>
            <w:r w:rsidRPr="006B72E5">
              <w:rPr>
                <w:szCs w:val="24"/>
              </w:rPr>
              <w:t>Políticas</w:t>
            </w:r>
          </w:p>
        </w:tc>
        <w:tc>
          <w:tcPr>
            <w:tcW w:w="0" w:type="auto"/>
          </w:tcPr>
          <w:p w14:paraId="244795F9" w14:textId="77777777" w:rsidR="006B72E5" w:rsidRPr="006B72E5" w:rsidRDefault="006B72E5" w:rsidP="00062726">
            <w:pPr>
              <w:pStyle w:val="TextoTablas"/>
              <w:rPr>
                <w:szCs w:val="24"/>
              </w:rPr>
            </w:pPr>
            <w:r w:rsidRPr="006B72E5">
              <w:rPr>
                <w:szCs w:val="24"/>
              </w:rPr>
              <w:t>Vigencia y aprobación formal por la Junta Directiva.</w:t>
            </w:r>
          </w:p>
        </w:tc>
        <w:tc>
          <w:tcPr>
            <w:tcW w:w="0" w:type="auto"/>
          </w:tcPr>
          <w:p w14:paraId="69513544" w14:textId="77777777" w:rsidR="006B72E5" w:rsidRPr="006B72E5" w:rsidRDefault="006B72E5" w:rsidP="00062726">
            <w:pPr>
              <w:pStyle w:val="TextoTablas"/>
              <w:rPr>
                <w:szCs w:val="24"/>
              </w:rPr>
            </w:pPr>
            <w:r w:rsidRPr="006B72E5">
              <w:rPr>
                <w:szCs w:val="24"/>
              </w:rPr>
              <w:t>Políticas con más de dos años sin actualización.</w:t>
            </w:r>
          </w:p>
        </w:tc>
      </w:tr>
      <w:tr w:rsidR="006B72E5" w:rsidRPr="006B72E5" w14:paraId="4C0994C2" w14:textId="77777777" w:rsidTr="00062726">
        <w:tc>
          <w:tcPr>
            <w:tcW w:w="0" w:type="auto"/>
          </w:tcPr>
          <w:p w14:paraId="123E12DD" w14:textId="77777777" w:rsidR="006B72E5" w:rsidRPr="006B72E5" w:rsidRDefault="006B72E5" w:rsidP="00062726">
            <w:pPr>
              <w:pStyle w:val="TextoTablas"/>
              <w:rPr>
                <w:szCs w:val="24"/>
              </w:rPr>
            </w:pPr>
            <w:r w:rsidRPr="006B72E5">
              <w:rPr>
                <w:szCs w:val="24"/>
              </w:rPr>
              <w:t>Procesos</w:t>
            </w:r>
          </w:p>
        </w:tc>
        <w:tc>
          <w:tcPr>
            <w:tcW w:w="0" w:type="auto"/>
          </w:tcPr>
          <w:p w14:paraId="7266638D" w14:textId="77777777" w:rsidR="006B72E5" w:rsidRPr="006B72E5" w:rsidRDefault="006B72E5" w:rsidP="00062726">
            <w:pPr>
              <w:pStyle w:val="TextoTablas"/>
              <w:rPr>
                <w:szCs w:val="24"/>
              </w:rPr>
            </w:pPr>
            <w:r w:rsidRPr="006B72E5">
              <w:rPr>
                <w:szCs w:val="24"/>
              </w:rPr>
              <w:t>Documentación y aplicación de procedimientos por etapa del ciclo de crédito.</w:t>
            </w:r>
          </w:p>
        </w:tc>
        <w:tc>
          <w:tcPr>
            <w:tcW w:w="0" w:type="auto"/>
          </w:tcPr>
          <w:p w14:paraId="5D060C0F" w14:textId="77777777" w:rsidR="006B72E5" w:rsidRPr="006B72E5" w:rsidRDefault="006B72E5" w:rsidP="00062726">
            <w:pPr>
              <w:pStyle w:val="TextoTablas"/>
              <w:rPr>
                <w:szCs w:val="24"/>
              </w:rPr>
            </w:pPr>
            <w:r w:rsidRPr="006B72E5">
              <w:rPr>
                <w:szCs w:val="24"/>
              </w:rPr>
              <w:t>Expedientes sin registros de gestión en los últimos 30 días.</w:t>
            </w:r>
          </w:p>
        </w:tc>
      </w:tr>
      <w:tr w:rsidR="006B72E5" w:rsidRPr="006B72E5" w14:paraId="205F2D18" w14:textId="77777777" w:rsidTr="00062726">
        <w:trPr>
          <w:cnfStyle w:val="000000100000" w:firstRow="0" w:lastRow="0" w:firstColumn="0" w:lastColumn="0" w:oddVBand="0" w:evenVBand="0" w:oddHBand="1" w:evenHBand="0" w:firstRowFirstColumn="0" w:firstRowLastColumn="0" w:lastRowFirstColumn="0" w:lastRowLastColumn="0"/>
        </w:trPr>
        <w:tc>
          <w:tcPr>
            <w:tcW w:w="0" w:type="auto"/>
          </w:tcPr>
          <w:p w14:paraId="269CB33D" w14:textId="77777777" w:rsidR="006B72E5" w:rsidRPr="006B72E5" w:rsidRDefault="006B72E5" w:rsidP="00062726">
            <w:pPr>
              <w:pStyle w:val="TextoTablas"/>
              <w:rPr>
                <w:szCs w:val="24"/>
              </w:rPr>
            </w:pPr>
            <w:r w:rsidRPr="006B72E5">
              <w:rPr>
                <w:szCs w:val="24"/>
              </w:rPr>
              <w:t>Modelos de calificación</w:t>
            </w:r>
          </w:p>
        </w:tc>
        <w:tc>
          <w:tcPr>
            <w:tcW w:w="0" w:type="auto"/>
          </w:tcPr>
          <w:p w14:paraId="6495000D" w14:textId="77777777" w:rsidR="006B72E5" w:rsidRPr="006B72E5" w:rsidRDefault="006B72E5" w:rsidP="00062726">
            <w:pPr>
              <w:pStyle w:val="TextoTablas"/>
              <w:rPr>
                <w:szCs w:val="24"/>
              </w:rPr>
            </w:pPr>
            <w:r w:rsidRPr="006B72E5">
              <w:rPr>
                <w:szCs w:val="24"/>
              </w:rPr>
              <w:t>Consistencia entre calificación asignada y criterios de la CBCF.</w:t>
            </w:r>
          </w:p>
        </w:tc>
        <w:tc>
          <w:tcPr>
            <w:tcW w:w="0" w:type="auto"/>
          </w:tcPr>
          <w:p w14:paraId="432FEB35" w14:textId="77777777" w:rsidR="006B72E5" w:rsidRPr="006B72E5" w:rsidRDefault="006B72E5" w:rsidP="00062726">
            <w:pPr>
              <w:pStyle w:val="TextoTablas"/>
              <w:rPr>
                <w:szCs w:val="24"/>
              </w:rPr>
            </w:pPr>
            <w:r w:rsidRPr="006B72E5">
              <w:rPr>
                <w:szCs w:val="24"/>
              </w:rPr>
              <w:t>Créditos con mora de 75 días calificados en categoría B.</w:t>
            </w:r>
          </w:p>
        </w:tc>
      </w:tr>
      <w:tr w:rsidR="006B72E5" w:rsidRPr="006B72E5" w14:paraId="7019DAEB" w14:textId="77777777" w:rsidTr="00062726">
        <w:tc>
          <w:tcPr>
            <w:tcW w:w="0" w:type="auto"/>
          </w:tcPr>
          <w:p w14:paraId="7E51A737" w14:textId="77777777" w:rsidR="006B72E5" w:rsidRPr="006B72E5" w:rsidRDefault="006B72E5" w:rsidP="00062726">
            <w:pPr>
              <w:pStyle w:val="TextoTablas"/>
              <w:rPr>
                <w:szCs w:val="24"/>
              </w:rPr>
            </w:pPr>
            <w:r w:rsidRPr="006B72E5">
              <w:rPr>
                <w:szCs w:val="24"/>
              </w:rPr>
              <w:t>Control interno</w:t>
            </w:r>
          </w:p>
        </w:tc>
        <w:tc>
          <w:tcPr>
            <w:tcW w:w="0" w:type="auto"/>
          </w:tcPr>
          <w:p w14:paraId="1D88DD59" w14:textId="77777777" w:rsidR="006B72E5" w:rsidRPr="006B72E5" w:rsidRDefault="006B72E5" w:rsidP="00062726">
            <w:pPr>
              <w:pStyle w:val="TextoTablas"/>
              <w:rPr>
                <w:szCs w:val="24"/>
              </w:rPr>
            </w:pPr>
            <w:r w:rsidRPr="006B72E5">
              <w:rPr>
                <w:szCs w:val="24"/>
              </w:rPr>
              <w:t>Ejecución de revisiones periódicas y atención de hallazgos de auditoría.</w:t>
            </w:r>
          </w:p>
        </w:tc>
        <w:tc>
          <w:tcPr>
            <w:tcW w:w="0" w:type="auto"/>
          </w:tcPr>
          <w:p w14:paraId="26A05642" w14:textId="77777777" w:rsidR="006B72E5" w:rsidRPr="006B72E5" w:rsidRDefault="006B72E5" w:rsidP="00062726">
            <w:pPr>
              <w:pStyle w:val="TextoTablas"/>
              <w:rPr>
                <w:szCs w:val="24"/>
              </w:rPr>
            </w:pPr>
            <w:r w:rsidRPr="006B72E5">
              <w:rPr>
                <w:szCs w:val="24"/>
              </w:rPr>
              <w:t>Hallazgos de auditoría sin plan de corrección documentado.</w:t>
            </w:r>
          </w:p>
        </w:tc>
      </w:tr>
    </w:tbl>
    <w:p w14:paraId="1EFD4D96" w14:textId="77777777" w:rsidR="006B72E5" w:rsidRPr="006B72E5" w:rsidRDefault="006B72E5" w:rsidP="006B72E5">
      <w:pPr>
        <w:rPr>
          <w:lang w:val="es-419" w:eastAsia="es-CO"/>
        </w:rPr>
      </w:pPr>
      <w:r w:rsidRPr="006B72E5">
        <w:rPr>
          <w:lang w:val="es-419" w:eastAsia="es-CO"/>
        </w:rPr>
        <w:t>Nota. Adaptado con base en los lineamientos del Sistema de Administración del Riesgo Crediticio (SARC), Superintendencia Financiera de Colombia.</w:t>
      </w:r>
    </w:p>
    <w:p w14:paraId="769623E5" w14:textId="4974DD10" w:rsidR="006B72E5" w:rsidRDefault="006B72E5" w:rsidP="006B72E5">
      <w:pPr>
        <w:rPr>
          <w:lang w:val="es-419" w:eastAsia="es-CO"/>
        </w:rPr>
      </w:pPr>
      <w:r w:rsidRPr="006B72E5">
        <w:rPr>
          <w:lang w:val="es-419" w:eastAsia="es-CO"/>
        </w:rPr>
        <w:lastRenderedPageBreak/>
        <w:t>Con base en la autoevaluación, el equipo debe elaborar un plan de corrección con responsables y fechas para cada deficiencia identificada, ejecutarlo antes de la visita y documentar las acciones realizadas. Una entidad que detecta y corrige sus deficiencias de manera proactiva demuestra madurez en la gestión del riesgo crediticio. La decisión esperada consiste en presentar ante la Junta Directiva un informe de autoevaluación con los hallazgos identificados, las acciones correctivas implementadas y el estado actualizado de cumplimiento de cada componente del SARC.</w:t>
      </w:r>
    </w:p>
    <w:p w14:paraId="23518296" w14:textId="77777777" w:rsidR="00585D01" w:rsidRPr="006B72E5" w:rsidRDefault="00585D01" w:rsidP="006B72E5">
      <w:pPr>
        <w:rPr>
          <w:lang w:val="es-419" w:eastAsia="es-CO"/>
        </w:rPr>
      </w:pPr>
    </w:p>
    <w:p w14:paraId="78EBEF11" w14:textId="77777777" w:rsidR="006B72E5" w:rsidRPr="006B72E5" w:rsidRDefault="006B72E5" w:rsidP="006B72E5">
      <w:pPr>
        <w:rPr>
          <w:b/>
          <w:bCs/>
          <w:lang w:val="es-419" w:eastAsia="es-CO"/>
        </w:rPr>
      </w:pPr>
      <w:r w:rsidRPr="006B72E5">
        <w:rPr>
          <w:b/>
          <w:bCs/>
          <w:lang w:val="es-419" w:eastAsia="es-CO"/>
        </w:rPr>
        <w:t>Caso 4: atención de una queja ante la Defensoría del Consumidor Financiero</w:t>
      </w:r>
    </w:p>
    <w:p w14:paraId="0E3F4827" w14:textId="41E216C7" w:rsidR="006B72E5" w:rsidRPr="006B72E5" w:rsidRDefault="006B72E5" w:rsidP="006B72E5">
      <w:pPr>
        <w:rPr>
          <w:lang w:val="es-419" w:eastAsia="es-CO"/>
        </w:rPr>
      </w:pPr>
      <w:r w:rsidRPr="006B72E5">
        <w:rPr>
          <w:lang w:val="es-419" w:eastAsia="es-CO"/>
        </w:rPr>
        <w:t>La señora María Isabel Guerrero interpuso una queja ante la Defensoría del Consumidor Financiero del Banco Regional del Café, alegando que la entidad le cobró intereses de mora por $1.850.000 en su crédito de consumo, cuando según sus cálculos el valor correcto no debería superar los $920.000</w:t>
      </w:r>
      <w:r w:rsidR="00434FE1">
        <w:rPr>
          <w:lang w:val="es-419" w:eastAsia="es-CO"/>
        </w:rPr>
        <w:t>.</w:t>
      </w:r>
      <w:r w:rsidRPr="006B72E5">
        <w:rPr>
          <w:lang w:val="es-419" w:eastAsia="es-CO"/>
        </w:rPr>
        <w:t xml:space="preserve"> Para facilitar el análisis de la queja, en la siguiente tabla se presentan los datos clave del crédito y los valores en discusión.</w:t>
      </w:r>
    </w:p>
    <w:p w14:paraId="005E0712" w14:textId="090B6AD2" w:rsidR="006B72E5" w:rsidRDefault="006B72E5" w:rsidP="00585D01">
      <w:pPr>
        <w:pStyle w:val="Tabla"/>
        <w:rPr>
          <w:lang w:val="es-419" w:eastAsia="es-CO"/>
        </w:rPr>
      </w:pPr>
      <w:r w:rsidRPr="006B72E5">
        <w:rPr>
          <w:lang w:val="es-419" w:eastAsia="es-CO"/>
        </w:rPr>
        <w:t>Datos clave de la queja de la consumidora financiera</w:t>
      </w:r>
    </w:p>
    <w:tbl>
      <w:tblPr>
        <w:tblStyle w:val="SENA"/>
        <w:tblW w:w="9877" w:type="dxa"/>
        <w:tblLook w:val="04A0" w:firstRow="1" w:lastRow="0" w:firstColumn="1" w:lastColumn="0" w:noHBand="0" w:noVBand="1"/>
      </w:tblPr>
      <w:tblGrid>
        <w:gridCol w:w="3223"/>
        <w:gridCol w:w="3327"/>
        <w:gridCol w:w="3327"/>
      </w:tblGrid>
      <w:tr w:rsidR="006B72E5" w:rsidRPr="006B72E5" w14:paraId="2516EF16" w14:textId="77777777" w:rsidTr="00585D01">
        <w:trPr>
          <w:cnfStyle w:val="100000000000" w:firstRow="1" w:lastRow="0" w:firstColumn="0" w:lastColumn="0" w:oddVBand="0" w:evenVBand="0" w:oddHBand="0" w:evenHBand="0" w:firstRowFirstColumn="0" w:firstRowLastColumn="0" w:lastRowFirstColumn="0" w:lastRowLastColumn="0"/>
          <w:trHeight w:val="718"/>
          <w:tblHeader/>
        </w:trPr>
        <w:tc>
          <w:tcPr>
            <w:tcW w:w="0" w:type="auto"/>
          </w:tcPr>
          <w:p w14:paraId="213DDD1F" w14:textId="77777777" w:rsidR="006B72E5" w:rsidRPr="006B72E5" w:rsidRDefault="006B72E5" w:rsidP="00585D01">
            <w:pPr>
              <w:pStyle w:val="TextoTablas"/>
            </w:pPr>
            <w:r w:rsidRPr="006B72E5">
              <w:t>Elemento</w:t>
            </w:r>
          </w:p>
        </w:tc>
        <w:tc>
          <w:tcPr>
            <w:tcW w:w="0" w:type="auto"/>
          </w:tcPr>
          <w:p w14:paraId="5D58C421" w14:textId="77777777" w:rsidR="006B72E5" w:rsidRPr="006B72E5" w:rsidRDefault="006B72E5" w:rsidP="00585D01">
            <w:pPr>
              <w:pStyle w:val="TextoTablas"/>
            </w:pPr>
            <w:r w:rsidRPr="006B72E5">
              <w:t>Valor según entidad</w:t>
            </w:r>
          </w:p>
        </w:tc>
        <w:tc>
          <w:tcPr>
            <w:tcW w:w="0" w:type="auto"/>
          </w:tcPr>
          <w:p w14:paraId="316905F9" w14:textId="77777777" w:rsidR="006B72E5" w:rsidRPr="006B72E5" w:rsidRDefault="006B72E5" w:rsidP="00585D01">
            <w:pPr>
              <w:pStyle w:val="TextoTablas"/>
            </w:pPr>
            <w:r w:rsidRPr="006B72E5">
              <w:t>Valor según consumidora</w:t>
            </w:r>
          </w:p>
        </w:tc>
      </w:tr>
      <w:tr w:rsidR="006B72E5" w:rsidRPr="006B72E5" w14:paraId="1E4FAA58" w14:textId="77777777" w:rsidTr="00585D01">
        <w:trPr>
          <w:cnfStyle w:val="000000100000" w:firstRow="0" w:lastRow="0" w:firstColumn="0" w:lastColumn="0" w:oddVBand="0" w:evenVBand="0" w:oddHBand="1" w:evenHBand="0" w:firstRowFirstColumn="0" w:firstRowLastColumn="0" w:lastRowFirstColumn="0" w:lastRowLastColumn="0"/>
          <w:trHeight w:val="735"/>
        </w:trPr>
        <w:tc>
          <w:tcPr>
            <w:tcW w:w="0" w:type="auto"/>
          </w:tcPr>
          <w:p w14:paraId="7BDED95C" w14:textId="77777777" w:rsidR="006B72E5" w:rsidRPr="006B72E5" w:rsidRDefault="006B72E5" w:rsidP="00585D01">
            <w:pPr>
              <w:pStyle w:val="TextoTablas"/>
              <w:rPr>
                <w:szCs w:val="24"/>
              </w:rPr>
            </w:pPr>
            <w:r w:rsidRPr="006B72E5">
              <w:rPr>
                <w:szCs w:val="24"/>
              </w:rPr>
              <w:t>Intereses de mora cobrados.</w:t>
            </w:r>
          </w:p>
        </w:tc>
        <w:tc>
          <w:tcPr>
            <w:tcW w:w="0" w:type="auto"/>
          </w:tcPr>
          <w:p w14:paraId="2F458B5E" w14:textId="77777777" w:rsidR="006B72E5" w:rsidRPr="006B72E5" w:rsidRDefault="006B72E5" w:rsidP="00585D01">
            <w:pPr>
              <w:pStyle w:val="TextoTablas"/>
              <w:rPr>
                <w:szCs w:val="24"/>
              </w:rPr>
            </w:pPr>
            <w:r w:rsidRPr="006B72E5">
              <w:rPr>
                <w:szCs w:val="24"/>
              </w:rPr>
              <w:t>$1.850.000</w:t>
            </w:r>
          </w:p>
        </w:tc>
        <w:tc>
          <w:tcPr>
            <w:tcW w:w="0" w:type="auto"/>
          </w:tcPr>
          <w:p w14:paraId="1A007330" w14:textId="77777777" w:rsidR="006B72E5" w:rsidRPr="006B72E5" w:rsidRDefault="006B72E5" w:rsidP="00585D01">
            <w:pPr>
              <w:pStyle w:val="TextoTablas"/>
              <w:rPr>
                <w:szCs w:val="24"/>
              </w:rPr>
            </w:pPr>
            <w:r w:rsidRPr="006B72E5">
              <w:rPr>
                <w:szCs w:val="24"/>
              </w:rPr>
              <w:t>$920.000</w:t>
            </w:r>
          </w:p>
        </w:tc>
      </w:tr>
      <w:tr w:rsidR="006B72E5" w:rsidRPr="006B72E5" w14:paraId="449923FD" w14:textId="77777777" w:rsidTr="00585D01">
        <w:trPr>
          <w:trHeight w:val="718"/>
        </w:trPr>
        <w:tc>
          <w:tcPr>
            <w:tcW w:w="0" w:type="auto"/>
          </w:tcPr>
          <w:p w14:paraId="7146A465" w14:textId="77777777" w:rsidR="006B72E5" w:rsidRPr="006B72E5" w:rsidRDefault="006B72E5" w:rsidP="00585D01">
            <w:pPr>
              <w:pStyle w:val="TextoTablas"/>
              <w:rPr>
                <w:szCs w:val="24"/>
              </w:rPr>
            </w:pPr>
            <w:r w:rsidRPr="006B72E5">
              <w:rPr>
                <w:szCs w:val="24"/>
              </w:rPr>
              <w:t>Días de mora.</w:t>
            </w:r>
          </w:p>
        </w:tc>
        <w:tc>
          <w:tcPr>
            <w:tcW w:w="0" w:type="auto"/>
          </w:tcPr>
          <w:p w14:paraId="3E1D99E6" w14:textId="77777777" w:rsidR="006B72E5" w:rsidRPr="006B72E5" w:rsidRDefault="006B72E5" w:rsidP="00585D01">
            <w:pPr>
              <w:pStyle w:val="TextoTablas"/>
              <w:rPr>
                <w:szCs w:val="24"/>
              </w:rPr>
            </w:pPr>
            <w:r w:rsidRPr="006B72E5">
              <w:rPr>
                <w:szCs w:val="24"/>
              </w:rPr>
              <w:t>15 días al momento del pago.</w:t>
            </w:r>
          </w:p>
        </w:tc>
        <w:tc>
          <w:tcPr>
            <w:tcW w:w="0" w:type="auto"/>
          </w:tcPr>
          <w:p w14:paraId="10A5D2EA" w14:textId="77777777" w:rsidR="006B72E5" w:rsidRPr="006B72E5" w:rsidRDefault="006B72E5" w:rsidP="00585D01">
            <w:pPr>
              <w:pStyle w:val="TextoTablas"/>
              <w:rPr>
                <w:szCs w:val="24"/>
              </w:rPr>
            </w:pPr>
            <w:r w:rsidRPr="006B72E5">
              <w:rPr>
                <w:szCs w:val="24"/>
              </w:rPr>
              <w:t>15 días al momento del pago.</w:t>
            </w:r>
          </w:p>
        </w:tc>
      </w:tr>
      <w:tr w:rsidR="006B72E5" w:rsidRPr="006B72E5" w14:paraId="51EE78D5" w14:textId="77777777" w:rsidTr="00585D01">
        <w:trPr>
          <w:cnfStyle w:val="000000100000" w:firstRow="0" w:lastRow="0" w:firstColumn="0" w:lastColumn="0" w:oddVBand="0" w:evenVBand="0" w:oddHBand="1" w:evenHBand="0" w:firstRowFirstColumn="0" w:firstRowLastColumn="0" w:lastRowFirstColumn="0" w:lastRowLastColumn="0"/>
          <w:trHeight w:val="718"/>
        </w:trPr>
        <w:tc>
          <w:tcPr>
            <w:tcW w:w="0" w:type="auto"/>
          </w:tcPr>
          <w:p w14:paraId="4206779A" w14:textId="77777777" w:rsidR="006B72E5" w:rsidRPr="006B72E5" w:rsidRDefault="006B72E5" w:rsidP="00585D01">
            <w:pPr>
              <w:pStyle w:val="TextoTablas"/>
              <w:rPr>
                <w:szCs w:val="24"/>
              </w:rPr>
            </w:pPr>
            <w:r w:rsidRPr="006B72E5">
              <w:rPr>
                <w:szCs w:val="24"/>
              </w:rPr>
              <w:t>Tasa de mora aplicada.</w:t>
            </w:r>
          </w:p>
        </w:tc>
        <w:tc>
          <w:tcPr>
            <w:tcW w:w="0" w:type="auto"/>
          </w:tcPr>
          <w:p w14:paraId="0D272EDB" w14:textId="77777777" w:rsidR="006B72E5" w:rsidRPr="006B72E5" w:rsidRDefault="006B72E5" w:rsidP="00585D01">
            <w:pPr>
              <w:pStyle w:val="TextoTablas"/>
              <w:rPr>
                <w:szCs w:val="24"/>
              </w:rPr>
            </w:pPr>
            <w:r w:rsidRPr="006B72E5">
              <w:rPr>
                <w:szCs w:val="24"/>
              </w:rPr>
              <w:t>Pendiente verificación.</w:t>
            </w:r>
          </w:p>
        </w:tc>
        <w:tc>
          <w:tcPr>
            <w:tcW w:w="0" w:type="auto"/>
          </w:tcPr>
          <w:p w14:paraId="333D4E38" w14:textId="77777777" w:rsidR="006B72E5" w:rsidRPr="006B72E5" w:rsidRDefault="006B72E5" w:rsidP="00585D01">
            <w:pPr>
              <w:pStyle w:val="TextoTablas"/>
              <w:rPr>
                <w:szCs w:val="24"/>
              </w:rPr>
            </w:pPr>
            <w:r w:rsidRPr="006B72E5">
              <w:rPr>
                <w:szCs w:val="24"/>
              </w:rPr>
              <w:t>Tasa pactada en contrato.</w:t>
            </w:r>
          </w:p>
        </w:tc>
      </w:tr>
      <w:tr w:rsidR="006B72E5" w:rsidRPr="006B72E5" w14:paraId="13C72063" w14:textId="77777777" w:rsidTr="00585D01">
        <w:trPr>
          <w:trHeight w:val="735"/>
        </w:trPr>
        <w:tc>
          <w:tcPr>
            <w:tcW w:w="0" w:type="auto"/>
          </w:tcPr>
          <w:p w14:paraId="449E6FF3" w14:textId="77777777" w:rsidR="006B72E5" w:rsidRPr="006B72E5" w:rsidRDefault="006B72E5" w:rsidP="00585D01">
            <w:pPr>
              <w:pStyle w:val="TextoTablas"/>
              <w:rPr>
                <w:szCs w:val="24"/>
              </w:rPr>
            </w:pPr>
            <w:r w:rsidRPr="006B72E5">
              <w:rPr>
                <w:szCs w:val="24"/>
              </w:rPr>
              <w:t>Pago recibido el día 15.</w:t>
            </w:r>
          </w:p>
        </w:tc>
        <w:tc>
          <w:tcPr>
            <w:tcW w:w="0" w:type="auto"/>
          </w:tcPr>
          <w:p w14:paraId="0D399EB0" w14:textId="77777777" w:rsidR="006B72E5" w:rsidRPr="006B72E5" w:rsidRDefault="006B72E5" w:rsidP="00585D01">
            <w:pPr>
              <w:pStyle w:val="TextoTablas"/>
              <w:rPr>
                <w:szCs w:val="24"/>
              </w:rPr>
            </w:pPr>
            <w:r w:rsidRPr="006B72E5">
              <w:rPr>
                <w:szCs w:val="24"/>
              </w:rPr>
              <w:t>Inferior al valor de la cuota.</w:t>
            </w:r>
          </w:p>
        </w:tc>
        <w:tc>
          <w:tcPr>
            <w:tcW w:w="0" w:type="auto"/>
          </w:tcPr>
          <w:p w14:paraId="76897E81" w14:textId="77777777" w:rsidR="006B72E5" w:rsidRPr="006B72E5" w:rsidRDefault="006B72E5" w:rsidP="00585D01">
            <w:pPr>
              <w:pStyle w:val="TextoTablas"/>
              <w:rPr>
                <w:szCs w:val="24"/>
              </w:rPr>
            </w:pPr>
            <w:r w:rsidRPr="006B72E5">
              <w:rPr>
                <w:szCs w:val="24"/>
              </w:rPr>
              <w:t>Pago completo de la cuota.</w:t>
            </w:r>
          </w:p>
        </w:tc>
      </w:tr>
      <w:tr w:rsidR="006B72E5" w:rsidRPr="006B72E5" w14:paraId="41999A42" w14:textId="77777777" w:rsidTr="00585D01">
        <w:trPr>
          <w:cnfStyle w:val="000000100000" w:firstRow="0" w:lastRow="0" w:firstColumn="0" w:lastColumn="0" w:oddVBand="0" w:evenVBand="0" w:oddHBand="1" w:evenHBand="0" w:firstRowFirstColumn="0" w:firstRowLastColumn="0" w:lastRowFirstColumn="0" w:lastRowLastColumn="0"/>
          <w:trHeight w:val="718"/>
        </w:trPr>
        <w:tc>
          <w:tcPr>
            <w:tcW w:w="0" w:type="auto"/>
          </w:tcPr>
          <w:p w14:paraId="593243D0" w14:textId="77777777" w:rsidR="006B72E5" w:rsidRPr="006B72E5" w:rsidRDefault="006B72E5" w:rsidP="00585D01">
            <w:pPr>
              <w:pStyle w:val="TextoTablas"/>
              <w:rPr>
                <w:szCs w:val="24"/>
              </w:rPr>
            </w:pPr>
            <w:r w:rsidRPr="006B72E5">
              <w:rPr>
                <w:szCs w:val="24"/>
              </w:rPr>
              <w:lastRenderedPageBreak/>
              <w:t>Estado de la queja.</w:t>
            </w:r>
          </w:p>
        </w:tc>
        <w:tc>
          <w:tcPr>
            <w:tcW w:w="0" w:type="auto"/>
          </w:tcPr>
          <w:p w14:paraId="78607832" w14:textId="77777777" w:rsidR="006B72E5" w:rsidRPr="006B72E5" w:rsidRDefault="006B72E5" w:rsidP="00585D01">
            <w:pPr>
              <w:pStyle w:val="TextoTablas"/>
              <w:rPr>
                <w:szCs w:val="24"/>
              </w:rPr>
            </w:pPr>
            <w:r w:rsidRPr="006B72E5">
              <w:rPr>
                <w:szCs w:val="24"/>
              </w:rPr>
              <w:t>Radicada ante la Defensoría.</w:t>
            </w:r>
          </w:p>
        </w:tc>
        <w:tc>
          <w:tcPr>
            <w:tcW w:w="0" w:type="auto"/>
          </w:tcPr>
          <w:p w14:paraId="27F01D1D" w14:textId="77777777" w:rsidR="006B72E5" w:rsidRPr="006B72E5" w:rsidRDefault="006B72E5" w:rsidP="00585D01">
            <w:pPr>
              <w:pStyle w:val="TextoTablas"/>
              <w:rPr>
                <w:szCs w:val="24"/>
              </w:rPr>
            </w:pPr>
            <w:r w:rsidRPr="006B72E5">
              <w:rPr>
                <w:szCs w:val="24"/>
              </w:rPr>
              <w:t>Espera respuesta formal.</w:t>
            </w:r>
          </w:p>
        </w:tc>
      </w:tr>
    </w:tbl>
    <w:p w14:paraId="348BC98E" w14:textId="77777777" w:rsidR="00585D01" w:rsidRDefault="00585D01" w:rsidP="006B72E5">
      <w:pPr>
        <w:rPr>
          <w:lang w:val="es-419" w:eastAsia="es-CO"/>
        </w:rPr>
      </w:pPr>
    </w:p>
    <w:p w14:paraId="5C262DD2" w14:textId="1B33FD5E" w:rsidR="006B72E5" w:rsidRPr="006B72E5" w:rsidRDefault="006B72E5" w:rsidP="006B72E5">
      <w:pPr>
        <w:rPr>
          <w:lang w:val="es-419" w:eastAsia="es-CO"/>
        </w:rPr>
      </w:pPr>
      <w:r w:rsidRPr="006B72E5">
        <w:rPr>
          <w:lang w:val="es-419" w:eastAsia="es-CO"/>
        </w:rPr>
        <w:t>Con base en estos datos, el área de cartera debe obtener el estado de cuenta detallado del crédito, verificar los pagos realizados y sus fechas de aplicación, y recalcular los intereses de mora aplicando la tasa pactada en el contrato y verificando que no supere la tasa de usura vigente en el período correspondiente. La decisión esperada consiste en emitir una respuesta formal dentro del plazo establecido por la normativa, reconocer el error si se confirma la diferencia en la liquidación, reintegrar al consumidor el exceso cobrado y documentar la corrección aplicada en el sistema de seguimiento de quejas.</w:t>
      </w:r>
    </w:p>
    <w:p w14:paraId="0492E3CC" w14:textId="31AF4845" w:rsidR="008F2C4E" w:rsidRPr="006B72E5" w:rsidRDefault="006B72E5" w:rsidP="006B72E5">
      <w:pPr>
        <w:rPr>
          <w:lang w:val="es-419" w:eastAsia="es-CO"/>
        </w:rPr>
      </w:pPr>
      <w:r w:rsidRPr="006B72E5">
        <w:rPr>
          <w:lang w:val="es-419" w:eastAsia="es-CO"/>
        </w:rPr>
        <w:t>El análisis de los cuatro casos permite aplicar los conceptos de contabilidad y normatividad financiera en situaciones concretas del sector financiero colombiano. De esta manera, se relacionan los datos técnicos, los procedimientos regulatorios y el criterio profesional del gestor de cartera en escenarios verificables y representativos de la práctica real del área.</w:t>
      </w:r>
    </w:p>
    <w:p w14:paraId="427B7F23" w14:textId="44611825" w:rsidR="00EE4C61" w:rsidRPr="00D9781F" w:rsidRDefault="00EE4C61" w:rsidP="00434FE1">
      <w:pPr>
        <w:pStyle w:val="Titulosgenerales"/>
        <w:rPr>
          <w:u w:val="single"/>
        </w:rPr>
      </w:pPr>
      <w:bookmarkStart w:id="32" w:name="_Toc232493856"/>
      <w:r w:rsidRPr="57EB970B">
        <w:lastRenderedPageBreak/>
        <w:t>Síntesis</w:t>
      </w:r>
      <w:bookmarkEnd w:id="32"/>
      <w:r w:rsidRPr="57EB970B">
        <w:t xml:space="preserve"> </w:t>
      </w:r>
    </w:p>
    <w:p w14:paraId="2123CB41" w14:textId="77777777" w:rsidR="006B72E5" w:rsidRDefault="006B72E5" w:rsidP="006B72E5">
      <w:pPr>
        <w:rPr>
          <w:noProof/>
          <w:lang w:eastAsia="es-CO"/>
        </w:rPr>
      </w:pPr>
      <w:r>
        <w:rPr>
          <w:noProof/>
          <w:lang w:eastAsia="es-CO"/>
        </w:rPr>
        <w:t>La contabilidad y la normatividad financiera aplicadas a la cartera de créditos integran los fundamentos contables, el marco legal y los procedimientos técnicos que orientan la gestión responsable de las obligaciones crediticias en el sector financiero colombiano. En este sentido, se abordan la estructura de los estados financieros, el sistema de provisiones, las modalidades de amortización, los tipos de crédito, las tasas de interés y el marco normativo que regula cada decisión de gestión en las entidades vigiladas por la Superintendencia Financiera de Colombia.</w:t>
      </w:r>
    </w:p>
    <w:p w14:paraId="36A8EE18" w14:textId="220CD214" w:rsidR="006B72E5" w:rsidRDefault="006B72E5" w:rsidP="006B72E5">
      <w:pPr>
        <w:rPr>
          <w:noProof/>
          <w:lang w:eastAsia="es-CO"/>
        </w:rPr>
      </w:pPr>
      <w:r>
        <w:rPr>
          <w:noProof/>
          <w:lang w:eastAsia="es-CO"/>
        </w:rPr>
        <w:t>Asimismo, se estudian el Estatuto Orgánico del Sistema Financiero, la Circular Básica Contable y Financiera (CBCF), el Sistema de Administración del Riesgo Crediticio (SARC) y el estatuto de protección al consumidor financiero, con énfasis en su aplicación práctica en situaciones concretas de gestión de cartera. De esta forma, se fortalece la capacidad para interpretar información financiera, aplicar criterios normativos con rigor técnico y actuar con responsabilidad frente al regulador y los consumidores financieros. A continuación, el mapa conceptual presenta la relación entre los ejes temáticos abordados.</w:t>
      </w:r>
    </w:p>
    <w:p w14:paraId="60E404D5" w14:textId="037F9FAB" w:rsidR="00D71B8D" w:rsidRDefault="00D71B8D" w:rsidP="00D71B8D">
      <w:pPr>
        <w:ind w:firstLine="0"/>
        <w:rPr>
          <w:noProof/>
          <w:lang w:eastAsia="es-CO"/>
        </w:rPr>
      </w:pPr>
      <w:r w:rsidRPr="00D71B8D">
        <w:rPr>
          <w:noProof/>
          <w:lang w:eastAsia="es-CO"/>
        </w:rPr>
        <w:lastRenderedPageBreak/>
        <w:drawing>
          <wp:inline distT="0" distB="0" distL="0" distR="0" wp14:anchorId="521D1C4A" wp14:editId="70A5A84A">
            <wp:extent cx="6332220" cy="2558415"/>
            <wp:effectExtent l="0" t="0" r="0" b="0"/>
            <wp:docPr id="3" name="Gráfico 3" descr="Mapa conceptual de Contabilidad y normatividad financiera aplicada a la cartera, estructurado en cuatro ejes temáticos. El primer eje, Contabilidad básica, comprende estados financieros y provisiones SARC. El segundo eje, Planes de pago de crédito, incluye amortizaciones de créditos, tasas de interés y reportes de crédito. El tercer eje, Marco normativo, establece el SARC, la tasa de usura y el defensor del consumidor financiero. El cuarto eje, Entidades de control, integra el Banco de la República y la Superintendencia Financiera de Colombia. En conjunto, estos cuatro ejes articulan los fundamentos contables y normativos para la gestión técnica y responsable de la cartera de créditos en el sector financiero colombia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Mapa conceptual de Contabilidad y normatividad financiera aplicada a la cartera, estructurado en cuatro ejes temáticos. El primer eje, Contabilidad básica, comprende estados financieros y provisiones SARC. El segundo eje, Planes de pago de crédito, incluye amortizaciones de créditos, tasas de interés y reportes de crédito. El tercer eje, Marco normativo, establece el SARC, la tasa de usura y el defensor del consumidor financiero. El cuarto eje, Entidades de control, integra el Banco de la República y la Superintendencia Financiera de Colombia. En conjunto, estos cuatro ejes articulan los fundamentos contables y normativos para la gestión técnica y responsable de la cartera de créditos en el sector financiero colombiano. "/>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2558415"/>
                    </a:xfrm>
                    <a:prstGeom prst="rect">
                      <a:avLst/>
                    </a:prstGeom>
                  </pic:spPr>
                </pic:pic>
              </a:graphicData>
            </a:graphic>
          </wp:inline>
        </w:drawing>
      </w:r>
    </w:p>
    <w:p w14:paraId="0FCDDDCA" w14:textId="1E36236F" w:rsidR="00097B68" w:rsidRDefault="00097B68" w:rsidP="00585D01">
      <w:pPr>
        <w:ind w:firstLine="0"/>
        <w:rPr>
          <w:noProof/>
          <w:lang w:eastAsia="es-CO"/>
        </w:rPr>
      </w:pPr>
    </w:p>
    <w:p w14:paraId="1C276251" w14:textId="30BD785F" w:rsidR="00F36C9D" w:rsidRPr="003758F7" w:rsidRDefault="00F36C9D" w:rsidP="003574CB">
      <w:pPr>
        <w:pStyle w:val="Titulosgenerales"/>
      </w:pPr>
      <w:bookmarkStart w:id="33" w:name="_Toc232493857"/>
      <w:r w:rsidRPr="003758F7">
        <w:lastRenderedPageBreak/>
        <w:t>Glosario</w:t>
      </w:r>
      <w:bookmarkEnd w:id="33"/>
    </w:p>
    <w:p w14:paraId="693B054A" w14:textId="77777777" w:rsidR="006B72E5" w:rsidRDefault="006B72E5" w:rsidP="006B72E5">
      <w:r w:rsidRPr="006B72E5">
        <w:rPr>
          <w:b/>
          <w:bCs/>
        </w:rPr>
        <w:t>Amortización:</w:t>
      </w:r>
      <w:r>
        <w:t xml:space="preserve"> proceso mediante el cual se reduce gradualmente el saldo de una deuda, a través de pagos periódicos que incluyen capital e intereses.</w:t>
      </w:r>
    </w:p>
    <w:p w14:paraId="6F7111A2" w14:textId="77777777" w:rsidR="006B72E5" w:rsidRDefault="006B72E5" w:rsidP="006B72E5">
      <w:r w:rsidRPr="006B72E5">
        <w:rPr>
          <w:b/>
          <w:bCs/>
        </w:rPr>
        <w:t>Circular Básica Contable y Financiera (CBCF):</w:t>
      </w:r>
      <w:r>
        <w:t xml:space="preserve"> instrumento técnico de la Superintendencia Financiera de Colombia que establece lineamientos contables, financieros y de riesgo para las entidades vigiladas.</w:t>
      </w:r>
    </w:p>
    <w:p w14:paraId="25A86F2B" w14:textId="77777777" w:rsidR="006B72E5" w:rsidRDefault="006B72E5" w:rsidP="006B72E5">
      <w:r w:rsidRPr="006B72E5">
        <w:rPr>
          <w:b/>
          <w:bCs/>
        </w:rPr>
        <w:t>Defensoría del Consumidor Financiero:</w:t>
      </w:r>
      <w:r>
        <w:t xml:space="preserve"> instancia independiente que atiende quejas y reclamos de los consumidores financieros frente a las entidades vigiladas.</w:t>
      </w:r>
    </w:p>
    <w:p w14:paraId="04DA8714" w14:textId="77777777" w:rsidR="006B72E5" w:rsidRDefault="006B72E5" w:rsidP="006B72E5">
      <w:r w:rsidRPr="006B72E5">
        <w:rPr>
          <w:b/>
          <w:bCs/>
        </w:rPr>
        <w:t>Estatuto Orgánico del Sistema Financiero (EOSF):</w:t>
      </w:r>
      <w:r>
        <w:t xml:space="preserve"> norma que organiza la estructura, funcionamiento y facultades de las entidades del sistema financiero colombiano.</w:t>
      </w:r>
    </w:p>
    <w:p w14:paraId="202F2EBA" w14:textId="77777777" w:rsidR="006B72E5" w:rsidRDefault="006B72E5" w:rsidP="006B72E5">
      <w:r w:rsidRPr="006B72E5">
        <w:rPr>
          <w:b/>
          <w:bCs/>
        </w:rPr>
        <w:t>FOGAFIN:</w:t>
      </w:r>
      <w:r>
        <w:t xml:space="preserve"> Fondo de Garantías de Instituciones Financieras, entidad que protege a los ahorradores y contribuye a la estabilidad del sistema financiero colombiano.</w:t>
      </w:r>
    </w:p>
    <w:p w14:paraId="6D25E5EE" w14:textId="77777777" w:rsidR="006B72E5" w:rsidRDefault="006B72E5" w:rsidP="006B72E5">
      <w:r w:rsidRPr="006B72E5">
        <w:rPr>
          <w:b/>
          <w:bCs/>
        </w:rPr>
        <w:t>Plan de pago:</w:t>
      </w:r>
      <w:r>
        <w:t xml:space="preserve"> cronograma que establece fechas, valores y condiciones para el cumplimiento de una obligación crediticia.</w:t>
      </w:r>
    </w:p>
    <w:p w14:paraId="3BD6869B" w14:textId="77777777" w:rsidR="006B72E5" w:rsidRDefault="006B72E5" w:rsidP="006B72E5">
      <w:r w:rsidRPr="006B72E5">
        <w:rPr>
          <w:b/>
          <w:bCs/>
        </w:rPr>
        <w:t>Provisión general:</w:t>
      </w:r>
      <w:r>
        <w:t xml:space="preserve"> reserva contable constituida sobre la cartera total para cubrir posibles pérdidas no identificadas individualmente.</w:t>
      </w:r>
    </w:p>
    <w:p w14:paraId="2A7A06D9" w14:textId="77777777" w:rsidR="006B72E5" w:rsidRDefault="006B72E5" w:rsidP="006B72E5">
      <w:r w:rsidRPr="006B72E5">
        <w:rPr>
          <w:b/>
          <w:bCs/>
        </w:rPr>
        <w:t>Provisión individual:</w:t>
      </w:r>
      <w:r>
        <w:t xml:space="preserve"> reserva contable aplicada a una obligación específica, de acuerdo con su categoría de riesgo y probabilidad de pérdida.</w:t>
      </w:r>
    </w:p>
    <w:p w14:paraId="1C2989D4" w14:textId="77777777" w:rsidR="006B72E5" w:rsidRDefault="006B72E5" w:rsidP="006B72E5">
      <w:r w:rsidRPr="006B72E5">
        <w:rPr>
          <w:b/>
          <w:bCs/>
        </w:rPr>
        <w:t>Reestructuración:</w:t>
      </w:r>
      <w:r>
        <w:t xml:space="preserve"> modificación de las condiciones originales de un crédito para ajustarlas a la capacidad de pago del deudor.</w:t>
      </w:r>
    </w:p>
    <w:p w14:paraId="151D56D0" w14:textId="77777777" w:rsidR="006B72E5" w:rsidRDefault="006B72E5" w:rsidP="006B72E5">
      <w:r w:rsidRPr="006B72E5">
        <w:rPr>
          <w:b/>
          <w:bCs/>
        </w:rPr>
        <w:lastRenderedPageBreak/>
        <w:t>Sistema de Administración del Riesgo Crediticio (SARC):</w:t>
      </w:r>
      <w:r>
        <w:t xml:space="preserve"> conjunto de políticas, procesos y controles que permite identificar, medir, controlar y monitorear el riesgo de crédito.</w:t>
      </w:r>
    </w:p>
    <w:p w14:paraId="6DF327DB" w14:textId="4C5ACAEB" w:rsidR="00B20EEB" w:rsidRDefault="006B72E5" w:rsidP="006B72E5">
      <w:r w:rsidRPr="006B72E5">
        <w:rPr>
          <w:b/>
          <w:bCs/>
        </w:rPr>
        <w:t>Tasa de usura:</w:t>
      </w:r>
      <w:r>
        <w:t xml:space="preserve"> límite máximo legal permitido para el cobro de intereses en operaciones de crédito en Colombia.</w:t>
      </w:r>
    </w:p>
    <w:p w14:paraId="40B682D2" w14:textId="55A1BD8D" w:rsidR="002E5B3A" w:rsidRPr="003758F7" w:rsidRDefault="002E5B3A" w:rsidP="003574CB">
      <w:pPr>
        <w:pStyle w:val="Titulosgenerales"/>
      </w:pPr>
      <w:bookmarkStart w:id="34" w:name="_Toc232493858"/>
      <w:r w:rsidRPr="003758F7">
        <w:lastRenderedPageBreak/>
        <w:t>Referencias bibliográficas</w:t>
      </w:r>
      <w:bookmarkEnd w:id="34"/>
      <w:r w:rsidRPr="003758F7">
        <w:t xml:space="preserve"> </w:t>
      </w:r>
    </w:p>
    <w:p w14:paraId="3C60244F" w14:textId="77777777" w:rsidR="006B72E5" w:rsidRDefault="006B72E5" w:rsidP="006B72E5">
      <w:r>
        <w:t>Asobancaria. (2024). Informe de tipificación del sistema financiero colombiano. Asobancaria.</w:t>
      </w:r>
    </w:p>
    <w:p w14:paraId="4F5DB746" w14:textId="77777777" w:rsidR="006B72E5" w:rsidRDefault="006B72E5" w:rsidP="006B72E5">
      <w:r>
        <w:t xml:space="preserve">Banco de la República de Colombia. (2024). Informe de política monetaria. Banco de la República de Colombia. </w:t>
      </w:r>
    </w:p>
    <w:p w14:paraId="594CEAB2" w14:textId="77777777" w:rsidR="006B72E5" w:rsidRDefault="006B72E5" w:rsidP="006B72E5">
      <w:r>
        <w:t>Congreso de Colombia. (1999). Ley 510 de 1999: por la cual se dictan disposiciones en relación con el sistema financiero y asegurador. Diario Oficial No. 43.654.</w:t>
      </w:r>
    </w:p>
    <w:p w14:paraId="76D48893" w14:textId="77777777" w:rsidR="006B72E5" w:rsidRDefault="006B72E5" w:rsidP="006B72E5">
      <w:r>
        <w:t>Congreso de Colombia. (1999). Ley 546 de 1999: por la cual se dictan normas en materia de vivienda. Diario Oficial No. 43.827.</w:t>
      </w:r>
    </w:p>
    <w:p w14:paraId="52886E68" w14:textId="77777777" w:rsidR="006B72E5" w:rsidRDefault="006B72E5" w:rsidP="006B72E5">
      <w:r>
        <w:t>Congreso de Colombia. (2003). Ley 795 de 2003: por la cual se ajustan algunas normas del Estatuto Orgánico del Sistema Financiero y se dictan otras disposiciones. Diario Oficial No. 45.064.</w:t>
      </w:r>
    </w:p>
    <w:p w14:paraId="57006120" w14:textId="77777777" w:rsidR="006B72E5" w:rsidRDefault="006B72E5" w:rsidP="006B72E5">
      <w:r>
        <w:t>Congreso de Colombia. (2009). Ley 1328 de 2009: por la cual se dictan normas en materia financiera, de seguros, del mercado de valores y otras disposiciones. Diario Oficial No. 47.411.</w:t>
      </w:r>
    </w:p>
    <w:p w14:paraId="449ADE31" w14:textId="77777777" w:rsidR="006B72E5" w:rsidRDefault="006B72E5" w:rsidP="006B72E5">
      <w:r>
        <w:t>Consejo Técnico de la Contaduría Pública. (2022). Marco conceptual para la información financiera: NIIF plenas. CTCP.</w:t>
      </w:r>
    </w:p>
    <w:p w14:paraId="044AE847" w14:textId="77777777" w:rsidR="006B72E5" w:rsidRDefault="006B72E5" w:rsidP="006B72E5">
      <w:r>
        <w:t xml:space="preserve">Fondo de Garantías de Instituciones Financieras. (2024). Informe de gestión anual. FOGAFIN. </w:t>
      </w:r>
    </w:p>
    <w:p w14:paraId="48BDA38A" w14:textId="77777777" w:rsidR="006B72E5" w:rsidRDefault="006B72E5" w:rsidP="006B72E5">
      <w:r>
        <w:t xml:space="preserve">Gitman, L. J., &amp; </w:t>
      </w:r>
      <w:proofErr w:type="spellStart"/>
      <w:r>
        <w:t>Zutter</w:t>
      </w:r>
      <w:proofErr w:type="spellEnd"/>
      <w:r>
        <w:t>, C. J. (2016). Principios de administración financiera (14.ª ed.). Pearson Educación.</w:t>
      </w:r>
    </w:p>
    <w:p w14:paraId="2E37C45E" w14:textId="77777777" w:rsidR="006B72E5" w:rsidRDefault="006B72E5" w:rsidP="006B72E5">
      <w:r>
        <w:lastRenderedPageBreak/>
        <w:t>Presidencia de la República de Colombia. (1993). Decreto 663 de 1993: por medio del cual se actualiza el Estatuto Orgánico del Sistema Financiero y se modifica su titulación y numeración. Diario Oficial No. 40.820.</w:t>
      </w:r>
    </w:p>
    <w:p w14:paraId="2C751ED2" w14:textId="77777777" w:rsidR="006B72E5" w:rsidRDefault="006B72E5" w:rsidP="006B72E5">
      <w:r>
        <w:t>Ramírez Padilla, D. N. (2018). Contabilidad administrativa: un enfoque estratégico para competir (10.ª ed.). McGraw-Hill.</w:t>
      </w:r>
    </w:p>
    <w:p w14:paraId="242C1B82" w14:textId="77777777" w:rsidR="006B72E5" w:rsidRDefault="006B72E5" w:rsidP="006B72E5">
      <w:r>
        <w:t>Servicio Nacional de Aprendizaje. (2016). Diseño curricular del programa Administración y recuperación de la cartera de créditos. SENA.</w:t>
      </w:r>
    </w:p>
    <w:p w14:paraId="4B280D10" w14:textId="77777777" w:rsidR="006B72E5" w:rsidRDefault="006B72E5" w:rsidP="006B72E5">
      <w:r>
        <w:t>Superintendencia Financiera de Colombia. (2014). Circular Externa 029 de 2014: instrucciones relativas a las prácticas de cobranza de las entidades vigiladas. SFC.</w:t>
      </w:r>
    </w:p>
    <w:p w14:paraId="7F3FC6B9" w14:textId="5A89F98D" w:rsidR="006B72E5" w:rsidRDefault="006B72E5" w:rsidP="006B72E5">
      <w:r>
        <w:t>Superintendencia Financiera de Colombia. (2023). Circular Básica Contable y Financiera: Capítulo II, gestión del riesgo crediticio. SFC.</w:t>
      </w:r>
    </w:p>
    <w:p w14:paraId="0ACDF4A3" w14:textId="7B12755B" w:rsidR="002E5B3A" w:rsidRPr="003758F7" w:rsidRDefault="00F36C9D" w:rsidP="003574CB">
      <w:pPr>
        <w:pStyle w:val="Titulosgenerales"/>
      </w:pPr>
      <w:bookmarkStart w:id="35" w:name="_Toc232493859"/>
      <w:r w:rsidRPr="57EB970B">
        <w:lastRenderedPageBreak/>
        <w:t>Créditos</w:t>
      </w:r>
      <w:bookmarkEnd w:id="35"/>
    </w:p>
    <w:tbl>
      <w:tblPr>
        <w:tblStyle w:val="SENA"/>
        <w:tblW w:w="9776" w:type="dxa"/>
        <w:tblLayout w:type="fixed"/>
        <w:tblLook w:val="04A0" w:firstRow="1" w:lastRow="0" w:firstColumn="1" w:lastColumn="0" w:noHBand="0" w:noVBand="1"/>
      </w:tblPr>
      <w:tblGrid>
        <w:gridCol w:w="3114"/>
        <w:gridCol w:w="3260"/>
        <w:gridCol w:w="3402"/>
      </w:tblGrid>
      <w:tr w:rsidR="00330F61" w:rsidRPr="003E290F" w14:paraId="701AE4BA" w14:textId="77777777" w:rsidTr="00B70C1E">
        <w:trPr>
          <w:cnfStyle w:val="100000000000" w:firstRow="1" w:lastRow="0" w:firstColumn="0" w:lastColumn="0" w:oddVBand="0" w:evenVBand="0" w:oddHBand="0" w:evenHBand="0" w:firstRowFirstColumn="0" w:firstRowLastColumn="0" w:lastRowFirstColumn="0" w:lastRowLastColumn="0"/>
          <w:tblHeader/>
        </w:trPr>
        <w:tc>
          <w:tcPr>
            <w:tcW w:w="3114" w:type="dxa"/>
          </w:tcPr>
          <w:p w14:paraId="39997426" w14:textId="77777777" w:rsidR="00330F61" w:rsidRPr="003E290F" w:rsidRDefault="00330F61" w:rsidP="00B70C1E">
            <w:pPr>
              <w:pStyle w:val="TextoTablas"/>
            </w:pPr>
            <w:bookmarkStart w:id="36" w:name="_Hlk154833079"/>
            <w:r w:rsidRPr="003E290F">
              <w:t>Nombre</w:t>
            </w:r>
          </w:p>
        </w:tc>
        <w:tc>
          <w:tcPr>
            <w:tcW w:w="3260" w:type="dxa"/>
          </w:tcPr>
          <w:p w14:paraId="4F09A05C" w14:textId="77777777" w:rsidR="00330F61" w:rsidRPr="003E290F" w:rsidRDefault="00330F61" w:rsidP="00B70C1E">
            <w:pPr>
              <w:pStyle w:val="TextoTablas"/>
            </w:pPr>
            <w:r w:rsidRPr="003E290F">
              <w:t>Cargo</w:t>
            </w:r>
          </w:p>
        </w:tc>
        <w:tc>
          <w:tcPr>
            <w:tcW w:w="3402" w:type="dxa"/>
          </w:tcPr>
          <w:p w14:paraId="3F59B8FF" w14:textId="77777777" w:rsidR="00330F61" w:rsidRPr="003E290F" w:rsidRDefault="00330F61" w:rsidP="00B70C1E">
            <w:pPr>
              <w:pStyle w:val="TextoTablas"/>
            </w:pPr>
            <w:r w:rsidRPr="003E290F">
              <w:t>Centro de Formación y Regional</w:t>
            </w:r>
          </w:p>
        </w:tc>
      </w:tr>
      <w:tr w:rsidR="00330F61" w:rsidRPr="003E290F" w14:paraId="6AAB1FD9" w14:textId="77777777" w:rsidTr="00B70C1E">
        <w:trPr>
          <w:cnfStyle w:val="000000100000" w:firstRow="0" w:lastRow="0" w:firstColumn="0" w:lastColumn="0" w:oddVBand="0" w:evenVBand="0" w:oddHBand="1" w:evenHBand="0" w:firstRowFirstColumn="0" w:firstRowLastColumn="0" w:lastRowFirstColumn="0" w:lastRowLastColumn="0"/>
        </w:trPr>
        <w:tc>
          <w:tcPr>
            <w:tcW w:w="3114" w:type="dxa"/>
          </w:tcPr>
          <w:p w14:paraId="52C5A875" w14:textId="77777777" w:rsidR="00330F61" w:rsidRPr="003E290F" w:rsidRDefault="00330F61" w:rsidP="00B70C1E">
            <w:pPr>
              <w:pStyle w:val="TextoTablas"/>
            </w:pPr>
            <w:r w:rsidRPr="003E290F">
              <w:t>Claudia Johanna Gómez Pérez</w:t>
            </w:r>
          </w:p>
        </w:tc>
        <w:tc>
          <w:tcPr>
            <w:tcW w:w="3260" w:type="dxa"/>
          </w:tcPr>
          <w:p w14:paraId="03DC7822" w14:textId="77777777" w:rsidR="00330F61" w:rsidRPr="003E290F" w:rsidRDefault="00330F61" w:rsidP="00B70C1E">
            <w:pPr>
              <w:pStyle w:val="TextoTablas"/>
            </w:pPr>
            <w:r w:rsidRPr="00775C1A">
              <w:t>Profesional G06. Responsable Ecosistema Virtual de Recursos Educativos Digitales</w:t>
            </w:r>
          </w:p>
        </w:tc>
        <w:tc>
          <w:tcPr>
            <w:tcW w:w="3402" w:type="dxa"/>
          </w:tcPr>
          <w:p w14:paraId="3BF96BD8" w14:textId="77777777" w:rsidR="00330F61" w:rsidRPr="003E290F" w:rsidRDefault="00330F61" w:rsidP="00B70C1E">
            <w:pPr>
              <w:pStyle w:val="TextoTablas"/>
            </w:pPr>
            <w:r w:rsidRPr="00AD327E">
              <w:t>Centro Agroturístico – Regional Santander</w:t>
            </w:r>
          </w:p>
        </w:tc>
      </w:tr>
      <w:tr w:rsidR="00330F61" w:rsidRPr="003E290F" w14:paraId="79630768" w14:textId="77777777" w:rsidTr="00B70C1E">
        <w:tc>
          <w:tcPr>
            <w:tcW w:w="3114" w:type="dxa"/>
          </w:tcPr>
          <w:p w14:paraId="41F1B4A1" w14:textId="77777777" w:rsidR="00330F61" w:rsidRPr="003E290F" w:rsidRDefault="00330F61" w:rsidP="00B70C1E">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70AB546F" w14:textId="77777777" w:rsidR="00330F61" w:rsidRPr="003E290F" w:rsidRDefault="00330F61" w:rsidP="00B70C1E">
            <w:pPr>
              <w:pStyle w:val="TextoTablas"/>
            </w:pPr>
            <w:r w:rsidRPr="003E290F">
              <w:t xml:space="preserve">Responsable de línea de producción </w:t>
            </w:r>
          </w:p>
        </w:tc>
        <w:tc>
          <w:tcPr>
            <w:tcW w:w="3402" w:type="dxa"/>
          </w:tcPr>
          <w:p w14:paraId="77D31F41" w14:textId="77777777" w:rsidR="00330F61" w:rsidRPr="003E290F" w:rsidRDefault="00330F61" w:rsidP="00B70C1E">
            <w:pPr>
              <w:pStyle w:val="TextoTablas"/>
            </w:pPr>
            <w:r w:rsidRPr="003E290F">
              <w:t>Centro de Comercio y Servicios - Regional Tolima</w:t>
            </w:r>
          </w:p>
        </w:tc>
      </w:tr>
      <w:tr w:rsidR="00330F61" w:rsidRPr="003E290F" w14:paraId="62F8D2E4" w14:textId="77777777" w:rsidTr="00B70C1E">
        <w:trPr>
          <w:cnfStyle w:val="000000100000" w:firstRow="0" w:lastRow="0" w:firstColumn="0" w:lastColumn="0" w:oddVBand="0" w:evenVBand="0" w:oddHBand="1" w:evenHBand="0" w:firstRowFirstColumn="0" w:firstRowLastColumn="0" w:lastRowFirstColumn="0" w:lastRowLastColumn="0"/>
        </w:trPr>
        <w:tc>
          <w:tcPr>
            <w:tcW w:w="3114" w:type="dxa"/>
          </w:tcPr>
          <w:p w14:paraId="6720184A" w14:textId="77777777" w:rsidR="00330F61" w:rsidRPr="003E290F" w:rsidRDefault="00330F61" w:rsidP="00B70C1E">
            <w:pPr>
              <w:pStyle w:val="TextoTablas"/>
            </w:pPr>
            <w:r w:rsidRPr="00413438">
              <w:t>Gustavo Ernesto Mariño Puentes</w:t>
            </w:r>
          </w:p>
        </w:tc>
        <w:tc>
          <w:tcPr>
            <w:tcW w:w="3260" w:type="dxa"/>
          </w:tcPr>
          <w:p w14:paraId="5550C44B" w14:textId="77777777" w:rsidR="00330F61" w:rsidRPr="003E290F" w:rsidRDefault="00330F61" w:rsidP="00B70C1E">
            <w:pPr>
              <w:pStyle w:val="TextoTablas"/>
            </w:pPr>
            <w:r w:rsidRPr="00413438">
              <w:t>Experto temático</w:t>
            </w:r>
          </w:p>
        </w:tc>
        <w:tc>
          <w:tcPr>
            <w:tcW w:w="3402" w:type="dxa"/>
          </w:tcPr>
          <w:p w14:paraId="1687634A" w14:textId="77777777" w:rsidR="00330F61" w:rsidRPr="003E290F" w:rsidRDefault="00330F61" w:rsidP="00B70C1E">
            <w:pPr>
              <w:pStyle w:val="TextoTablas"/>
              <w:tabs>
                <w:tab w:val="left" w:pos="1065"/>
              </w:tabs>
            </w:pPr>
            <w:r w:rsidRPr="00413438">
              <w:t>Centro de Comercio y Servicios - Regional Tolima</w:t>
            </w:r>
          </w:p>
        </w:tc>
      </w:tr>
      <w:tr w:rsidR="00330F61" w:rsidRPr="003E290F" w14:paraId="0BBDEB07" w14:textId="77777777" w:rsidTr="00B70C1E">
        <w:tc>
          <w:tcPr>
            <w:tcW w:w="3114" w:type="dxa"/>
          </w:tcPr>
          <w:p w14:paraId="7EBF59D4" w14:textId="77777777" w:rsidR="00330F61" w:rsidRPr="003E290F" w:rsidRDefault="00330F61" w:rsidP="00B70C1E">
            <w:pPr>
              <w:pStyle w:val="TextoTablas"/>
            </w:pPr>
            <w:r w:rsidRPr="00413438">
              <w:t xml:space="preserve">Gloria Lida </w:t>
            </w:r>
            <w:proofErr w:type="spellStart"/>
            <w:r w:rsidRPr="00413438">
              <w:t>Alzate</w:t>
            </w:r>
            <w:proofErr w:type="spellEnd"/>
            <w:r w:rsidRPr="00413438">
              <w:t xml:space="preserve"> Suárez</w:t>
            </w:r>
          </w:p>
        </w:tc>
        <w:tc>
          <w:tcPr>
            <w:tcW w:w="3260" w:type="dxa"/>
          </w:tcPr>
          <w:p w14:paraId="0DE61487" w14:textId="77777777" w:rsidR="00330F61" w:rsidRPr="003E290F" w:rsidRDefault="00330F61" w:rsidP="00B70C1E">
            <w:pPr>
              <w:pStyle w:val="TextoTablas"/>
            </w:pPr>
            <w:r w:rsidRPr="002948F3">
              <w:t>Evaluador</w:t>
            </w:r>
            <w:r>
              <w:t>a</w:t>
            </w:r>
            <w:r w:rsidRPr="002948F3">
              <w:t xml:space="preserve"> instruccional </w:t>
            </w:r>
          </w:p>
        </w:tc>
        <w:tc>
          <w:tcPr>
            <w:tcW w:w="3402" w:type="dxa"/>
          </w:tcPr>
          <w:p w14:paraId="4EAE31EB" w14:textId="77777777" w:rsidR="00330F61" w:rsidRPr="003E290F" w:rsidRDefault="00330F61" w:rsidP="00B70C1E">
            <w:pPr>
              <w:pStyle w:val="TextoTablas"/>
            </w:pPr>
            <w:r w:rsidRPr="003E290F">
              <w:t>Centro de Comercio y Servicios - Regional Tolima</w:t>
            </w:r>
          </w:p>
        </w:tc>
      </w:tr>
      <w:tr w:rsidR="00330F61" w:rsidRPr="003E290F" w14:paraId="79EE4EE1" w14:textId="77777777" w:rsidTr="00B70C1E">
        <w:trPr>
          <w:cnfStyle w:val="000000100000" w:firstRow="0" w:lastRow="0" w:firstColumn="0" w:lastColumn="0" w:oddVBand="0" w:evenVBand="0" w:oddHBand="1" w:evenHBand="0" w:firstRowFirstColumn="0" w:firstRowLastColumn="0" w:lastRowFirstColumn="0" w:lastRowLastColumn="0"/>
        </w:trPr>
        <w:tc>
          <w:tcPr>
            <w:tcW w:w="3114" w:type="dxa"/>
          </w:tcPr>
          <w:p w14:paraId="0FEE192D" w14:textId="77777777" w:rsidR="00330F61" w:rsidRPr="003E290F" w:rsidRDefault="00330F61" w:rsidP="00B70C1E">
            <w:pPr>
              <w:pStyle w:val="TextoTablas"/>
            </w:pPr>
            <w:r w:rsidRPr="00413438">
              <w:t>Juan Daniel Polanco Muñoz</w:t>
            </w:r>
          </w:p>
        </w:tc>
        <w:tc>
          <w:tcPr>
            <w:tcW w:w="3260" w:type="dxa"/>
          </w:tcPr>
          <w:p w14:paraId="3C489E94" w14:textId="77777777" w:rsidR="00330F61" w:rsidRPr="003E290F" w:rsidRDefault="00330F61" w:rsidP="00B70C1E">
            <w:pPr>
              <w:pStyle w:val="TextoTablas"/>
            </w:pPr>
            <w:r w:rsidRPr="002948F3">
              <w:t>Diseñador de contenidos digitales</w:t>
            </w:r>
          </w:p>
        </w:tc>
        <w:tc>
          <w:tcPr>
            <w:tcW w:w="3402" w:type="dxa"/>
          </w:tcPr>
          <w:p w14:paraId="48F85554" w14:textId="77777777" w:rsidR="00330F61" w:rsidRPr="003E290F" w:rsidRDefault="00330F61" w:rsidP="00B70C1E">
            <w:pPr>
              <w:pStyle w:val="TextoTablas"/>
            </w:pPr>
            <w:r w:rsidRPr="003E290F">
              <w:t>Centro de Comercio y Servicios - Regional Tolima</w:t>
            </w:r>
          </w:p>
        </w:tc>
      </w:tr>
      <w:tr w:rsidR="00330F61" w:rsidRPr="003E290F" w14:paraId="030AFDB5" w14:textId="77777777" w:rsidTr="00B70C1E">
        <w:tc>
          <w:tcPr>
            <w:tcW w:w="3114" w:type="dxa"/>
          </w:tcPr>
          <w:p w14:paraId="46550600" w14:textId="77777777" w:rsidR="00330F61" w:rsidRPr="003E290F" w:rsidRDefault="00330F61" w:rsidP="00B70C1E">
            <w:pPr>
              <w:pStyle w:val="TextoTablas"/>
            </w:pPr>
            <w:r w:rsidRPr="002948F3">
              <w:t xml:space="preserve">Manuel Felipe </w:t>
            </w:r>
            <w:proofErr w:type="spellStart"/>
            <w:r w:rsidRPr="002948F3">
              <w:t>Echavarria</w:t>
            </w:r>
            <w:proofErr w:type="spellEnd"/>
            <w:r w:rsidRPr="002948F3">
              <w:t xml:space="preserve"> Orozco</w:t>
            </w:r>
          </w:p>
        </w:tc>
        <w:tc>
          <w:tcPr>
            <w:tcW w:w="3260" w:type="dxa"/>
          </w:tcPr>
          <w:p w14:paraId="46D3F602" w14:textId="77777777" w:rsidR="00330F61" w:rsidRPr="003E290F" w:rsidRDefault="00330F61" w:rsidP="00B70C1E">
            <w:pPr>
              <w:pStyle w:val="TextoTablas"/>
            </w:pPr>
            <w:r w:rsidRPr="003E290F">
              <w:t xml:space="preserve">Desarrollador </w:t>
            </w:r>
            <w:r w:rsidRPr="00413438">
              <w:rPr>
                <w:rStyle w:val="Extranjerismo"/>
              </w:rPr>
              <w:t>full stack</w:t>
            </w:r>
            <w:r w:rsidRPr="003E290F">
              <w:rPr>
                <w:spacing w:val="20"/>
                <w:lang w:val="en-US"/>
              </w:rPr>
              <w:t> </w:t>
            </w:r>
          </w:p>
        </w:tc>
        <w:tc>
          <w:tcPr>
            <w:tcW w:w="3402" w:type="dxa"/>
          </w:tcPr>
          <w:p w14:paraId="4C91738E" w14:textId="77777777" w:rsidR="00330F61" w:rsidRPr="003E290F" w:rsidRDefault="00330F61" w:rsidP="00B70C1E">
            <w:pPr>
              <w:pStyle w:val="TextoTablas"/>
            </w:pPr>
            <w:r w:rsidRPr="003E290F">
              <w:t>Centro de Comercio y Servicios - Regional Tolima</w:t>
            </w:r>
          </w:p>
        </w:tc>
      </w:tr>
      <w:tr w:rsidR="00330F61" w:rsidRPr="003E290F" w14:paraId="59C14FC7" w14:textId="77777777" w:rsidTr="00B70C1E">
        <w:trPr>
          <w:cnfStyle w:val="000000100000" w:firstRow="0" w:lastRow="0" w:firstColumn="0" w:lastColumn="0" w:oddVBand="0" w:evenVBand="0" w:oddHBand="1" w:evenHBand="0" w:firstRowFirstColumn="0" w:firstRowLastColumn="0" w:lastRowFirstColumn="0" w:lastRowLastColumn="0"/>
        </w:trPr>
        <w:tc>
          <w:tcPr>
            <w:tcW w:w="3114" w:type="dxa"/>
          </w:tcPr>
          <w:p w14:paraId="57B3CA8A" w14:textId="77777777" w:rsidR="00330F61" w:rsidRPr="003E290F" w:rsidRDefault="00330F61" w:rsidP="00B70C1E">
            <w:pPr>
              <w:pStyle w:val="TextoTablas"/>
            </w:pPr>
            <w:r w:rsidRPr="00413438">
              <w:t xml:space="preserve">Gilberto Junior Rodríguez </w:t>
            </w:r>
            <w:proofErr w:type="spellStart"/>
            <w:r w:rsidRPr="00413438">
              <w:t>Rodríguez</w:t>
            </w:r>
            <w:proofErr w:type="spellEnd"/>
          </w:p>
        </w:tc>
        <w:tc>
          <w:tcPr>
            <w:tcW w:w="3260" w:type="dxa"/>
          </w:tcPr>
          <w:p w14:paraId="276DFC69" w14:textId="77777777" w:rsidR="00330F61" w:rsidRPr="003E290F" w:rsidRDefault="00330F61" w:rsidP="00B70C1E">
            <w:pPr>
              <w:pStyle w:val="TextoTablas"/>
            </w:pPr>
            <w:r w:rsidRPr="003E290F">
              <w:t>Animador y productor audiovisual</w:t>
            </w:r>
          </w:p>
        </w:tc>
        <w:tc>
          <w:tcPr>
            <w:tcW w:w="3402" w:type="dxa"/>
          </w:tcPr>
          <w:p w14:paraId="4178FE51" w14:textId="77777777" w:rsidR="00330F61" w:rsidRPr="003E290F" w:rsidRDefault="00330F61" w:rsidP="00B70C1E">
            <w:pPr>
              <w:pStyle w:val="TextoTablas"/>
            </w:pPr>
            <w:r w:rsidRPr="003E290F">
              <w:t>Centro de Comercio y Servicios - Regional Tolima</w:t>
            </w:r>
          </w:p>
        </w:tc>
      </w:tr>
      <w:tr w:rsidR="00330F61" w:rsidRPr="003E290F" w14:paraId="669913E9" w14:textId="77777777" w:rsidTr="00B70C1E">
        <w:tc>
          <w:tcPr>
            <w:tcW w:w="3114" w:type="dxa"/>
          </w:tcPr>
          <w:p w14:paraId="681E63C7" w14:textId="77777777" w:rsidR="00330F61" w:rsidRPr="003E290F" w:rsidRDefault="00330F61" w:rsidP="00B70C1E">
            <w:pPr>
              <w:pStyle w:val="TextoTablas"/>
            </w:pPr>
            <w:r w:rsidRPr="003E290F">
              <w:t>María Fernanda Pineda Mora</w:t>
            </w:r>
          </w:p>
        </w:tc>
        <w:tc>
          <w:tcPr>
            <w:tcW w:w="3260" w:type="dxa"/>
          </w:tcPr>
          <w:p w14:paraId="70E6A501" w14:textId="77777777" w:rsidR="00330F61" w:rsidRPr="003E290F" w:rsidRDefault="00330F61" w:rsidP="00B70C1E">
            <w:pPr>
              <w:pStyle w:val="TextoTablas"/>
            </w:pPr>
            <w:r w:rsidRPr="003E290F">
              <w:t>Evaluadora de contenidos inclusivos y accesibles</w:t>
            </w:r>
          </w:p>
        </w:tc>
        <w:tc>
          <w:tcPr>
            <w:tcW w:w="3402" w:type="dxa"/>
          </w:tcPr>
          <w:p w14:paraId="5B54FDCA" w14:textId="77777777" w:rsidR="00330F61" w:rsidRPr="003E290F" w:rsidRDefault="00330F61" w:rsidP="00B70C1E">
            <w:pPr>
              <w:pStyle w:val="TextoTablas"/>
            </w:pPr>
            <w:r w:rsidRPr="003E290F">
              <w:t>Centro de Comercio y Servicios - Regional Tolima</w:t>
            </w:r>
          </w:p>
        </w:tc>
      </w:tr>
      <w:tr w:rsidR="00330F61" w:rsidRPr="003E290F" w14:paraId="7B3631CB" w14:textId="77777777" w:rsidTr="00B70C1E">
        <w:trPr>
          <w:cnfStyle w:val="000000100000" w:firstRow="0" w:lastRow="0" w:firstColumn="0" w:lastColumn="0" w:oddVBand="0" w:evenVBand="0" w:oddHBand="1" w:evenHBand="0" w:firstRowFirstColumn="0" w:firstRowLastColumn="0" w:lastRowFirstColumn="0" w:lastRowLastColumn="0"/>
        </w:trPr>
        <w:tc>
          <w:tcPr>
            <w:tcW w:w="3114" w:type="dxa"/>
          </w:tcPr>
          <w:p w14:paraId="199DB035" w14:textId="77777777" w:rsidR="00330F61" w:rsidRPr="003E290F" w:rsidRDefault="00330F61" w:rsidP="00B70C1E">
            <w:pPr>
              <w:pStyle w:val="TextoTablas"/>
            </w:pPr>
            <w:r w:rsidRPr="003E290F">
              <w:t>Javier Mauricio Oviedo</w:t>
            </w:r>
          </w:p>
        </w:tc>
        <w:tc>
          <w:tcPr>
            <w:tcW w:w="3260" w:type="dxa"/>
          </w:tcPr>
          <w:p w14:paraId="517D9D92" w14:textId="77777777" w:rsidR="00330F61" w:rsidRPr="003E290F" w:rsidRDefault="00330F61" w:rsidP="00B70C1E">
            <w:pPr>
              <w:pStyle w:val="TextoTablas"/>
            </w:pPr>
            <w:r w:rsidRPr="003E290F">
              <w:t>Validador y vinculador de recursos educativos digitales</w:t>
            </w:r>
          </w:p>
        </w:tc>
        <w:tc>
          <w:tcPr>
            <w:tcW w:w="3402" w:type="dxa"/>
          </w:tcPr>
          <w:p w14:paraId="5B12CC58" w14:textId="77777777" w:rsidR="00330F61" w:rsidRPr="003E290F" w:rsidRDefault="00330F61" w:rsidP="00B70C1E">
            <w:pPr>
              <w:pStyle w:val="TextoTablas"/>
            </w:pPr>
            <w:r w:rsidRPr="003E290F">
              <w:t>Centro de Comercio y Servicios - Regional Tolima</w:t>
            </w:r>
          </w:p>
        </w:tc>
      </w:tr>
      <w:bookmarkEnd w:id="36"/>
    </w:tbl>
    <w:p w14:paraId="77109462" w14:textId="77777777" w:rsidR="004554CA" w:rsidRPr="003758F7" w:rsidRDefault="004554CA" w:rsidP="004554CA">
      <w:pPr>
        <w:rPr>
          <w:lang w:eastAsia="es-CO"/>
        </w:rPr>
      </w:pPr>
    </w:p>
    <w:sectPr w:rsidR="004554CA" w:rsidRPr="003758F7"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DE6E2" w14:textId="77777777" w:rsidR="00C31CB2" w:rsidRPr="003758F7" w:rsidRDefault="00C31CB2" w:rsidP="00EC0858">
      <w:pPr>
        <w:spacing w:before="0" w:after="0" w:line="240" w:lineRule="auto"/>
      </w:pPr>
      <w:r w:rsidRPr="003758F7">
        <w:separator/>
      </w:r>
    </w:p>
  </w:endnote>
  <w:endnote w:type="continuationSeparator" w:id="0">
    <w:p w14:paraId="7B573652" w14:textId="77777777" w:rsidR="00C31CB2" w:rsidRPr="003758F7" w:rsidRDefault="00C31CB2"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CA41D" w14:textId="77777777" w:rsidR="00C31CB2" w:rsidRPr="003758F7" w:rsidRDefault="00C31CB2" w:rsidP="00EC0858">
      <w:pPr>
        <w:spacing w:before="0" w:after="0" w:line="240" w:lineRule="auto"/>
      </w:pPr>
      <w:r w:rsidRPr="003758F7">
        <w:separator/>
      </w:r>
    </w:p>
  </w:footnote>
  <w:footnote w:type="continuationSeparator" w:id="0">
    <w:p w14:paraId="7728AE63" w14:textId="77777777" w:rsidR="00C31CB2" w:rsidRPr="003758F7" w:rsidRDefault="00C31CB2"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0262E6F"/>
    <w:multiLevelType w:val="hybridMultilevel"/>
    <w:tmpl w:val="36E8F0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17E3D56"/>
    <w:multiLevelType w:val="hybridMultilevel"/>
    <w:tmpl w:val="F806C9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5690D8E"/>
    <w:multiLevelType w:val="hybridMultilevel"/>
    <w:tmpl w:val="C9C668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BBC4413"/>
    <w:multiLevelType w:val="hybridMultilevel"/>
    <w:tmpl w:val="2950304E"/>
    <w:lvl w:ilvl="0" w:tplc="240A0001">
      <w:start w:val="1"/>
      <w:numFmt w:val="bullet"/>
      <w:lvlText w:val=""/>
      <w:lvlJc w:val="left"/>
      <w:pPr>
        <w:ind w:left="1429" w:hanging="360"/>
      </w:pPr>
      <w:rPr>
        <w:rFonts w:ascii="Symbol" w:hAnsi="Symbol"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ED33021"/>
    <w:multiLevelType w:val="hybridMultilevel"/>
    <w:tmpl w:val="63C27F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2AF522F"/>
    <w:multiLevelType w:val="hybridMultilevel"/>
    <w:tmpl w:val="5A9C84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8C70C8B"/>
    <w:multiLevelType w:val="hybridMultilevel"/>
    <w:tmpl w:val="C1822932"/>
    <w:lvl w:ilvl="0" w:tplc="240A0001">
      <w:start w:val="1"/>
      <w:numFmt w:val="bullet"/>
      <w:lvlText w:val=""/>
      <w:lvlJc w:val="left"/>
      <w:pPr>
        <w:ind w:left="1429" w:hanging="360"/>
      </w:pPr>
      <w:rPr>
        <w:rFonts w:ascii="Symbol" w:hAnsi="Symbol"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9820A14"/>
    <w:multiLevelType w:val="hybridMultilevel"/>
    <w:tmpl w:val="A3B4DA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E1920C4"/>
    <w:multiLevelType w:val="hybridMultilevel"/>
    <w:tmpl w:val="8E9C64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0E9278A"/>
    <w:multiLevelType w:val="hybridMultilevel"/>
    <w:tmpl w:val="85826E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3B67E0D"/>
    <w:multiLevelType w:val="hybridMultilevel"/>
    <w:tmpl w:val="783AA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5355F47"/>
    <w:multiLevelType w:val="hybridMultilevel"/>
    <w:tmpl w:val="CAE675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80181E"/>
    <w:multiLevelType w:val="hybridMultilevel"/>
    <w:tmpl w:val="09BCF3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68F41BF"/>
    <w:multiLevelType w:val="hybridMultilevel"/>
    <w:tmpl w:val="123A8A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7782A99"/>
    <w:multiLevelType w:val="hybridMultilevel"/>
    <w:tmpl w:val="4950FA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CA84B72"/>
    <w:multiLevelType w:val="hybridMultilevel"/>
    <w:tmpl w:val="1ADA9A8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D4D74B1"/>
    <w:multiLevelType w:val="hybridMultilevel"/>
    <w:tmpl w:val="E53827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EE7771C"/>
    <w:multiLevelType w:val="hybridMultilevel"/>
    <w:tmpl w:val="EF40F7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4801599"/>
    <w:multiLevelType w:val="hybridMultilevel"/>
    <w:tmpl w:val="3DC871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7721B9E"/>
    <w:multiLevelType w:val="hybridMultilevel"/>
    <w:tmpl w:val="83BAE4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8693278"/>
    <w:multiLevelType w:val="hybridMultilevel"/>
    <w:tmpl w:val="10A266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5B2B5D04"/>
    <w:multiLevelType w:val="hybridMultilevel"/>
    <w:tmpl w:val="045482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E1A62BC"/>
    <w:multiLevelType w:val="hybridMultilevel"/>
    <w:tmpl w:val="BB8461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F31170A"/>
    <w:multiLevelType w:val="hybridMultilevel"/>
    <w:tmpl w:val="932C6BCA"/>
    <w:lvl w:ilvl="0" w:tplc="917A61A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65541FA7"/>
    <w:multiLevelType w:val="hybridMultilevel"/>
    <w:tmpl w:val="092AF6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A3953D8"/>
    <w:multiLevelType w:val="hybridMultilevel"/>
    <w:tmpl w:val="0888CB2C"/>
    <w:lvl w:ilvl="0" w:tplc="240A0001">
      <w:start w:val="1"/>
      <w:numFmt w:val="bullet"/>
      <w:lvlText w:val=""/>
      <w:lvlJc w:val="left"/>
      <w:pPr>
        <w:ind w:left="1429" w:hanging="360"/>
      </w:pPr>
      <w:rPr>
        <w:rFonts w:ascii="Symbol" w:hAnsi="Symbol"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4F06B0E"/>
    <w:multiLevelType w:val="hybridMultilevel"/>
    <w:tmpl w:val="AD88C7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7B40B0B"/>
    <w:multiLevelType w:val="hybridMultilevel"/>
    <w:tmpl w:val="020AA7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D0912E1"/>
    <w:multiLevelType w:val="hybridMultilevel"/>
    <w:tmpl w:val="96E659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DBE356F"/>
    <w:multiLevelType w:val="hybridMultilevel"/>
    <w:tmpl w:val="E59077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7"/>
  </w:num>
  <w:num w:numId="3">
    <w:abstractNumId w:val="25"/>
  </w:num>
  <w:num w:numId="4">
    <w:abstractNumId w:val="15"/>
  </w:num>
  <w:num w:numId="5">
    <w:abstractNumId w:val="20"/>
  </w:num>
  <w:num w:numId="6">
    <w:abstractNumId w:val="3"/>
  </w:num>
  <w:num w:numId="7">
    <w:abstractNumId w:val="17"/>
  </w:num>
  <w:num w:numId="8">
    <w:abstractNumId w:val="21"/>
  </w:num>
  <w:num w:numId="9">
    <w:abstractNumId w:val="8"/>
  </w:num>
  <w:num w:numId="10">
    <w:abstractNumId w:val="5"/>
  </w:num>
  <w:num w:numId="11">
    <w:abstractNumId w:val="29"/>
  </w:num>
  <w:num w:numId="12">
    <w:abstractNumId w:val="11"/>
  </w:num>
  <w:num w:numId="13">
    <w:abstractNumId w:val="10"/>
  </w:num>
  <w:num w:numId="14">
    <w:abstractNumId w:val="1"/>
  </w:num>
  <w:num w:numId="15">
    <w:abstractNumId w:val="22"/>
  </w:num>
  <w:num w:numId="16">
    <w:abstractNumId w:val="28"/>
  </w:num>
  <w:num w:numId="17">
    <w:abstractNumId w:val="16"/>
  </w:num>
  <w:num w:numId="18">
    <w:abstractNumId w:val="26"/>
  </w:num>
  <w:num w:numId="19">
    <w:abstractNumId w:val="12"/>
  </w:num>
  <w:num w:numId="20">
    <w:abstractNumId w:val="14"/>
  </w:num>
  <w:num w:numId="21">
    <w:abstractNumId w:val="19"/>
  </w:num>
  <w:num w:numId="22">
    <w:abstractNumId w:val="32"/>
  </w:num>
  <w:num w:numId="23">
    <w:abstractNumId w:val="6"/>
  </w:num>
  <w:num w:numId="24">
    <w:abstractNumId w:val="13"/>
  </w:num>
  <w:num w:numId="25">
    <w:abstractNumId w:val="2"/>
  </w:num>
  <w:num w:numId="26">
    <w:abstractNumId w:val="33"/>
  </w:num>
  <w:num w:numId="27">
    <w:abstractNumId w:val="31"/>
  </w:num>
  <w:num w:numId="28">
    <w:abstractNumId w:val="24"/>
  </w:num>
  <w:num w:numId="29">
    <w:abstractNumId w:val="9"/>
  </w:num>
  <w:num w:numId="30">
    <w:abstractNumId w:val="34"/>
  </w:num>
  <w:num w:numId="31">
    <w:abstractNumId w:val="27"/>
  </w:num>
  <w:num w:numId="32">
    <w:abstractNumId w:val="18"/>
  </w:num>
  <w:num w:numId="33">
    <w:abstractNumId w:val="23"/>
  </w:num>
  <w:num w:numId="34">
    <w:abstractNumId w:val="4"/>
  </w:num>
  <w:num w:numId="35">
    <w:abstractNumId w:val="3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2726"/>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07A3"/>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0"/>
    <w:rsid w:val="001855AB"/>
    <w:rsid w:val="00186579"/>
    <w:rsid w:val="001870A6"/>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B05"/>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089D"/>
    <w:rsid w:val="00330F61"/>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1148"/>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128C"/>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042"/>
    <w:rsid w:val="004326F0"/>
    <w:rsid w:val="00432753"/>
    <w:rsid w:val="004329E6"/>
    <w:rsid w:val="00433396"/>
    <w:rsid w:val="00433AEC"/>
    <w:rsid w:val="00434FE1"/>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4BB8"/>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5D01"/>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074A"/>
    <w:rsid w:val="006034BE"/>
    <w:rsid w:val="0060715F"/>
    <w:rsid w:val="006074C9"/>
    <w:rsid w:val="00607CDF"/>
    <w:rsid w:val="00610F9D"/>
    <w:rsid w:val="00613641"/>
    <w:rsid w:val="00614C05"/>
    <w:rsid w:val="00615E91"/>
    <w:rsid w:val="00616711"/>
    <w:rsid w:val="00616A9A"/>
    <w:rsid w:val="0062163A"/>
    <w:rsid w:val="00621BEA"/>
    <w:rsid w:val="00623889"/>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2E5"/>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67C0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3B37"/>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14D0"/>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4C"/>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BD4"/>
    <w:rsid w:val="00A45FBD"/>
    <w:rsid w:val="00A4660B"/>
    <w:rsid w:val="00A46AA1"/>
    <w:rsid w:val="00A5164B"/>
    <w:rsid w:val="00A6002B"/>
    <w:rsid w:val="00A631E5"/>
    <w:rsid w:val="00A64A4B"/>
    <w:rsid w:val="00A667F5"/>
    <w:rsid w:val="00A67D01"/>
    <w:rsid w:val="00A7045B"/>
    <w:rsid w:val="00A7103F"/>
    <w:rsid w:val="00A71CDE"/>
    <w:rsid w:val="00A72866"/>
    <w:rsid w:val="00A72FDA"/>
    <w:rsid w:val="00A73177"/>
    <w:rsid w:val="00A75021"/>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1CB2"/>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2DBF"/>
    <w:rsid w:val="00C53034"/>
    <w:rsid w:val="00C576B0"/>
    <w:rsid w:val="00C61353"/>
    <w:rsid w:val="00C63502"/>
    <w:rsid w:val="00C637D2"/>
    <w:rsid w:val="00C63D9A"/>
    <w:rsid w:val="00C64415"/>
    <w:rsid w:val="00C64C40"/>
    <w:rsid w:val="00C64E95"/>
    <w:rsid w:val="00C65B3C"/>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A1A"/>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1B8D"/>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67E0F"/>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63D"/>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styleId="Tabladecuadrcula4">
    <w:name w:val="Grid Table 4"/>
    <w:basedOn w:val="Tablanormal"/>
    <w:uiPriority w:val="49"/>
    <w:rsid w:val="001870A6"/>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6YzoHqVc2GU"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92</Pages>
  <Words>19999</Words>
  <Characters>109996</Characters>
  <Application>Microsoft Office Word</Application>
  <DocSecurity>0</DocSecurity>
  <Lines>916</Lines>
  <Paragraphs>259</Paragraphs>
  <ScaleCrop>false</ScaleCrop>
  <HeadingPairs>
    <vt:vector size="2" baseType="variant">
      <vt:variant>
        <vt:lpstr>Título</vt:lpstr>
      </vt:variant>
      <vt:variant>
        <vt:i4>1</vt:i4>
      </vt:variant>
    </vt:vector>
  </HeadingPairs>
  <TitlesOfParts>
    <vt:vector size="1" baseType="lpstr">
      <vt:lpstr>Contabilidad y normatividad financiera aplicada a la cartera</vt:lpstr>
    </vt:vector>
  </TitlesOfParts>
  <Company/>
  <LinksUpToDate>false</LinksUpToDate>
  <CharactersWithSpaces>129736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Contabilidad y normatividad financiera aplicada a la cartera</dc:title>
  <dc:subject/>
  <dc:creator>SENA</dc:creator>
  <cp:keywords/>
  <dc:description/>
  <cp:lastModifiedBy>Fernanda Mora</cp:lastModifiedBy>
  <cp:revision>18</cp:revision>
  <cp:lastPrinted>2026-05-07T00:36:00Z</cp:lastPrinted>
  <dcterms:created xsi:type="dcterms:W3CDTF">2026-06-01T19:31:00Z</dcterms:created>
  <dcterms:modified xsi:type="dcterms:W3CDTF">2026-06-25T14:44:00Z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