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0792EEB6" w:rsidR="00005140" w:rsidRPr="000059EE" w:rsidRDefault="00512463" w:rsidP="00217419">
                            <w:pPr>
                              <w:pStyle w:val="TituloPortada"/>
                              <w:ind w:firstLine="0"/>
                              <w:rPr>
                                <w:sz w:val="68"/>
                                <w:szCs w:val="68"/>
                                <w:lang w:val="es-CO"/>
                              </w:rPr>
                            </w:pPr>
                            <w:r w:rsidRPr="00512463">
                              <w:rPr>
                                <w:bCs/>
                                <w:sz w:val="68"/>
                                <w:szCs w:val="68"/>
                                <w:lang w:val="es-ES"/>
                              </w:rPr>
                              <w:t>Liquidación y registro en la Planilla Integrada de Seguridad Social (PILA)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0792EEB6" w:rsidR="00005140" w:rsidRPr="000059EE" w:rsidRDefault="00512463" w:rsidP="00217419">
                      <w:pPr>
                        <w:pStyle w:val="TituloPortada"/>
                        <w:ind w:firstLine="0"/>
                        <w:rPr>
                          <w:sz w:val="68"/>
                          <w:szCs w:val="68"/>
                          <w:lang w:val="es-CO"/>
                        </w:rPr>
                      </w:pPr>
                      <w:r w:rsidRPr="00512463">
                        <w:rPr>
                          <w:bCs/>
                          <w:sz w:val="68"/>
                          <w:szCs w:val="68"/>
                          <w:lang w:val="es-ES"/>
                        </w:rPr>
                        <w:t>Liquidación y registro en la Planilla Integrada de Seguridad Social (PILA)</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78C8EF92" w:rsidR="009464E8" w:rsidRDefault="00512463" w:rsidP="009464E8">
      <w:pPr>
        <w:pBdr>
          <w:bottom w:val="single" w:sz="12" w:space="1" w:color="auto"/>
        </w:pBdr>
        <w:ind w:firstLine="1"/>
        <w:rPr>
          <w:rFonts w:ascii="Calibri" w:hAnsi="Calibri"/>
          <w:color w:val="000000" w:themeColor="text1"/>
          <w:kern w:val="0"/>
          <w14:ligatures w14:val="none"/>
        </w:rPr>
      </w:pPr>
      <w:r w:rsidRPr="00512463">
        <w:rPr>
          <w:rStyle w:val="TablaCar"/>
        </w:rPr>
        <w:t>Este componente formativo aborda los fundamentos técnicos para calcular el Ingreso Base de Cotización (IBC), aplicar los porcentajes según el régimen de afiliación y diligenciar la Planilla Integrada de Liquidación de Aportes (PILA). Desarrolla también las competencias para gestionar novedades de nómina, aplicar los plazos de pago vigentes y registrar contablemente los aportes al Sistema de Seguridad Social Integral.</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711A8550" w:rsidR="00C407C1" w:rsidRPr="003758F7" w:rsidRDefault="00867C0E" w:rsidP="00245E79">
      <w:pPr>
        <w:ind w:firstLine="0"/>
        <w:jc w:val="center"/>
      </w:pPr>
      <w:r>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21CF5857" w14:textId="11012510" w:rsidR="00245E79"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5611001" w:history="1">
            <w:r w:rsidR="00245E79" w:rsidRPr="00701A02">
              <w:rPr>
                <w:rStyle w:val="Hipervnculo"/>
                <w:noProof/>
              </w:rPr>
              <w:t>Introducción</w:t>
            </w:r>
            <w:r w:rsidR="00245E79">
              <w:rPr>
                <w:noProof/>
                <w:webHidden/>
              </w:rPr>
              <w:tab/>
            </w:r>
            <w:r w:rsidR="00245E79">
              <w:rPr>
                <w:noProof/>
                <w:webHidden/>
              </w:rPr>
              <w:fldChar w:fldCharType="begin"/>
            </w:r>
            <w:r w:rsidR="00245E79">
              <w:rPr>
                <w:noProof/>
                <w:webHidden/>
              </w:rPr>
              <w:instrText xml:space="preserve"> PAGEREF _Toc235611001 \h </w:instrText>
            </w:r>
            <w:r w:rsidR="00245E79">
              <w:rPr>
                <w:noProof/>
                <w:webHidden/>
              </w:rPr>
            </w:r>
            <w:r w:rsidR="00245E79">
              <w:rPr>
                <w:noProof/>
                <w:webHidden/>
              </w:rPr>
              <w:fldChar w:fldCharType="separate"/>
            </w:r>
            <w:r w:rsidR="00114BDB">
              <w:rPr>
                <w:noProof/>
                <w:webHidden/>
              </w:rPr>
              <w:t>4</w:t>
            </w:r>
            <w:r w:rsidR="00245E79">
              <w:rPr>
                <w:noProof/>
                <w:webHidden/>
              </w:rPr>
              <w:fldChar w:fldCharType="end"/>
            </w:r>
          </w:hyperlink>
        </w:p>
        <w:p w14:paraId="2A7CCDBC" w14:textId="06B67078" w:rsidR="00245E79" w:rsidRDefault="000C1129">
          <w:pPr>
            <w:pStyle w:val="TDC1"/>
            <w:tabs>
              <w:tab w:val="right" w:leader="dot" w:pos="9962"/>
            </w:tabs>
            <w:rPr>
              <w:rFonts w:eastAsiaTheme="minorEastAsia"/>
              <w:noProof/>
              <w:kern w:val="0"/>
              <w:sz w:val="22"/>
              <w:lang w:eastAsia="es-CO"/>
              <w14:ligatures w14:val="none"/>
            </w:rPr>
          </w:pPr>
          <w:hyperlink w:anchor="_Toc235611002" w:history="1">
            <w:r w:rsidR="00245E79" w:rsidRPr="00701A02">
              <w:rPr>
                <w:rStyle w:val="Hipervnculo"/>
                <w:noProof/>
              </w:rPr>
              <w:t>1. Ingreso Base de Cotización (IBC)</w:t>
            </w:r>
            <w:r w:rsidR="00245E79">
              <w:rPr>
                <w:noProof/>
                <w:webHidden/>
              </w:rPr>
              <w:tab/>
            </w:r>
            <w:r w:rsidR="00245E79">
              <w:rPr>
                <w:noProof/>
                <w:webHidden/>
              </w:rPr>
              <w:fldChar w:fldCharType="begin"/>
            </w:r>
            <w:r w:rsidR="00245E79">
              <w:rPr>
                <w:noProof/>
                <w:webHidden/>
              </w:rPr>
              <w:instrText xml:space="preserve"> PAGEREF _Toc235611002 \h </w:instrText>
            </w:r>
            <w:r w:rsidR="00245E79">
              <w:rPr>
                <w:noProof/>
                <w:webHidden/>
              </w:rPr>
            </w:r>
            <w:r w:rsidR="00245E79">
              <w:rPr>
                <w:noProof/>
                <w:webHidden/>
              </w:rPr>
              <w:fldChar w:fldCharType="separate"/>
            </w:r>
            <w:r w:rsidR="00114BDB">
              <w:rPr>
                <w:noProof/>
                <w:webHidden/>
              </w:rPr>
              <w:t>7</w:t>
            </w:r>
            <w:r w:rsidR="00245E79">
              <w:rPr>
                <w:noProof/>
                <w:webHidden/>
              </w:rPr>
              <w:fldChar w:fldCharType="end"/>
            </w:r>
          </w:hyperlink>
        </w:p>
        <w:p w14:paraId="10ED6DC1" w14:textId="5CA133CC" w:rsidR="00245E79" w:rsidRDefault="000C1129">
          <w:pPr>
            <w:pStyle w:val="TDC2"/>
            <w:tabs>
              <w:tab w:val="right" w:leader="dot" w:pos="9962"/>
            </w:tabs>
            <w:rPr>
              <w:rFonts w:eastAsiaTheme="minorEastAsia"/>
              <w:noProof/>
              <w:kern w:val="0"/>
              <w:sz w:val="22"/>
              <w:lang w:eastAsia="es-CO"/>
              <w14:ligatures w14:val="none"/>
            </w:rPr>
          </w:pPr>
          <w:hyperlink w:anchor="_Toc235611003" w:history="1">
            <w:r w:rsidR="00245E79" w:rsidRPr="00701A02">
              <w:rPr>
                <w:rStyle w:val="Hipervnculo"/>
                <w:noProof/>
              </w:rPr>
              <w:t>1.1. Concepto e importancia del IBC</w:t>
            </w:r>
            <w:r w:rsidR="00245E79">
              <w:rPr>
                <w:noProof/>
                <w:webHidden/>
              </w:rPr>
              <w:tab/>
            </w:r>
            <w:r w:rsidR="00245E79">
              <w:rPr>
                <w:noProof/>
                <w:webHidden/>
              </w:rPr>
              <w:fldChar w:fldCharType="begin"/>
            </w:r>
            <w:r w:rsidR="00245E79">
              <w:rPr>
                <w:noProof/>
                <w:webHidden/>
              </w:rPr>
              <w:instrText xml:space="preserve"> PAGEREF _Toc235611003 \h </w:instrText>
            </w:r>
            <w:r w:rsidR="00245E79">
              <w:rPr>
                <w:noProof/>
                <w:webHidden/>
              </w:rPr>
            </w:r>
            <w:r w:rsidR="00245E79">
              <w:rPr>
                <w:noProof/>
                <w:webHidden/>
              </w:rPr>
              <w:fldChar w:fldCharType="separate"/>
            </w:r>
            <w:r w:rsidR="00114BDB">
              <w:rPr>
                <w:noProof/>
                <w:webHidden/>
              </w:rPr>
              <w:t>10</w:t>
            </w:r>
            <w:r w:rsidR="00245E79">
              <w:rPr>
                <w:noProof/>
                <w:webHidden/>
              </w:rPr>
              <w:fldChar w:fldCharType="end"/>
            </w:r>
          </w:hyperlink>
        </w:p>
        <w:p w14:paraId="7F985163" w14:textId="1B719E88" w:rsidR="00245E79" w:rsidRDefault="000C1129">
          <w:pPr>
            <w:pStyle w:val="TDC2"/>
            <w:tabs>
              <w:tab w:val="right" w:leader="dot" w:pos="9962"/>
            </w:tabs>
            <w:rPr>
              <w:rFonts w:eastAsiaTheme="minorEastAsia"/>
              <w:noProof/>
              <w:kern w:val="0"/>
              <w:sz w:val="22"/>
              <w:lang w:eastAsia="es-CO"/>
              <w14:ligatures w14:val="none"/>
            </w:rPr>
          </w:pPr>
          <w:hyperlink w:anchor="_Toc235611004" w:history="1">
            <w:r w:rsidR="00245E79" w:rsidRPr="00701A02">
              <w:rPr>
                <w:rStyle w:val="Hipervnculo"/>
                <w:noProof/>
              </w:rPr>
              <w:t>1.2. Elementos que integran y excluyen el IBC</w:t>
            </w:r>
            <w:r w:rsidR="00245E79">
              <w:rPr>
                <w:noProof/>
                <w:webHidden/>
              </w:rPr>
              <w:tab/>
            </w:r>
            <w:r w:rsidR="00245E79">
              <w:rPr>
                <w:noProof/>
                <w:webHidden/>
              </w:rPr>
              <w:fldChar w:fldCharType="begin"/>
            </w:r>
            <w:r w:rsidR="00245E79">
              <w:rPr>
                <w:noProof/>
                <w:webHidden/>
              </w:rPr>
              <w:instrText xml:space="preserve"> PAGEREF _Toc235611004 \h </w:instrText>
            </w:r>
            <w:r w:rsidR="00245E79">
              <w:rPr>
                <w:noProof/>
                <w:webHidden/>
              </w:rPr>
            </w:r>
            <w:r w:rsidR="00245E79">
              <w:rPr>
                <w:noProof/>
                <w:webHidden/>
              </w:rPr>
              <w:fldChar w:fldCharType="separate"/>
            </w:r>
            <w:r w:rsidR="00114BDB">
              <w:rPr>
                <w:noProof/>
                <w:webHidden/>
              </w:rPr>
              <w:t>13</w:t>
            </w:r>
            <w:r w:rsidR="00245E79">
              <w:rPr>
                <w:noProof/>
                <w:webHidden/>
              </w:rPr>
              <w:fldChar w:fldCharType="end"/>
            </w:r>
          </w:hyperlink>
        </w:p>
        <w:p w14:paraId="11773FB9" w14:textId="628456BC" w:rsidR="00245E79" w:rsidRDefault="000C1129">
          <w:pPr>
            <w:pStyle w:val="TDC2"/>
            <w:tabs>
              <w:tab w:val="right" w:leader="dot" w:pos="9962"/>
            </w:tabs>
            <w:rPr>
              <w:rFonts w:eastAsiaTheme="minorEastAsia"/>
              <w:noProof/>
              <w:kern w:val="0"/>
              <w:sz w:val="22"/>
              <w:lang w:eastAsia="es-CO"/>
              <w14:ligatures w14:val="none"/>
            </w:rPr>
          </w:pPr>
          <w:hyperlink w:anchor="_Toc235611005" w:history="1">
            <w:r w:rsidR="00245E79" w:rsidRPr="00701A02">
              <w:rPr>
                <w:rStyle w:val="Hipervnculo"/>
                <w:noProof/>
              </w:rPr>
              <w:t>1.3. Cálculo del IBC: trabajadores dependientes</w:t>
            </w:r>
            <w:r w:rsidR="00245E79">
              <w:rPr>
                <w:noProof/>
                <w:webHidden/>
              </w:rPr>
              <w:tab/>
            </w:r>
            <w:r w:rsidR="00245E79">
              <w:rPr>
                <w:noProof/>
                <w:webHidden/>
              </w:rPr>
              <w:fldChar w:fldCharType="begin"/>
            </w:r>
            <w:r w:rsidR="00245E79">
              <w:rPr>
                <w:noProof/>
                <w:webHidden/>
              </w:rPr>
              <w:instrText xml:space="preserve"> PAGEREF _Toc235611005 \h </w:instrText>
            </w:r>
            <w:r w:rsidR="00245E79">
              <w:rPr>
                <w:noProof/>
                <w:webHidden/>
              </w:rPr>
            </w:r>
            <w:r w:rsidR="00245E79">
              <w:rPr>
                <w:noProof/>
                <w:webHidden/>
              </w:rPr>
              <w:fldChar w:fldCharType="separate"/>
            </w:r>
            <w:r w:rsidR="00114BDB">
              <w:rPr>
                <w:noProof/>
                <w:webHidden/>
              </w:rPr>
              <w:t>17</w:t>
            </w:r>
            <w:r w:rsidR="00245E79">
              <w:rPr>
                <w:noProof/>
                <w:webHidden/>
              </w:rPr>
              <w:fldChar w:fldCharType="end"/>
            </w:r>
          </w:hyperlink>
        </w:p>
        <w:p w14:paraId="26D46052" w14:textId="14C7DB37" w:rsidR="00245E79" w:rsidRDefault="000C1129">
          <w:pPr>
            <w:pStyle w:val="TDC2"/>
            <w:tabs>
              <w:tab w:val="right" w:leader="dot" w:pos="9962"/>
            </w:tabs>
            <w:rPr>
              <w:rFonts w:eastAsiaTheme="minorEastAsia"/>
              <w:noProof/>
              <w:kern w:val="0"/>
              <w:sz w:val="22"/>
              <w:lang w:eastAsia="es-CO"/>
              <w14:ligatures w14:val="none"/>
            </w:rPr>
          </w:pPr>
          <w:hyperlink w:anchor="_Toc235611006" w:history="1">
            <w:r w:rsidR="00245E79" w:rsidRPr="00701A02">
              <w:rPr>
                <w:rStyle w:val="Hipervnculo"/>
                <w:noProof/>
              </w:rPr>
              <w:t>1.4. Cálculo del IBC: independientes y contratistas</w:t>
            </w:r>
            <w:r w:rsidR="00245E79">
              <w:rPr>
                <w:noProof/>
                <w:webHidden/>
              </w:rPr>
              <w:tab/>
            </w:r>
            <w:r w:rsidR="00245E79">
              <w:rPr>
                <w:noProof/>
                <w:webHidden/>
              </w:rPr>
              <w:fldChar w:fldCharType="begin"/>
            </w:r>
            <w:r w:rsidR="00245E79">
              <w:rPr>
                <w:noProof/>
                <w:webHidden/>
              </w:rPr>
              <w:instrText xml:space="preserve"> PAGEREF _Toc235611006 \h </w:instrText>
            </w:r>
            <w:r w:rsidR="00245E79">
              <w:rPr>
                <w:noProof/>
                <w:webHidden/>
              </w:rPr>
            </w:r>
            <w:r w:rsidR="00245E79">
              <w:rPr>
                <w:noProof/>
                <w:webHidden/>
              </w:rPr>
              <w:fldChar w:fldCharType="separate"/>
            </w:r>
            <w:r w:rsidR="00114BDB">
              <w:rPr>
                <w:noProof/>
                <w:webHidden/>
              </w:rPr>
              <w:t>21</w:t>
            </w:r>
            <w:r w:rsidR="00245E79">
              <w:rPr>
                <w:noProof/>
                <w:webHidden/>
              </w:rPr>
              <w:fldChar w:fldCharType="end"/>
            </w:r>
          </w:hyperlink>
        </w:p>
        <w:p w14:paraId="3C7FE189" w14:textId="35A44C00" w:rsidR="00245E79" w:rsidRDefault="000C1129">
          <w:pPr>
            <w:pStyle w:val="TDC2"/>
            <w:tabs>
              <w:tab w:val="right" w:leader="dot" w:pos="9962"/>
            </w:tabs>
            <w:rPr>
              <w:rFonts w:eastAsiaTheme="minorEastAsia"/>
              <w:noProof/>
              <w:kern w:val="0"/>
              <w:sz w:val="22"/>
              <w:lang w:eastAsia="es-CO"/>
              <w14:ligatures w14:val="none"/>
            </w:rPr>
          </w:pPr>
          <w:hyperlink w:anchor="_Toc235611007" w:history="1">
            <w:r w:rsidR="00245E79" w:rsidRPr="00701A02">
              <w:rPr>
                <w:rStyle w:val="Hipervnculo"/>
                <w:noProof/>
              </w:rPr>
              <w:t>1.5. Topes mínimos y máximos del IBC</w:t>
            </w:r>
            <w:r w:rsidR="00245E79">
              <w:rPr>
                <w:noProof/>
                <w:webHidden/>
              </w:rPr>
              <w:tab/>
            </w:r>
            <w:r w:rsidR="00245E79">
              <w:rPr>
                <w:noProof/>
                <w:webHidden/>
              </w:rPr>
              <w:fldChar w:fldCharType="begin"/>
            </w:r>
            <w:r w:rsidR="00245E79">
              <w:rPr>
                <w:noProof/>
                <w:webHidden/>
              </w:rPr>
              <w:instrText xml:space="preserve"> PAGEREF _Toc235611007 \h </w:instrText>
            </w:r>
            <w:r w:rsidR="00245E79">
              <w:rPr>
                <w:noProof/>
                <w:webHidden/>
              </w:rPr>
            </w:r>
            <w:r w:rsidR="00245E79">
              <w:rPr>
                <w:noProof/>
                <w:webHidden/>
              </w:rPr>
              <w:fldChar w:fldCharType="separate"/>
            </w:r>
            <w:r w:rsidR="00114BDB">
              <w:rPr>
                <w:noProof/>
                <w:webHidden/>
              </w:rPr>
              <w:t>24</w:t>
            </w:r>
            <w:r w:rsidR="00245E79">
              <w:rPr>
                <w:noProof/>
                <w:webHidden/>
              </w:rPr>
              <w:fldChar w:fldCharType="end"/>
            </w:r>
          </w:hyperlink>
        </w:p>
        <w:p w14:paraId="10FC2402" w14:textId="40B2E3F3" w:rsidR="00245E79" w:rsidRDefault="000C1129">
          <w:pPr>
            <w:pStyle w:val="TDC2"/>
            <w:tabs>
              <w:tab w:val="right" w:leader="dot" w:pos="9962"/>
            </w:tabs>
            <w:rPr>
              <w:rFonts w:eastAsiaTheme="minorEastAsia"/>
              <w:noProof/>
              <w:kern w:val="0"/>
              <w:sz w:val="22"/>
              <w:lang w:eastAsia="es-CO"/>
              <w14:ligatures w14:val="none"/>
            </w:rPr>
          </w:pPr>
          <w:hyperlink w:anchor="_Toc235611008" w:history="1">
            <w:r w:rsidR="00245E79" w:rsidRPr="00701A02">
              <w:rPr>
                <w:rStyle w:val="Hipervnculo"/>
                <w:noProof/>
              </w:rPr>
              <w:t>1.6. Variaciones del IBC</w:t>
            </w:r>
            <w:r w:rsidR="00245E79">
              <w:rPr>
                <w:noProof/>
                <w:webHidden/>
              </w:rPr>
              <w:tab/>
            </w:r>
            <w:r w:rsidR="00245E79">
              <w:rPr>
                <w:noProof/>
                <w:webHidden/>
              </w:rPr>
              <w:fldChar w:fldCharType="begin"/>
            </w:r>
            <w:r w:rsidR="00245E79">
              <w:rPr>
                <w:noProof/>
                <w:webHidden/>
              </w:rPr>
              <w:instrText xml:space="preserve"> PAGEREF _Toc235611008 \h </w:instrText>
            </w:r>
            <w:r w:rsidR="00245E79">
              <w:rPr>
                <w:noProof/>
                <w:webHidden/>
              </w:rPr>
            </w:r>
            <w:r w:rsidR="00245E79">
              <w:rPr>
                <w:noProof/>
                <w:webHidden/>
              </w:rPr>
              <w:fldChar w:fldCharType="separate"/>
            </w:r>
            <w:r w:rsidR="00114BDB">
              <w:rPr>
                <w:noProof/>
                <w:webHidden/>
              </w:rPr>
              <w:t>26</w:t>
            </w:r>
            <w:r w:rsidR="00245E79">
              <w:rPr>
                <w:noProof/>
                <w:webHidden/>
              </w:rPr>
              <w:fldChar w:fldCharType="end"/>
            </w:r>
          </w:hyperlink>
        </w:p>
        <w:p w14:paraId="33FE0F09" w14:textId="0B83291D" w:rsidR="00245E79" w:rsidRDefault="000C1129">
          <w:pPr>
            <w:pStyle w:val="TDC1"/>
            <w:tabs>
              <w:tab w:val="right" w:leader="dot" w:pos="9962"/>
            </w:tabs>
            <w:rPr>
              <w:rFonts w:eastAsiaTheme="minorEastAsia"/>
              <w:noProof/>
              <w:kern w:val="0"/>
              <w:sz w:val="22"/>
              <w:lang w:eastAsia="es-CO"/>
              <w14:ligatures w14:val="none"/>
            </w:rPr>
          </w:pPr>
          <w:hyperlink w:anchor="_Toc235611009" w:history="1">
            <w:r w:rsidR="00245E79" w:rsidRPr="00701A02">
              <w:rPr>
                <w:rStyle w:val="Hipervnculo"/>
                <w:noProof/>
              </w:rPr>
              <w:t>2. Regímenes de afiliación y cotización</w:t>
            </w:r>
            <w:r w:rsidR="00245E79">
              <w:rPr>
                <w:noProof/>
                <w:webHidden/>
              </w:rPr>
              <w:tab/>
            </w:r>
            <w:r w:rsidR="00245E79">
              <w:rPr>
                <w:noProof/>
                <w:webHidden/>
              </w:rPr>
              <w:fldChar w:fldCharType="begin"/>
            </w:r>
            <w:r w:rsidR="00245E79">
              <w:rPr>
                <w:noProof/>
                <w:webHidden/>
              </w:rPr>
              <w:instrText xml:space="preserve"> PAGEREF _Toc235611009 \h </w:instrText>
            </w:r>
            <w:r w:rsidR="00245E79">
              <w:rPr>
                <w:noProof/>
                <w:webHidden/>
              </w:rPr>
            </w:r>
            <w:r w:rsidR="00245E79">
              <w:rPr>
                <w:noProof/>
                <w:webHidden/>
              </w:rPr>
              <w:fldChar w:fldCharType="separate"/>
            </w:r>
            <w:r w:rsidR="00114BDB">
              <w:rPr>
                <w:noProof/>
                <w:webHidden/>
              </w:rPr>
              <w:t>30</w:t>
            </w:r>
            <w:r w:rsidR="00245E79">
              <w:rPr>
                <w:noProof/>
                <w:webHidden/>
              </w:rPr>
              <w:fldChar w:fldCharType="end"/>
            </w:r>
          </w:hyperlink>
        </w:p>
        <w:p w14:paraId="3493897D" w14:textId="53632C9E" w:rsidR="00245E79" w:rsidRDefault="000C1129">
          <w:pPr>
            <w:pStyle w:val="TDC2"/>
            <w:tabs>
              <w:tab w:val="right" w:leader="dot" w:pos="9962"/>
            </w:tabs>
            <w:rPr>
              <w:rFonts w:eastAsiaTheme="minorEastAsia"/>
              <w:noProof/>
              <w:kern w:val="0"/>
              <w:sz w:val="22"/>
              <w:lang w:eastAsia="es-CO"/>
              <w14:ligatures w14:val="none"/>
            </w:rPr>
          </w:pPr>
          <w:hyperlink w:anchor="_Toc235611010" w:history="1">
            <w:r w:rsidR="00245E79" w:rsidRPr="00701A02">
              <w:rPr>
                <w:rStyle w:val="Hipervnculo"/>
                <w:noProof/>
              </w:rPr>
              <w:t>2.1. Régimen contributivo de salud</w:t>
            </w:r>
            <w:r w:rsidR="00245E79">
              <w:rPr>
                <w:noProof/>
                <w:webHidden/>
              </w:rPr>
              <w:tab/>
            </w:r>
            <w:r w:rsidR="00245E79">
              <w:rPr>
                <w:noProof/>
                <w:webHidden/>
              </w:rPr>
              <w:fldChar w:fldCharType="begin"/>
            </w:r>
            <w:r w:rsidR="00245E79">
              <w:rPr>
                <w:noProof/>
                <w:webHidden/>
              </w:rPr>
              <w:instrText xml:space="preserve"> PAGEREF _Toc235611010 \h </w:instrText>
            </w:r>
            <w:r w:rsidR="00245E79">
              <w:rPr>
                <w:noProof/>
                <w:webHidden/>
              </w:rPr>
            </w:r>
            <w:r w:rsidR="00245E79">
              <w:rPr>
                <w:noProof/>
                <w:webHidden/>
              </w:rPr>
              <w:fldChar w:fldCharType="separate"/>
            </w:r>
            <w:r w:rsidR="00114BDB">
              <w:rPr>
                <w:noProof/>
                <w:webHidden/>
              </w:rPr>
              <w:t>32</w:t>
            </w:r>
            <w:r w:rsidR="00245E79">
              <w:rPr>
                <w:noProof/>
                <w:webHidden/>
              </w:rPr>
              <w:fldChar w:fldCharType="end"/>
            </w:r>
          </w:hyperlink>
        </w:p>
        <w:p w14:paraId="1B0E4340" w14:textId="744A0276" w:rsidR="00245E79" w:rsidRDefault="000C1129">
          <w:pPr>
            <w:pStyle w:val="TDC2"/>
            <w:tabs>
              <w:tab w:val="right" w:leader="dot" w:pos="9962"/>
            </w:tabs>
            <w:rPr>
              <w:rFonts w:eastAsiaTheme="minorEastAsia"/>
              <w:noProof/>
              <w:kern w:val="0"/>
              <w:sz w:val="22"/>
              <w:lang w:eastAsia="es-CO"/>
              <w14:ligatures w14:val="none"/>
            </w:rPr>
          </w:pPr>
          <w:hyperlink w:anchor="_Toc235611011" w:history="1">
            <w:r w:rsidR="00245E79" w:rsidRPr="00701A02">
              <w:rPr>
                <w:rStyle w:val="Hipervnculo"/>
                <w:noProof/>
              </w:rPr>
              <w:t>2.2. Regímenes pensionales: RPM y RAIS</w:t>
            </w:r>
            <w:r w:rsidR="00245E79">
              <w:rPr>
                <w:noProof/>
                <w:webHidden/>
              </w:rPr>
              <w:tab/>
            </w:r>
            <w:r w:rsidR="00245E79">
              <w:rPr>
                <w:noProof/>
                <w:webHidden/>
              </w:rPr>
              <w:fldChar w:fldCharType="begin"/>
            </w:r>
            <w:r w:rsidR="00245E79">
              <w:rPr>
                <w:noProof/>
                <w:webHidden/>
              </w:rPr>
              <w:instrText xml:space="preserve"> PAGEREF _Toc235611011 \h </w:instrText>
            </w:r>
            <w:r w:rsidR="00245E79">
              <w:rPr>
                <w:noProof/>
                <w:webHidden/>
              </w:rPr>
            </w:r>
            <w:r w:rsidR="00245E79">
              <w:rPr>
                <w:noProof/>
                <w:webHidden/>
              </w:rPr>
              <w:fldChar w:fldCharType="separate"/>
            </w:r>
            <w:r w:rsidR="00114BDB">
              <w:rPr>
                <w:noProof/>
                <w:webHidden/>
              </w:rPr>
              <w:t>36</w:t>
            </w:r>
            <w:r w:rsidR="00245E79">
              <w:rPr>
                <w:noProof/>
                <w:webHidden/>
              </w:rPr>
              <w:fldChar w:fldCharType="end"/>
            </w:r>
          </w:hyperlink>
        </w:p>
        <w:p w14:paraId="0D36A2A1" w14:textId="7FE09163" w:rsidR="00245E79" w:rsidRDefault="000C1129">
          <w:pPr>
            <w:pStyle w:val="TDC2"/>
            <w:tabs>
              <w:tab w:val="right" w:leader="dot" w:pos="9962"/>
            </w:tabs>
            <w:rPr>
              <w:rFonts w:eastAsiaTheme="minorEastAsia"/>
              <w:noProof/>
              <w:kern w:val="0"/>
              <w:sz w:val="22"/>
              <w:lang w:eastAsia="es-CO"/>
              <w14:ligatures w14:val="none"/>
            </w:rPr>
          </w:pPr>
          <w:hyperlink w:anchor="_Toc235611012" w:history="1">
            <w:r w:rsidR="00245E79" w:rsidRPr="00701A02">
              <w:rPr>
                <w:rStyle w:val="Hipervnculo"/>
                <w:noProof/>
              </w:rPr>
              <w:t>2.3. Sistema General de Riesgos Laborales</w:t>
            </w:r>
            <w:r w:rsidR="00245E79">
              <w:rPr>
                <w:noProof/>
                <w:webHidden/>
              </w:rPr>
              <w:tab/>
            </w:r>
            <w:r w:rsidR="00245E79">
              <w:rPr>
                <w:noProof/>
                <w:webHidden/>
              </w:rPr>
              <w:fldChar w:fldCharType="begin"/>
            </w:r>
            <w:r w:rsidR="00245E79">
              <w:rPr>
                <w:noProof/>
                <w:webHidden/>
              </w:rPr>
              <w:instrText xml:space="preserve"> PAGEREF _Toc235611012 \h </w:instrText>
            </w:r>
            <w:r w:rsidR="00245E79">
              <w:rPr>
                <w:noProof/>
                <w:webHidden/>
              </w:rPr>
            </w:r>
            <w:r w:rsidR="00245E79">
              <w:rPr>
                <w:noProof/>
                <w:webHidden/>
              </w:rPr>
              <w:fldChar w:fldCharType="separate"/>
            </w:r>
            <w:r w:rsidR="00114BDB">
              <w:rPr>
                <w:noProof/>
                <w:webHidden/>
              </w:rPr>
              <w:t>39</w:t>
            </w:r>
            <w:r w:rsidR="00245E79">
              <w:rPr>
                <w:noProof/>
                <w:webHidden/>
              </w:rPr>
              <w:fldChar w:fldCharType="end"/>
            </w:r>
          </w:hyperlink>
        </w:p>
        <w:p w14:paraId="0409ACB2" w14:textId="7D779831" w:rsidR="00245E79" w:rsidRDefault="000C1129">
          <w:pPr>
            <w:pStyle w:val="TDC2"/>
            <w:tabs>
              <w:tab w:val="right" w:leader="dot" w:pos="9962"/>
            </w:tabs>
            <w:rPr>
              <w:rFonts w:eastAsiaTheme="minorEastAsia"/>
              <w:noProof/>
              <w:kern w:val="0"/>
              <w:sz w:val="22"/>
              <w:lang w:eastAsia="es-CO"/>
              <w14:ligatures w14:val="none"/>
            </w:rPr>
          </w:pPr>
          <w:hyperlink w:anchor="_Toc235611013" w:history="1">
            <w:r w:rsidR="00245E79" w:rsidRPr="00701A02">
              <w:rPr>
                <w:rStyle w:val="Hipervnculo"/>
                <w:noProof/>
              </w:rPr>
              <w:t>2.4. Aportes parafiscales</w:t>
            </w:r>
            <w:r w:rsidR="00245E79">
              <w:rPr>
                <w:noProof/>
                <w:webHidden/>
              </w:rPr>
              <w:tab/>
            </w:r>
            <w:r w:rsidR="00245E79">
              <w:rPr>
                <w:noProof/>
                <w:webHidden/>
              </w:rPr>
              <w:fldChar w:fldCharType="begin"/>
            </w:r>
            <w:r w:rsidR="00245E79">
              <w:rPr>
                <w:noProof/>
                <w:webHidden/>
              </w:rPr>
              <w:instrText xml:space="preserve"> PAGEREF _Toc235611013 \h </w:instrText>
            </w:r>
            <w:r w:rsidR="00245E79">
              <w:rPr>
                <w:noProof/>
                <w:webHidden/>
              </w:rPr>
            </w:r>
            <w:r w:rsidR="00245E79">
              <w:rPr>
                <w:noProof/>
                <w:webHidden/>
              </w:rPr>
              <w:fldChar w:fldCharType="separate"/>
            </w:r>
            <w:r w:rsidR="00114BDB">
              <w:rPr>
                <w:noProof/>
                <w:webHidden/>
              </w:rPr>
              <w:t>42</w:t>
            </w:r>
            <w:r w:rsidR="00245E79">
              <w:rPr>
                <w:noProof/>
                <w:webHidden/>
              </w:rPr>
              <w:fldChar w:fldCharType="end"/>
            </w:r>
          </w:hyperlink>
        </w:p>
        <w:p w14:paraId="0232D09B" w14:textId="0CED5FCD" w:rsidR="00245E79" w:rsidRDefault="000C1129">
          <w:pPr>
            <w:pStyle w:val="TDC2"/>
            <w:tabs>
              <w:tab w:val="right" w:leader="dot" w:pos="9962"/>
            </w:tabs>
            <w:rPr>
              <w:rFonts w:eastAsiaTheme="minorEastAsia"/>
              <w:noProof/>
              <w:kern w:val="0"/>
              <w:sz w:val="22"/>
              <w:lang w:eastAsia="es-CO"/>
              <w14:ligatures w14:val="none"/>
            </w:rPr>
          </w:pPr>
          <w:hyperlink w:anchor="_Toc235611014" w:history="1">
            <w:r w:rsidR="00245E79" w:rsidRPr="00701A02">
              <w:rPr>
                <w:rStyle w:val="Hipervnculo"/>
                <w:noProof/>
              </w:rPr>
              <w:t>2.5. Exoneraciones para pequeñas empresas</w:t>
            </w:r>
            <w:r w:rsidR="00245E79">
              <w:rPr>
                <w:noProof/>
                <w:webHidden/>
              </w:rPr>
              <w:tab/>
            </w:r>
            <w:r w:rsidR="00245E79">
              <w:rPr>
                <w:noProof/>
                <w:webHidden/>
              </w:rPr>
              <w:fldChar w:fldCharType="begin"/>
            </w:r>
            <w:r w:rsidR="00245E79">
              <w:rPr>
                <w:noProof/>
                <w:webHidden/>
              </w:rPr>
              <w:instrText xml:space="preserve"> PAGEREF _Toc235611014 \h </w:instrText>
            </w:r>
            <w:r w:rsidR="00245E79">
              <w:rPr>
                <w:noProof/>
                <w:webHidden/>
              </w:rPr>
            </w:r>
            <w:r w:rsidR="00245E79">
              <w:rPr>
                <w:noProof/>
                <w:webHidden/>
              </w:rPr>
              <w:fldChar w:fldCharType="separate"/>
            </w:r>
            <w:r w:rsidR="00114BDB">
              <w:rPr>
                <w:noProof/>
                <w:webHidden/>
              </w:rPr>
              <w:t>46</w:t>
            </w:r>
            <w:r w:rsidR="00245E79">
              <w:rPr>
                <w:noProof/>
                <w:webHidden/>
              </w:rPr>
              <w:fldChar w:fldCharType="end"/>
            </w:r>
          </w:hyperlink>
        </w:p>
        <w:p w14:paraId="727976AA" w14:textId="04501D6A" w:rsidR="00245E79" w:rsidRDefault="000C1129">
          <w:pPr>
            <w:pStyle w:val="TDC1"/>
            <w:tabs>
              <w:tab w:val="right" w:leader="dot" w:pos="9962"/>
            </w:tabs>
            <w:rPr>
              <w:rFonts w:eastAsiaTheme="minorEastAsia"/>
              <w:noProof/>
              <w:kern w:val="0"/>
              <w:sz w:val="22"/>
              <w:lang w:eastAsia="es-CO"/>
              <w14:ligatures w14:val="none"/>
            </w:rPr>
          </w:pPr>
          <w:hyperlink w:anchor="_Toc235611015" w:history="1">
            <w:r w:rsidR="00245E79" w:rsidRPr="00701A02">
              <w:rPr>
                <w:rStyle w:val="Hipervnculo"/>
                <w:noProof/>
              </w:rPr>
              <w:t>3. PILA: medios de pago y liquidación</w:t>
            </w:r>
            <w:r w:rsidR="00245E79">
              <w:rPr>
                <w:noProof/>
                <w:webHidden/>
              </w:rPr>
              <w:tab/>
            </w:r>
            <w:r w:rsidR="00245E79">
              <w:rPr>
                <w:noProof/>
                <w:webHidden/>
              </w:rPr>
              <w:fldChar w:fldCharType="begin"/>
            </w:r>
            <w:r w:rsidR="00245E79">
              <w:rPr>
                <w:noProof/>
                <w:webHidden/>
              </w:rPr>
              <w:instrText xml:space="preserve"> PAGEREF _Toc235611015 \h </w:instrText>
            </w:r>
            <w:r w:rsidR="00245E79">
              <w:rPr>
                <w:noProof/>
                <w:webHidden/>
              </w:rPr>
            </w:r>
            <w:r w:rsidR="00245E79">
              <w:rPr>
                <w:noProof/>
                <w:webHidden/>
              </w:rPr>
              <w:fldChar w:fldCharType="separate"/>
            </w:r>
            <w:r w:rsidR="00114BDB">
              <w:rPr>
                <w:noProof/>
                <w:webHidden/>
              </w:rPr>
              <w:t>50</w:t>
            </w:r>
            <w:r w:rsidR="00245E79">
              <w:rPr>
                <w:noProof/>
                <w:webHidden/>
              </w:rPr>
              <w:fldChar w:fldCharType="end"/>
            </w:r>
          </w:hyperlink>
        </w:p>
        <w:p w14:paraId="38CA45FB" w14:textId="49A3FF5B" w:rsidR="00245E79" w:rsidRDefault="000C1129">
          <w:pPr>
            <w:pStyle w:val="TDC2"/>
            <w:tabs>
              <w:tab w:val="right" w:leader="dot" w:pos="9962"/>
            </w:tabs>
            <w:rPr>
              <w:rFonts w:eastAsiaTheme="minorEastAsia"/>
              <w:noProof/>
              <w:kern w:val="0"/>
              <w:sz w:val="22"/>
              <w:lang w:eastAsia="es-CO"/>
              <w14:ligatures w14:val="none"/>
            </w:rPr>
          </w:pPr>
          <w:hyperlink w:anchor="_Toc235611016" w:history="1">
            <w:r w:rsidR="00245E79" w:rsidRPr="00701A02">
              <w:rPr>
                <w:rStyle w:val="Hipervnculo"/>
                <w:noProof/>
              </w:rPr>
              <w:t>3.1. Definición, tipos y operadores</w:t>
            </w:r>
            <w:r w:rsidR="00245E79">
              <w:rPr>
                <w:noProof/>
                <w:webHidden/>
              </w:rPr>
              <w:tab/>
            </w:r>
            <w:r w:rsidR="00245E79">
              <w:rPr>
                <w:noProof/>
                <w:webHidden/>
              </w:rPr>
              <w:fldChar w:fldCharType="begin"/>
            </w:r>
            <w:r w:rsidR="00245E79">
              <w:rPr>
                <w:noProof/>
                <w:webHidden/>
              </w:rPr>
              <w:instrText xml:space="preserve"> PAGEREF _Toc235611016 \h </w:instrText>
            </w:r>
            <w:r w:rsidR="00245E79">
              <w:rPr>
                <w:noProof/>
                <w:webHidden/>
              </w:rPr>
            </w:r>
            <w:r w:rsidR="00245E79">
              <w:rPr>
                <w:noProof/>
                <w:webHidden/>
              </w:rPr>
              <w:fldChar w:fldCharType="separate"/>
            </w:r>
            <w:r w:rsidR="00114BDB">
              <w:rPr>
                <w:noProof/>
                <w:webHidden/>
              </w:rPr>
              <w:t>51</w:t>
            </w:r>
            <w:r w:rsidR="00245E79">
              <w:rPr>
                <w:noProof/>
                <w:webHidden/>
              </w:rPr>
              <w:fldChar w:fldCharType="end"/>
            </w:r>
          </w:hyperlink>
        </w:p>
        <w:p w14:paraId="42EB8015" w14:textId="2D0C6E8C" w:rsidR="00245E79" w:rsidRDefault="000C1129">
          <w:pPr>
            <w:pStyle w:val="TDC2"/>
            <w:tabs>
              <w:tab w:val="right" w:leader="dot" w:pos="9962"/>
            </w:tabs>
            <w:rPr>
              <w:rFonts w:eastAsiaTheme="minorEastAsia"/>
              <w:noProof/>
              <w:kern w:val="0"/>
              <w:sz w:val="22"/>
              <w:lang w:eastAsia="es-CO"/>
              <w14:ligatures w14:val="none"/>
            </w:rPr>
          </w:pPr>
          <w:hyperlink w:anchor="_Toc235611017" w:history="1">
            <w:r w:rsidR="00245E79" w:rsidRPr="00701A02">
              <w:rPr>
                <w:rStyle w:val="Hipervnculo"/>
                <w:noProof/>
              </w:rPr>
              <w:t>3.2. Elaboración y diligenciamiento</w:t>
            </w:r>
            <w:r w:rsidR="00245E79">
              <w:rPr>
                <w:noProof/>
                <w:webHidden/>
              </w:rPr>
              <w:tab/>
            </w:r>
            <w:r w:rsidR="00245E79">
              <w:rPr>
                <w:noProof/>
                <w:webHidden/>
              </w:rPr>
              <w:fldChar w:fldCharType="begin"/>
            </w:r>
            <w:r w:rsidR="00245E79">
              <w:rPr>
                <w:noProof/>
                <w:webHidden/>
              </w:rPr>
              <w:instrText xml:space="preserve"> PAGEREF _Toc235611017 \h </w:instrText>
            </w:r>
            <w:r w:rsidR="00245E79">
              <w:rPr>
                <w:noProof/>
                <w:webHidden/>
              </w:rPr>
            </w:r>
            <w:r w:rsidR="00245E79">
              <w:rPr>
                <w:noProof/>
                <w:webHidden/>
              </w:rPr>
              <w:fldChar w:fldCharType="separate"/>
            </w:r>
            <w:r w:rsidR="00114BDB">
              <w:rPr>
                <w:noProof/>
                <w:webHidden/>
              </w:rPr>
              <w:t>58</w:t>
            </w:r>
            <w:r w:rsidR="00245E79">
              <w:rPr>
                <w:noProof/>
                <w:webHidden/>
              </w:rPr>
              <w:fldChar w:fldCharType="end"/>
            </w:r>
          </w:hyperlink>
        </w:p>
        <w:p w14:paraId="5F9D6D8F" w14:textId="24CE55C3" w:rsidR="00245E79" w:rsidRDefault="000C1129">
          <w:pPr>
            <w:pStyle w:val="TDC2"/>
            <w:tabs>
              <w:tab w:val="right" w:leader="dot" w:pos="9962"/>
            </w:tabs>
            <w:rPr>
              <w:rFonts w:eastAsiaTheme="minorEastAsia"/>
              <w:noProof/>
              <w:kern w:val="0"/>
              <w:sz w:val="22"/>
              <w:lang w:eastAsia="es-CO"/>
              <w14:ligatures w14:val="none"/>
            </w:rPr>
          </w:pPr>
          <w:hyperlink w:anchor="_Toc235611018" w:history="1">
            <w:r w:rsidR="00245E79" w:rsidRPr="00701A02">
              <w:rPr>
                <w:rStyle w:val="Hipervnculo"/>
                <w:noProof/>
              </w:rPr>
              <w:t>3.3. Plazos de pago</w:t>
            </w:r>
            <w:r w:rsidR="00245E79">
              <w:rPr>
                <w:noProof/>
                <w:webHidden/>
              </w:rPr>
              <w:tab/>
            </w:r>
            <w:r w:rsidR="00245E79">
              <w:rPr>
                <w:noProof/>
                <w:webHidden/>
              </w:rPr>
              <w:fldChar w:fldCharType="begin"/>
            </w:r>
            <w:r w:rsidR="00245E79">
              <w:rPr>
                <w:noProof/>
                <w:webHidden/>
              </w:rPr>
              <w:instrText xml:space="preserve"> PAGEREF _Toc235611018 \h </w:instrText>
            </w:r>
            <w:r w:rsidR="00245E79">
              <w:rPr>
                <w:noProof/>
                <w:webHidden/>
              </w:rPr>
            </w:r>
            <w:r w:rsidR="00245E79">
              <w:rPr>
                <w:noProof/>
                <w:webHidden/>
              </w:rPr>
              <w:fldChar w:fldCharType="separate"/>
            </w:r>
            <w:r w:rsidR="00114BDB">
              <w:rPr>
                <w:noProof/>
                <w:webHidden/>
              </w:rPr>
              <w:t>62</w:t>
            </w:r>
            <w:r w:rsidR="00245E79">
              <w:rPr>
                <w:noProof/>
                <w:webHidden/>
              </w:rPr>
              <w:fldChar w:fldCharType="end"/>
            </w:r>
          </w:hyperlink>
        </w:p>
        <w:p w14:paraId="3580EF2D" w14:textId="3087A229" w:rsidR="00245E79" w:rsidRDefault="000C1129">
          <w:pPr>
            <w:pStyle w:val="TDC2"/>
            <w:tabs>
              <w:tab w:val="right" w:leader="dot" w:pos="9962"/>
            </w:tabs>
            <w:rPr>
              <w:rFonts w:eastAsiaTheme="minorEastAsia"/>
              <w:noProof/>
              <w:kern w:val="0"/>
              <w:sz w:val="22"/>
              <w:lang w:eastAsia="es-CO"/>
              <w14:ligatures w14:val="none"/>
            </w:rPr>
          </w:pPr>
          <w:hyperlink w:anchor="_Toc235611019" w:history="1">
            <w:r w:rsidR="00245E79" w:rsidRPr="00701A02">
              <w:rPr>
                <w:rStyle w:val="Hipervnculo"/>
                <w:noProof/>
              </w:rPr>
              <w:t>3.4. Verificación, corrección y anulación de planillas</w:t>
            </w:r>
            <w:r w:rsidR="00245E79">
              <w:rPr>
                <w:noProof/>
                <w:webHidden/>
              </w:rPr>
              <w:tab/>
            </w:r>
            <w:r w:rsidR="00245E79">
              <w:rPr>
                <w:noProof/>
                <w:webHidden/>
              </w:rPr>
              <w:fldChar w:fldCharType="begin"/>
            </w:r>
            <w:r w:rsidR="00245E79">
              <w:rPr>
                <w:noProof/>
                <w:webHidden/>
              </w:rPr>
              <w:instrText xml:space="preserve"> PAGEREF _Toc235611019 \h </w:instrText>
            </w:r>
            <w:r w:rsidR="00245E79">
              <w:rPr>
                <w:noProof/>
                <w:webHidden/>
              </w:rPr>
            </w:r>
            <w:r w:rsidR="00245E79">
              <w:rPr>
                <w:noProof/>
                <w:webHidden/>
              </w:rPr>
              <w:fldChar w:fldCharType="separate"/>
            </w:r>
            <w:r w:rsidR="00114BDB">
              <w:rPr>
                <w:noProof/>
                <w:webHidden/>
              </w:rPr>
              <w:t>65</w:t>
            </w:r>
            <w:r w:rsidR="00245E79">
              <w:rPr>
                <w:noProof/>
                <w:webHidden/>
              </w:rPr>
              <w:fldChar w:fldCharType="end"/>
            </w:r>
          </w:hyperlink>
        </w:p>
        <w:p w14:paraId="2E645E3A" w14:textId="5592A9C9" w:rsidR="00245E79" w:rsidRDefault="000C1129">
          <w:pPr>
            <w:pStyle w:val="TDC2"/>
            <w:tabs>
              <w:tab w:val="right" w:leader="dot" w:pos="9962"/>
            </w:tabs>
            <w:rPr>
              <w:rFonts w:eastAsiaTheme="minorEastAsia"/>
              <w:noProof/>
              <w:kern w:val="0"/>
              <w:sz w:val="22"/>
              <w:lang w:eastAsia="es-CO"/>
              <w14:ligatures w14:val="none"/>
            </w:rPr>
          </w:pPr>
          <w:hyperlink w:anchor="_Toc235611020" w:history="1">
            <w:r w:rsidR="00245E79" w:rsidRPr="00701A02">
              <w:rPr>
                <w:rStyle w:val="Hipervnculo"/>
                <w:noProof/>
              </w:rPr>
              <w:t>3.5. Registro contable de los aportes al sistema</w:t>
            </w:r>
            <w:r w:rsidR="00245E79">
              <w:rPr>
                <w:noProof/>
                <w:webHidden/>
              </w:rPr>
              <w:tab/>
            </w:r>
            <w:r w:rsidR="00245E79">
              <w:rPr>
                <w:noProof/>
                <w:webHidden/>
              </w:rPr>
              <w:fldChar w:fldCharType="begin"/>
            </w:r>
            <w:r w:rsidR="00245E79">
              <w:rPr>
                <w:noProof/>
                <w:webHidden/>
              </w:rPr>
              <w:instrText xml:space="preserve"> PAGEREF _Toc235611020 \h </w:instrText>
            </w:r>
            <w:r w:rsidR="00245E79">
              <w:rPr>
                <w:noProof/>
                <w:webHidden/>
              </w:rPr>
            </w:r>
            <w:r w:rsidR="00245E79">
              <w:rPr>
                <w:noProof/>
                <w:webHidden/>
              </w:rPr>
              <w:fldChar w:fldCharType="separate"/>
            </w:r>
            <w:r w:rsidR="00114BDB">
              <w:rPr>
                <w:noProof/>
                <w:webHidden/>
              </w:rPr>
              <w:t>68</w:t>
            </w:r>
            <w:r w:rsidR="00245E79">
              <w:rPr>
                <w:noProof/>
                <w:webHidden/>
              </w:rPr>
              <w:fldChar w:fldCharType="end"/>
            </w:r>
          </w:hyperlink>
        </w:p>
        <w:p w14:paraId="5B7F987B" w14:textId="109CA034" w:rsidR="00245E79" w:rsidRDefault="000C1129">
          <w:pPr>
            <w:pStyle w:val="TDC1"/>
            <w:tabs>
              <w:tab w:val="right" w:leader="dot" w:pos="9962"/>
            </w:tabs>
            <w:rPr>
              <w:rFonts w:eastAsiaTheme="minorEastAsia"/>
              <w:noProof/>
              <w:kern w:val="0"/>
              <w:sz w:val="22"/>
              <w:lang w:eastAsia="es-CO"/>
              <w14:ligatures w14:val="none"/>
            </w:rPr>
          </w:pPr>
          <w:hyperlink w:anchor="_Toc235611021" w:history="1">
            <w:r w:rsidR="00245E79" w:rsidRPr="00701A02">
              <w:rPr>
                <w:rStyle w:val="Hipervnculo"/>
                <w:noProof/>
              </w:rPr>
              <w:t>4. Casos prácticos de liquidación en la PILA</w:t>
            </w:r>
            <w:r w:rsidR="00245E79">
              <w:rPr>
                <w:noProof/>
                <w:webHidden/>
              </w:rPr>
              <w:tab/>
            </w:r>
            <w:r w:rsidR="00245E79">
              <w:rPr>
                <w:noProof/>
                <w:webHidden/>
              </w:rPr>
              <w:fldChar w:fldCharType="begin"/>
            </w:r>
            <w:r w:rsidR="00245E79">
              <w:rPr>
                <w:noProof/>
                <w:webHidden/>
              </w:rPr>
              <w:instrText xml:space="preserve"> PAGEREF _Toc235611021 \h </w:instrText>
            </w:r>
            <w:r w:rsidR="00245E79">
              <w:rPr>
                <w:noProof/>
                <w:webHidden/>
              </w:rPr>
            </w:r>
            <w:r w:rsidR="00245E79">
              <w:rPr>
                <w:noProof/>
                <w:webHidden/>
              </w:rPr>
              <w:fldChar w:fldCharType="separate"/>
            </w:r>
            <w:r w:rsidR="00114BDB">
              <w:rPr>
                <w:noProof/>
                <w:webHidden/>
              </w:rPr>
              <w:t>72</w:t>
            </w:r>
            <w:r w:rsidR="00245E79">
              <w:rPr>
                <w:noProof/>
                <w:webHidden/>
              </w:rPr>
              <w:fldChar w:fldCharType="end"/>
            </w:r>
          </w:hyperlink>
        </w:p>
        <w:p w14:paraId="4909967A" w14:textId="01BD710C" w:rsidR="00245E79" w:rsidRDefault="000C1129">
          <w:pPr>
            <w:pStyle w:val="TDC1"/>
            <w:tabs>
              <w:tab w:val="right" w:leader="dot" w:pos="9962"/>
            </w:tabs>
            <w:rPr>
              <w:rFonts w:eastAsiaTheme="minorEastAsia"/>
              <w:noProof/>
              <w:kern w:val="0"/>
              <w:sz w:val="22"/>
              <w:lang w:eastAsia="es-CO"/>
              <w14:ligatures w14:val="none"/>
            </w:rPr>
          </w:pPr>
          <w:hyperlink w:anchor="_Toc235611022" w:history="1">
            <w:r w:rsidR="00245E79" w:rsidRPr="00701A02">
              <w:rPr>
                <w:rStyle w:val="Hipervnculo"/>
                <w:noProof/>
              </w:rPr>
              <w:t>Síntesis</w:t>
            </w:r>
            <w:r w:rsidR="00245E79">
              <w:rPr>
                <w:noProof/>
                <w:webHidden/>
              </w:rPr>
              <w:tab/>
            </w:r>
            <w:r w:rsidR="00245E79">
              <w:rPr>
                <w:noProof/>
                <w:webHidden/>
              </w:rPr>
              <w:fldChar w:fldCharType="begin"/>
            </w:r>
            <w:r w:rsidR="00245E79">
              <w:rPr>
                <w:noProof/>
                <w:webHidden/>
              </w:rPr>
              <w:instrText xml:space="preserve"> PAGEREF _Toc235611022 \h </w:instrText>
            </w:r>
            <w:r w:rsidR="00245E79">
              <w:rPr>
                <w:noProof/>
                <w:webHidden/>
              </w:rPr>
            </w:r>
            <w:r w:rsidR="00245E79">
              <w:rPr>
                <w:noProof/>
                <w:webHidden/>
              </w:rPr>
              <w:fldChar w:fldCharType="separate"/>
            </w:r>
            <w:r w:rsidR="00114BDB">
              <w:rPr>
                <w:noProof/>
                <w:webHidden/>
              </w:rPr>
              <w:t>78</w:t>
            </w:r>
            <w:r w:rsidR="00245E79">
              <w:rPr>
                <w:noProof/>
                <w:webHidden/>
              </w:rPr>
              <w:fldChar w:fldCharType="end"/>
            </w:r>
          </w:hyperlink>
        </w:p>
        <w:p w14:paraId="0FDEA076" w14:textId="307110A7" w:rsidR="00245E79" w:rsidRDefault="000C1129">
          <w:pPr>
            <w:pStyle w:val="TDC1"/>
            <w:tabs>
              <w:tab w:val="right" w:leader="dot" w:pos="9962"/>
            </w:tabs>
            <w:rPr>
              <w:rFonts w:eastAsiaTheme="minorEastAsia"/>
              <w:noProof/>
              <w:kern w:val="0"/>
              <w:sz w:val="22"/>
              <w:lang w:eastAsia="es-CO"/>
              <w14:ligatures w14:val="none"/>
            </w:rPr>
          </w:pPr>
          <w:hyperlink w:anchor="_Toc235611023" w:history="1">
            <w:r w:rsidR="00245E79" w:rsidRPr="00701A02">
              <w:rPr>
                <w:rStyle w:val="Hipervnculo"/>
                <w:noProof/>
              </w:rPr>
              <w:t>Glosario</w:t>
            </w:r>
            <w:r w:rsidR="00245E79">
              <w:rPr>
                <w:noProof/>
                <w:webHidden/>
              </w:rPr>
              <w:tab/>
            </w:r>
            <w:r w:rsidR="00245E79">
              <w:rPr>
                <w:noProof/>
                <w:webHidden/>
              </w:rPr>
              <w:fldChar w:fldCharType="begin"/>
            </w:r>
            <w:r w:rsidR="00245E79">
              <w:rPr>
                <w:noProof/>
                <w:webHidden/>
              </w:rPr>
              <w:instrText xml:space="preserve"> PAGEREF _Toc235611023 \h </w:instrText>
            </w:r>
            <w:r w:rsidR="00245E79">
              <w:rPr>
                <w:noProof/>
                <w:webHidden/>
              </w:rPr>
            </w:r>
            <w:r w:rsidR="00245E79">
              <w:rPr>
                <w:noProof/>
                <w:webHidden/>
              </w:rPr>
              <w:fldChar w:fldCharType="separate"/>
            </w:r>
            <w:r w:rsidR="00114BDB">
              <w:rPr>
                <w:noProof/>
                <w:webHidden/>
              </w:rPr>
              <w:t>80</w:t>
            </w:r>
            <w:r w:rsidR="00245E79">
              <w:rPr>
                <w:noProof/>
                <w:webHidden/>
              </w:rPr>
              <w:fldChar w:fldCharType="end"/>
            </w:r>
          </w:hyperlink>
        </w:p>
        <w:p w14:paraId="6ABE960C" w14:textId="1D1E3908" w:rsidR="00245E79" w:rsidRDefault="000C1129">
          <w:pPr>
            <w:pStyle w:val="TDC1"/>
            <w:tabs>
              <w:tab w:val="right" w:leader="dot" w:pos="9962"/>
            </w:tabs>
            <w:rPr>
              <w:rFonts w:eastAsiaTheme="minorEastAsia"/>
              <w:noProof/>
              <w:kern w:val="0"/>
              <w:sz w:val="22"/>
              <w:lang w:eastAsia="es-CO"/>
              <w14:ligatures w14:val="none"/>
            </w:rPr>
          </w:pPr>
          <w:hyperlink w:anchor="_Toc235611024" w:history="1">
            <w:r w:rsidR="00245E79" w:rsidRPr="00701A02">
              <w:rPr>
                <w:rStyle w:val="Hipervnculo"/>
                <w:noProof/>
              </w:rPr>
              <w:t>Referencias bibliográficas</w:t>
            </w:r>
            <w:r w:rsidR="00245E79">
              <w:rPr>
                <w:noProof/>
                <w:webHidden/>
              </w:rPr>
              <w:tab/>
            </w:r>
            <w:r w:rsidR="00245E79">
              <w:rPr>
                <w:noProof/>
                <w:webHidden/>
              </w:rPr>
              <w:fldChar w:fldCharType="begin"/>
            </w:r>
            <w:r w:rsidR="00245E79">
              <w:rPr>
                <w:noProof/>
                <w:webHidden/>
              </w:rPr>
              <w:instrText xml:space="preserve"> PAGEREF _Toc235611024 \h </w:instrText>
            </w:r>
            <w:r w:rsidR="00245E79">
              <w:rPr>
                <w:noProof/>
                <w:webHidden/>
              </w:rPr>
            </w:r>
            <w:r w:rsidR="00245E79">
              <w:rPr>
                <w:noProof/>
                <w:webHidden/>
              </w:rPr>
              <w:fldChar w:fldCharType="separate"/>
            </w:r>
            <w:r w:rsidR="00114BDB">
              <w:rPr>
                <w:noProof/>
                <w:webHidden/>
              </w:rPr>
              <w:t>82</w:t>
            </w:r>
            <w:r w:rsidR="00245E79">
              <w:rPr>
                <w:noProof/>
                <w:webHidden/>
              </w:rPr>
              <w:fldChar w:fldCharType="end"/>
            </w:r>
          </w:hyperlink>
        </w:p>
        <w:p w14:paraId="2C8F39A1" w14:textId="2AEA0D22" w:rsidR="00245E79" w:rsidRDefault="000C1129">
          <w:pPr>
            <w:pStyle w:val="TDC1"/>
            <w:tabs>
              <w:tab w:val="right" w:leader="dot" w:pos="9962"/>
            </w:tabs>
            <w:rPr>
              <w:rFonts w:eastAsiaTheme="minorEastAsia"/>
              <w:noProof/>
              <w:kern w:val="0"/>
              <w:sz w:val="22"/>
              <w:lang w:eastAsia="es-CO"/>
              <w14:ligatures w14:val="none"/>
            </w:rPr>
          </w:pPr>
          <w:hyperlink w:anchor="_Toc235611025" w:history="1">
            <w:r w:rsidR="00245E79" w:rsidRPr="00701A02">
              <w:rPr>
                <w:rStyle w:val="Hipervnculo"/>
                <w:noProof/>
              </w:rPr>
              <w:t>Créditos</w:t>
            </w:r>
            <w:r w:rsidR="00245E79">
              <w:rPr>
                <w:noProof/>
                <w:webHidden/>
              </w:rPr>
              <w:tab/>
            </w:r>
            <w:r w:rsidR="00245E79">
              <w:rPr>
                <w:noProof/>
                <w:webHidden/>
              </w:rPr>
              <w:fldChar w:fldCharType="begin"/>
            </w:r>
            <w:r w:rsidR="00245E79">
              <w:rPr>
                <w:noProof/>
                <w:webHidden/>
              </w:rPr>
              <w:instrText xml:space="preserve"> PAGEREF _Toc235611025 \h </w:instrText>
            </w:r>
            <w:r w:rsidR="00245E79">
              <w:rPr>
                <w:noProof/>
                <w:webHidden/>
              </w:rPr>
            </w:r>
            <w:r w:rsidR="00245E79">
              <w:rPr>
                <w:noProof/>
                <w:webHidden/>
              </w:rPr>
              <w:fldChar w:fldCharType="separate"/>
            </w:r>
            <w:r w:rsidR="00114BDB">
              <w:rPr>
                <w:noProof/>
                <w:webHidden/>
              </w:rPr>
              <w:t>84</w:t>
            </w:r>
            <w:r w:rsidR="00245E79">
              <w:rPr>
                <w:noProof/>
                <w:webHidden/>
              </w:rPr>
              <w:fldChar w:fldCharType="end"/>
            </w:r>
          </w:hyperlink>
        </w:p>
        <w:p w14:paraId="3AFC5851" w14:textId="0DA2A537"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5611001"/>
      <w:r w:rsidRPr="003758F7">
        <w:lastRenderedPageBreak/>
        <w:t>Introducción</w:t>
      </w:r>
      <w:bookmarkEnd w:id="0"/>
    </w:p>
    <w:p w14:paraId="22B66C47" w14:textId="29568E5B" w:rsidR="00E23A14" w:rsidRDefault="00E23A14" w:rsidP="00E23A14">
      <w:r>
        <w:t>La liquidación y el registro de los aportes al Sistema de Seguridad Social Integral mediante la Planilla Integrada de Liquidación de Aportes (PILA) constituyen competencias técnicas esenciales para la gestión de la nómina y el cumplimiento de las obligaciones laborales en el contexto colombiano. Un error en el cálculo del Ingreso Base de Cotización (IBC), en la aplicación de los porcentajes de cotización o en el registro de las novedades puede generar consecuencias que van desde diferencias menores hasta investigaciones formales de la Unidad de Gestión Pensional y Parafiscal (UGPP) con sanciones económicas significativas.</w:t>
      </w:r>
    </w:p>
    <w:p w14:paraId="6CFC8987" w14:textId="77777777" w:rsidR="00E23A14" w:rsidRDefault="00E23A14" w:rsidP="00E23A14">
      <w:r>
        <w:t>El IBC es el eje central de todo el proceso de liquidación. Su correcta determinación depende del dominio de los conceptos de salario y remuneración establecidos en el Código Sustantivo del Trabajo, la identificación de los pagos que constituyen salario y los que expresamente no lo constituyen, y la aplicación de las reglas especiales para trabajadores independientes, aprendices y trabajadores con períodos de cotización incompletos. El componente incluye además el análisis de los medios de pago disponibles, los tipos de planilla PILA según el cotizante, los plazos de pago diferenciados, los procedimientos de corrección de errores y el registro contable de los aportes.</w:t>
      </w:r>
    </w:p>
    <w:p w14:paraId="1E600DC2" w14:textId="77777777" w:rsidR="00E23A14" w:rsidRDefault="00E23A14" w:rsidP="00E23A14">
      <w:r>
        <w:t>La incorporación de casos prácticos completos de liquidación permite al aprendiz integrar todos los conceptos en situaciones reales que simulan el entorno de trabajo, consolidando así las habilidades para desempeñarse con rigor y responsabilidad en cualquier organización del sector productivo colombiano.</w:t>
      </w:r>
    </w:p>
    <w:p w14:paraId="5824929E" w14:textId="24F7ED49" w:rsidR="005914A4" w:rsidRDefault="00E23A14" w:rsidP="00E23A14">
      <w:r>
        <w:lastRenderedPageBreak/>
        <w:t>Para ampliar la comprensión de los conceptos abordados y contextualizar su aplicación en la liquidación y el registro de aportes al sistema de seguridad social, se recomienda acceder al recurso audiovisual que acompaña esta sección.</w:t>
      </w:r>
    </w:p>
    <w:p w14:paraId="4850CE21" w14:textId="4A42F8C0" w:rsidR="00E23A14" w:rsidRDefault="00E23A14" w:rsidP="00E23A14">
      <w:pPr>
        <w:pStyle w:val="Video"/>
      </w:pPr>
      <w:r w:rsidRPr="00E23A14">
        <w:t>Liquidación y registro en la Planilla Integrada de Seguridad Social (PILA)</w:t>
      </w:r>
    </w:p>
    <w:p w14:paraId="5B334C50" w14:textId="58ACDE44" w:rsidR="008444BC" w:rsidRPr="008444BC" w:rsidRDefault="008444BC" w:rsidP="008444BC">
      <w:pPr>
        <w:ind w:firstLine="0"/>
        <w:jc w:val="center"/>
        <w:rPr>
          <w:lang w:eastAsia="es-CO"/>
        </w:rPr>
      </w:pPr>
      <w:r w:rsidRPr="008444BC">
        <w:rPr>
          <w:noProof/>
          <w:lang w:eastAsia="es-CO"/>
        </w:rPr>
        <w:drawing>
          <wp:inline distT="0" distB="0" distL="0" distR="0" wp14:anchorId="7C3D6AB3" wp14:editId="0E8D3CEA">
            <wp:extent cx="4680000" cy="2631600"/>
            <wp:effectExtent l="0" t="0" r="635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35CE9961" w14:textId="7336D0F2" w:rsidR="00E23A14" w:rsidRDefault="000C1129" w:rsidP="00E23A14">
      <w:pPr>
        <w:ind w:firstLine="0"/>
        <w:jc w:val="center"/>
      </w:pPr>
      <w:hyperlink r:id="rId13" w:history="1">
        <w:r w:rsidR="00E23A14" w:rsidRPr="008444BC">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E23A14" w14:paraId="703C3BD1" w14:textId="77777777" w:rsidTr="00CA58FB">
        <w:trPr>
          <w:tblHeader/>
        </w:trPr>
        <w:tc>
          <w:tcPr>
            <w:tcW w:w="9972" w:type="dxa"/>
          </w:tcPr>
          <w:p w14:paraId="51DEED23" w14:textId="42D5F053" w:rsidR="00E23A14" w:rsidRDefault="00E23A14" w:rsidP="00CA58FB">
            <w:pPr>
              <w:ind w:firstLine="0"/>
            </w:pPr>
            <w:r>
              <w:rPr>
                <w:b/>
              </w:rPr>
              <w:t xml:space="preserve">Transcripción del video. </w:t>
            </w:r>
            <w:r w:rsidR="002E673C" w:rsidRPr="002E673C">
              <w:rPr>
                <w:bCs/>
              </w:rPr>
              <w:t>Liquidación y registro en la Planilla Integrada de Seguridad Social (PILA)</w:t>
            </w:r>
          </w:p>
        </w:tc>
      </w:tr>
      <w:tr w:rsidR="00E23A14" w14:paraId="51F4EF06" w14:textId="77777777" w:rsidTr="00CA58FB">
        <w:tc>
          <w:tcPr>
            <w:tcW w:w="9972" w:type="dxa"/>
          </w:tcPr>
          <w:p w14:paraId="14C557AF" w14:textId="77777777" w:rsidR="002E673C" w:rsidRDefault="002E673C" w:rsidP="002E673C">
            <w:r>
              <w:t>La liquidación de aportes al sistema de seguridad social traduce la normativa en valores concretos de cotización. Errores en el Ingreso Base de Cotización (IBC), los porcentajes o las novedades, pueden derivar en investigaciones y sanciones económicas significativas.</w:t>
            </w:r>
          </w:p>
          <w:p w14:paraId="27737912" w14:textId="77777777" w:rsidR="002E673C" w:rsidRDefault="002E673C" w:rsidP="002E673C">
            <w:r>
              <w:t xml:space="preserve">En este componente formativo se desarrollan las competencias para calcular, liquidar y registrar correctamente los aportes al Sistema de Seguridad Social Integral </w:t>
            </w:r>
            <w:r>
              <w:lastRenderedPageBreak/>
              <w:t>mediante la Planilla Integrada de Liquidación de Aportes (PILA), con base en la normativa colombiana vigente.</w:t>
            </w:r>
          </w:p>
          <w:p w14:paraId="139F2A27" w14:textId="26C5305A" w:rsidR="002E673C" w:rsidRDefault="002E673C" w:rsidP="002E673C">
            <w:r>
              <w:t>Inicialmente, se estudia el IBC: su concepto, los elementos salariales y no salariales que lo conforman, los métodos de cálculo para dependientes, independientes y contratistas, y los topes mínimos y máximos que determina la normativa.</w:t>
            </w:r>
          </w:p>
          <w:p w14:paraId="5C20D835" w14:textId="77777777" w:rsidR="002E673C" w:rsidRDefault="002E673C" w:rsidP="002E673C">
            <w:r>
              <w:t>Luego, se analizan los regímenes de afiliación y los porcentajes de cotización a salud, pensión y riesgos laborales, junto con los aportes parafiscales y las exoneraciones que la ley establece para las pequeñas empresas.</w:t>
            </w:r>
          </w:p>
          <w:p w14:paraId="474C2702" w14:textId="77777777" w:rsidR="002E673C" w:rsidRDefault="002E673C" w:rsidP="002E673C">
            <w:r>
              <w:t>Seguidamente, se describen los tipos de planilla PILA según el cotizante, el proceso de elaboración y diligenciamiento, los plazos de pago, los mecanismos de corrección y anulación, el registro contable de los aportes y la resolución de casos prácticos de liquidación.</w:t>
            </w:r>
          </w:p>
          <w:p w14:paraId="284DF677" w14:textId="2F95F42D" w:rsidR="00E23A14" w:rsidRDefault="002E673C" w:rsidP="002E673C">
            <w:r>
              <w:t>El estudio de estos contenidos permite al profesional de nómina, al empleador y al contratante, calcular con precisión los aportes al sistema, garantizar el cumplimiento normativo y proteger los derechos en salud, pensión y riesgos laborales de cada trabajador colombiano.</w:t>
            </w:r>
          </w:p>
        </w:tc>
      </w:tr>
    </w:tbl>
    <w:p w14:paraId="1C9CD980" w14:textId="77777777" w:rsidR="00E23A14" w:rsidRDefault="00E23A14" w:rsidP="005F242D"/>
    <w:p w14:paraId="537C993E" w14:textId="6E0FD010" w:rsidR="00BF7EA0" w:rsidRDefault="00BF7EA0">
      <w:pPr>
        <w:spacing w:before="0" w:after="160" w:line="259" w:lineRule="auto"/>
        <w:ind w:firstLine="0"/>
      </w:pPr>
      <w:r>
        <w:br w:type="page"/>
      </w:r>
    </w:p>
    <w:p w14:paraId="737DCB75" w14:textId="54E74C67" w:rsidR="00831C29" w:rsidRDefault="00512463" w:rsidP="00831C29">
      <w:pPr>
        <w:pStyle w:val="Ttulo1"/>
      </w:pPr>
      <w:bookmarkStart w:id="1" w:name="_Toc235611002"/>
      <w:r>
        <w:lastRenderedPageBreak/>
        <w:t>I</w:t>
      </w:r>
      <w:r w:rsidRPr="00512463">
        <w:t>ngreso Base de Cotización (IBC)</w:t>
      </w:r>
      <w:bookmarkEnd w:id="1"/>
    </w:p>
    <w:p w14:paraId="76689010" w14:textId="60BB8A45" w:rsidR="00E23A14" w:rsidRDefault="00E23A14" w:rsidP="00E23A14">
      <w:r>
        <w:t>El Ingreso Base de Cotización (IBC) es el valor mensual sobre el cual se aplican los porcentajes de cotización al Sistema de Seguridad Social Integral para obtener el valor de los aportes que deben pagarse a cada componente del sistema. Su correcta determinación es el primer y más crítico paso en el proceso de liquidación, pues un IBC incorrecto produce automáticamente aportes incorrectos a salud, pensión, riesgos laborales y parafiscales. El IBC es, en esencia, la traducción de la remuneración del trabajador a la base técnica que el sistema utiliza para calcular las cotizaciones y las prestaciones económicas derivadas de ellas.</w:t>
      </w:r>
    </w:p>
    <w:p w14:paraId="246BBEDC" w14:textId="31ECB89F" w:rsidR="00E23A14" w:rsidRDefault="00E23A14" w:rsidP="00E23A14">
      <w:r>
        <w:t>La legislación colombiana ha establecido con precisión qué conceptos integran el IBC y cuáles deben excluirse de él, diferenciando entre los pagos que tienen naturaleza salarial y</w:t>
      </w:r>
      <w:r w:rsidR="008C7BE2">
        <w:t>,</w:t>
      </w:r>
      <w:r>
        <w:t xml:space="preserve"> por tanto</w:t>
      </w:r>
      <w:r w:rsidR="008C7BE2">
        <w:t>,</w:t>
      </w:r>
      <w:r>
        <w:t xml:space="preserve"> son base de cotización, y los que el legislador ha catalogado expresamente como no salariales. Esta distinción es fundamental porque la tendencia histórica de algunos empleadores a inflar los pagos no salariales para reducir la base de cotización ha sido objeto de control por parte de la UGPP, que cuenta con herramientas de fiscalización sofisticadas para detectar estas prácticas.</w:t>
      </w:r>
    </w:p>
    <w:p w14:paraId="5485B9F0" w14:textId="77777777" w:rsidR="00E23A14" w:rsidRDefault="00E23A14" w:rsidP="00E23A14">
      <w:r>
        <w:t>El tipo de vinculación contractual del trabajador determina el método que debe aplicarse para calcular el IBC, pues cada modalidad tiene reglas propias establecidas en la normativa colombiana:</w:t>
      </w:r>
    </w:p>
    <w:p w14:paraId="293B18FC" w14:textId="42E2F42F" w:rsidR="00E23A14" w:rsidRDefault="00E23A14" w:rsidP="00F65317">
      <w:pPr>
        <w:pStyle w:val="Prrafodelista"/>
        <w:numPr>
          <w:ilvl w:val="0"/>
          <w:numId w:val="6"/>
        </w:numPr>
      </w:pPr>
      <w:r w:rsidRPr="00E23A14">
        <w:rPr>
          <w:b/>
          <w:bCs/>
        </w:rPr>
        <w:t>Trabajador dependiente:</w:t>
      </w:r>
      <w:r>
        <w:t xml:space="preserve"> el IBC corresponde al salario devengado en el período, incluyendo el salario básico y los pagos de naturaleza salarial habitual, con un mínimo de 1 SMLMV y un máximo de 25 SMLMV.</w:t>
      </w:r>
    </w:p>
    <w:p w14:paraId="5B3A4B7E" w14:textId="3AC1C5C1" w:rsidR="00E23A14" w:rsidRDefault="00E23A14" w:rsidP="00F65317">
      <w:pPr>
        <w:pStyle w:val="Prrafodelista"/>
        <w:numPr>
          <w:ilvl w:val="0"/>
          <w:numId w:val="6"/>
        </w:numPr>
      </w:pPr>
      <w:r w:rsidRPr="00E23A14">
        <w:rPr>
          <w:b/>
          <w:bCs/>
        </w:rPr>
        <w:lastRenderedPageBreak/>
        <w:t>Contratista independiente con contrato de prestación de servicios:</w:t>
      </w:r>
      <w:r>
        <w:t xml:space="preserve"> el IBC equivale al 40 % del valor mensualizado del contrato, reconociendo que el contratista asume costos de operación que el trabajador dependiente no tiene.</w:t>
      </w:r>
    </w:p>
    <w:p w14:paraId="666F19B5" w14:textId="0213A4FC" w:rsidR="00E23A14" w:rsidRDefault="00E23A14" w:rsidP="00F65317">
      <w:pPr>
        <w:pStyle w:val="Prrafodelista"/>
        <w:numPr>
          <w:ilvl w:val="0"/>
          <w:numId w:val="6"/>
        </w:numPr>
      </w:pPr>
      <w:r w:rsidRPr="00E23A14">
        <w:rPr>
          <w:b/>
          <w:bCs/>
        </w:rPr>
        <w:t>Aprendiz SENA en fase productiva:</w:t>
      </w:r>
      <w:r>
        <w:t xml:space="preserve"> el IBC se determina según la disponibilidad de certificación: 75 % del SMLMV sin certificación o 100 % del SMLMV con certificación de disponibilidad.</w:t>
      </w:r>
    </w:p>
    <w:p w14:paraId="4F3A1509" w14:textId="24F21E23" w:rsidR="00E23A14" w:rsidRDefault="00E23A14" w:rsidP="00F65317">
      <w:pPr>
        <w:pStyle w:val="Prrafodelista"/>
        <w:numPr>
          <w:ilvl w:val="0"/>
          <w:numId w:val="6"/>
        </w:numPr>
      </w:pPr>
      <w:r w:rsidRPr="00E23A14">
        <w:rPr>
          <w:b/>
          <w:bCs/>
        </w:rPr>
        <w:t>Trabajador con período incompleto o novedad salarial:</w:t>
      </w:r>
      <w:r>
        <w:t xml:space="preserve"> el IBC se calcula de manera proporcional mediante la fórmula: (IBC mensual ÷ 30) × número de días cotizados en el período.</w:t>
      </w:r>
    </w:p>
    <w:p w14:paraId="0245E3C6" w14:textId="77777777" w:rsidR="00E23A14" w:rsidRDefault="00E23A14" w:rsidP="00E23A14">
      <w:r>
        <w:t>El reconocimiento de estas cuatro modalidades de cálculo del IBC permite al profesional de nómina abordar con precisión cualquier situación de liquidación, independientemente de la estructura de contratación de la organización, y garantizar que los aportes reportados en la PILA reflejen con exactitud la realidad salarial de cada cotizante.</w:t>
      </w:r>
    </w:p>
    <w:p w14:paraId="4E3FCCD0" w14:textId="77777777" w:rsidR="00E23A14" w:rsidRDefault="00E23A14" w:rsidP="00E23A14">
      <w:r>
        <w:t>A continuación, se presenta una tabla que sintetiza las principales situaciones en las que varía el método de cálculo del IBC, proporcionando una guía de referencia rápida para la liquidación de casos con características particulares.</w:t>
      </w:r>
    </w:p>
    <w:p w14:paraId="2F9D83FD" w14:textId="21ABE8C0" w:rsidR="00831C29" w:rsidRDefault="00E23A14" w:rsidP="0004317C">
      <w:pPr>
        <w:pStyle w:val="Tabla"/>
      </w:pPr>
      <w:r>
        <w:t>Métodos de cálculo del IBC según tipo de vinculación</w:t>
      </w:r>
    </w:p>
    <w:tbl>
      <w:tblPr>
        <w:tblStyle w:val="SENA"/>
        <w:tblW w:w="9918" w:type="dxa"/>
        <w:tblLayout w:type="fixed"/>
        <w:tblLook w:val="0020" w:firstRow="1" w:lastRow="0" w:firstColumn="0" w:lastColumn="0" w:noHBand="0" w:noVBand="0"/>
      </w:tblPr>
      <w:tblGrid>
        <w:gridCol w:w="2800"/>
        <w:gridCol w:w="7118"/>
      </w:tblGrid>
      <w:tr w:rsidR="00E23A14" w:rsidRPr="00EC1720" w14:paraId="5BC9ACF5" w14:textId="77777777" w:rsidTr="00245E79">
        <w:trPr>
          <w:cnfStyle w:val="100000000000" w:firstRow="1" w:lastRow="0" w:firstColumn="0" w:lastColumn="0" w:oddVBand="0" w:evenVBand="0" w:oddHBand="0" w:evenHBand="0" w:firstRowFirstColumn="0" w:firstRowLastColumn="0" w:lastRowFirstColumn="0" w:lastRowLastColumn="0"/>
          <w:tblHeader/>
        </w:trPr>
        <w:tc>
          <w:tcPr>
            <w:tcW w:w="2800" w:type="dxa"/>
          </w:tcPr>
          <w:p w14:paraId="3901C32B" w14:textId="77777777" w:rsidR="00E23A14" w:rsidRPr="008C7BE2" w:rsidRDefault="00E23A14" w:rsidP="00EC1720">
            <w:pPr>
              <w:pStyle w:val="TextoTablas"/>
            </w:pPr>
            <w:r w:rsidRPr="008C7BE2">
              <w:t>Tipo de vinculación</w:t>
            </w:r>
          </w:p>
        </w:tc>
        <w:tc>
          <w:tcPr>
            <w:tcW w:w="7118" w:type="dxa"/>
          </w:tcPr>
          <w:p w14:paraId="13A92A55" w14:textId="77777777" w:rsidR="00E23A14" w:rsidRPr="008C7BE2" w:rsidRDefault="00E23A14" w:rsidP="00EC1720">
            <w:pPr>
              <w:pStyle w:val="TextoTablas"/>
            </w:pPr>
            <w:r w:rsidRPr="008C7BE2">
              <w:t>Método de cálculo del IBC</w:t>
            </w:r>
          </w:p>
        </w:tc>
      </w:tr>
      <w:tr w:rsidR="00E23A14" w:rsidRPr="00EC1720" w14:paraId="0BFF40C8" w14:textId="77777777" w:rsidTr="008C7BE2">
        <w:trPr>
          <w:cnfStyle w:val="000000100000" w:firstRow="0" w:lastRow="0" w:firstColumn="0" w:lastColumn="0" w:oddVBand="0" w:evenVBand="0" w:oddHBand="1" w:evenHBand="0" w:firstRowFirstColumn="0" w:firstRowLastColumn="0" w:lastRowFirstColumn="0" w:lastRowLastColumn="0"/>
        </w:trPr>
        <w:tc>
          <w:tcPr>
            <w:tcW w:w="2800" w:type="dxa"/>
          </w:tcPr>
          <w:p w14:paraId="62FD280A" w14:textId="77777777" w:rsidR="00E23A14" w:rsidRPr="00EC1720" w:rsidRDefault="00E23A14" w:rsidP="00EC1720">
            <w:pPr>
              <w:pStyle w:val="TextoTablas"/>
            </w:pPr>
            <w:r w:rsidRPr="00EC1720">
              <w:t>Trabajador dependiente — salario fijo.</w:t>
            </w:r>
          </w:p>
        </w:tc>
        <w:tc>
          <w:tcPr>
            <w:tcW w:w="7118" w:type="dxa"/>
          </w:tcPr>
          <w:p w14:paraId="24F5FD33" w14:textId="77777777" w:rsidR="00E23A14" w:rsidRPr="00EC1720" w:rsidRDefault="00E23A14" w:rsidP="00EC1720">
            <w:pPr>
              <w:pStyle w:val="TextoTablas"/>
            </w:pPr>
            <w:r w:rsidRPr="00EC1720">
              <w:t>IBC = salario mensual pactado + pagos de naturaleza salarial habituales. Límite mínimo: 1 SMLMV. Límite máximo: 25 SMLMV.</w:t>
            </w:r>
          </w:p>
        </w:tc>
      </w:tr>
      <w:tr w:rsidR="00E23A14" w:rsidRPr="00EC1720" w14:paraId="12E05804" w14:textId="77777777" w:rsidTr="008C7BE2">
        <w:tc>
          <w:tcPr>
            <w:tcW w:w="2800" w:type="dxa"/>
          </w:tcPr>
          <w:p w14:paraId="5A64F56C" w14:textId="77777777" w:rsidR="00E23A14" w:rsidRPr="00EC1720" w:rsidRDefault="00E23A14" w:rsidP="00EC1720">
            <w:pPr>
              <w:pStyle w:val="TextoTablas"/>
            </w:pPr>
            <w:r w:rsidRPr="00EC1720">
              <w:t>Trabajador dependiente — salario variable.</w:t>
            </w:r>
          </w:p>
        </w:tc>
        <w:tc>
          <w:tcPr>
            <w:tcW w:w="7118" w:type="dxa"/>
          </w:tcPr>
          <w:p w14:paraId="6E2815FC" w14:textId="77777777" w:rsidR="00E23A14" w:rsidRPr="00EC1720" w:rsidRDefault="00E23A14" w:rsidP="00EC1720">
            <w:pPr>
              <w:pStyle w:val="TextoTablas"/>
            </w:pPr>
            <w:r w:rsidRPr="00EC1720">
              <w:t>IBC = promedio del salario variable de los tres meses anteriores o del período cotizado si es inferior. Nunca inferior a 1 SMLMV.</w:t>
            </w:r>
          </w:p>
        </w:tc>
      </w:tr>
      <w:tr w:rsidR="00E23A14" w:rsidRPr="00EC1720" w14:paraId="4B1E5AC5" w14:textId="77777777" w:rsidTr="008C7BE2">
        <w:trPr>
          <w:cnfStyle w:val="000000100000" w:firstRow="0" w:lastRow="0" w:firstColumn="0" w:lastColumn="0" w:oddVBand="0" w:evenVBand="0" w:oddHBand="1" w:evenHBand="0" w:firstRowFirstColumn="0" w:firstRowLastColumn="0" w:lastRowFirstColumn="0" w:lastRowLastColumn="0"/>
        </w:trPr>
        <w:tc>
          <w:tcPr>
            <w:tcW w:w="2800" w:type="dxa"/>
          </w:tcPr>
          <w:p w14:paraId="439D417B" w14:textId="77777777" w:rsidR="00E23A14" w:rsidRPr="00EC1720" w:rsidRDefault="00E23A14" w:rsidP="00EC1720">
            <w:pPr>
              <w:pStyle w:val="TextoTablas"/>
            </w:pPr>
            <w:r w:rsidRPr="00EC1720">
              <w:lastRenderedPageBreak/>
              <w:t>Trabajador dependiente — período incompleto.</w:t>
            </w:r>
          </w:p>
        </w:tc>
        <w:tc>
          <w:tcPr>
            <w:tcW w:w="7118" w:type="dxa"/>
          </w:tcPr>
          <w:p w14:paraId="02E5F616" w14:textId="77777777" w:rsidR="00E23A14" w:rsidRPr="00EC1720" w:rsidRDefault="00E23A14" w:rsidP="00EC1720">
            <w:pPr>
              <w:pStyle w:val="TextoTablas"/>
            </w:pPr>
            <w:r w:rsidRPr="00EC1720">
              <w:t>IBC proporcional: (salario mensual ÷ 30) × días laborados. Se reporta el número de días en la PILA.</w:t>
            </w:r>
          </w:p>
        </w:tc>
      </w:tr>
      <w:tr w:rsidR="00E23A14" w:rsidRPr="00EC1720" w14:paraId="3D69FFF1" w14:textId="77777777" w:rsidTr="008C7BE2">
        <w:tc>
          <w:tcPr>
            <w:tcW w:w="2800" w:type="dxa"/>
          </w:tcPr>
          <w:p w14:paraId="668D1AEC" w14:textId="77777777" w:rsidR="00E23A14" w:rsidRPr="00EC1720" w:rsidRDefault="00E23A14" w:rsidP="00EC1720">
            <w:pPr>
              <w:pStyle w:val="TextoTablas"/>
            </w:pPr>
            <w:r w:rsidRPr="00EC1720">
              <w:t>Contratista independiente.</w:t>
            </w:r>
          </w:p>
        </w:tc>
        <w:tc>
          <w:tcPr>
            <w:tcW w:w="7118" w:type="dxa"/>
          </w:tcPr>
          <w:p w14:paraId="4E4EBB08" w14:textId="77777777" w:rsidR="00E23A14" w:rsidRPr="00EC1720" w:rsidRDefault="00E23A14" w:rsidP="00EC1720">
            <w:pPr>
              <w:pStyle w:val="TextoTablas"/>
            </w:pPr>
            <w:r w:rsidRPr="00EC1720">
              <w:t>IBC = 40 % del valor mensualizado del contrato. Mínimo 1 SMLMV, máximo 25 SMLMV.</w:t>
            </w:r>
          </w:p>
        </w:tc>
      </w:tr>
      <w:tr w:rsidR="00E23A14" w:rsidRPr="00EC1720" w14:paraId="010AE9B1" w14:textId="77777777" w:rsidTr="008C7BE2">
        <w:trPr>
          <w:cnfStyle w:val="000000100000" w:firstRow="0" w:lastRow="0" w:firstColumn="0" w:lastColumn="0" w:oddVBand="0" w:evenVBand="0" w:oddHBand="1" w:evenHBand="0" w:firstRowFirstColumn="0" w:firstRowLastColumn="0" w:lastRowFirstColumn="0" w:lastRowLastColumn="0"/>
        </w:trPr>
        <w:tc>
          <w:tcPr>
            <w:tcW w:w="2800" w:type="dxa"/>
          </w:tcPr>
          <w:p w14:paraId="268C98D1" w14:textId="77777777" w:rsidR="00E23A14" w:rsidRPr="00EC1720" w:rsidRDefault="00E23A14" w:rsidP="00EC1720">
            <w:pPr>
              <w:pStyle w:val="TextoTablas"/>
            </w:pPr>
            <w:r w:rsidRPr="00EC1720">
              <w:t>Trabajador independiente sin contrato.</w:t>
            </w:r>
          </w:p>
        </w:tc>
        <w:tc>
          <w:tcPr>
            <w:tcW w:w="7118" w:type="dxa"/>
          </w:tcPr>
          <w:p w14:paraId="7ACF62B6" w14:textId="77777777" w:rsidR="00E23A14" w:rsidRPr="00EC1720" w:rsidRDefault="00E23A14" w:rsidP="00EC1720">
            <w:pPr>
              <w:pStyle w:val="TextoTablas"/>
            </w:pPr>
            <w:r w:rsidRPr="00EC1720">
              <w:t>IBC declarado por el trabajador sobre sus ingresos netos. Mínimo 1 SMLMV.</w:t>
            </w:r>
          </w:p>
        </w:tc>
      </w:tr>
      <w:tr w:rsidR="00E23A14" w:rsidRPr="00EC1720" w14:paraId="327CE20D" w14:textId="77777777" w:rsidTr="008C7BE2">
        <w:tc>
          <w:tcPr>
            <w:tcW w:w="2800" w:type="dxa"/>
          </w:tcPr>
          <w:p w14:paraId="1AB3CB4C" w14:textId="77777777" w:rsidR="00E23A14" w:rsidRPr="00EC1720" w:rsidRDefault="00E23A14" w:rsidP="00EC1720">
            <w:pPr>
              <w:pStyle w:val="TextoTablas"/>
            </w:pPr>
            <w:r w:rsidRPr="00EC1720">
              <w:t>Aprendiz SENA — fase productiva.</w:t>
            </w:r>
          </w:p>
        </w:tc>
        <w:tc>
          <w:tcPr>
            <w:tcW w:w="7118" w:type="dxa"/>
          </w:tcPr>
          <w:p w14:paraId="7E8AEB96" w14:textId="044DE57A" w:rsidR="00E23A14" w:rsidRPr="00EC1720" w:rsidRDefault="00E23A14" w:rsidP="00EC1720">
            <w:pPr>
              <w:pStyle w:val="TextoTablas"/>
            </w:pPr>
            <w:r w:rsidRPr="00EC1720">
              <w:t>IBC = 75</w:t>
            </w:r>
            <w:r w:rsidR="00130C4C">
              <w:t xml:space="preserve"> </w:t>
            </w:r>
            <w:r w:rsidRPr="00EC1720">
              <w:t>% del SMLMV (sin certificación de disponibilidad) o 100</w:t>
            </w:r>
            <w:r w:rsidR="00130C4C">
              <w:t xml:space="preserve"> </w:t>
            </w:r>
            <w:r w:rsidRPr="00EC1720">
              <w:t>% del SMLMV (con certificación). Solo salud y ARL en fase lectiva.</w:t>
            </w:r>
          </w:p>
        </w:tc>
      </w:tr>
      <w:tr w:rsidR="00E23A14" w:rsidRPr="00EC1720" w14:paraId="778D1985" w14:textId="77777777" w:rsidTr="008C7BE2">
        <w:trPr>
          <w:cnfStyle w:val="000000100000" w:firstRow="0" w:lastRow="0" w:firstColumn="0" w:lastColumn="0" w:oddVBand="0" w:evenVBand="0" w:oddHBand="1" w:evenHBand="0" w:firstRowFirstColumn="0" w:firstRowLastColumn="0" w:lastRowFirstColumn="0" w:lastRowLastColumn="0"/>
        </w:trPr>
        <w:tc>
          <w:tcPr>
            <w:tcW w:w="2800" w:type="dxa"/>
          </w:tcPr>
          <w:p w14:paraId="7BF8D506" w14:textId="77777777" w:rsidR="00E23A14" w:rsidRPr="00EC1720" w:rsidRDefault="00E23A14" w:rsidP="00EC1720">
            <w:pPr>
              <w:pStyle w:val="TextoTablas"/>
            </w:pPr>
            <w:r w:rsidRPr="00EC1720">
              <w:t>Pensionado activo.</w:t>
            </w:r>
          </w:p>
        </w:tc>
        <w:tc>
          <w:tcPr>
            <w:tcW w:w="7118" w:type="dxa"/>
          </w:tcPr>
          <w:p w14:paraId="14115240" w14:textId="77777777" w:rsidR="00E23A14" w:rsidRPr="00EC1720" w:rsidRDefault="00E23A14" w:rsidP="00EC1720">
            <w:pPr>
              <w:pStyle w:val="TextoTablas"/>
            </w:pPr>
            <w:r w:rsidRPr="00EC1720">
              <w:t>Cotiza solo a salud: 12 % sobre el valor de la pensión. No cotiza a pensión ni a ARL.</w:t>
            </w:r>
          </w:p>
        </w:tc>
      </w:tr>
    </w:tbl>
    <w:p w14:paraId="5C4D78F2" w14:textId="77777777" w:rsidR="0004317C" w:rsidRDefault="0004317C" w:rsidP="00E23A14"/>
    <w:p w14:paraId="7D13A3EB" w14:textId="08732A06" w:rsidR="00E23A14" w:rsidRDefault="00E23A14" w:rsidP="00130C4C">
      <w:r>
        <w:t>La tabla evidencia que no existe un único método de cálculo del IBC aplicable a todos los cotizantes</w:t>
      </w:r>
      <w:r w:rsidR="00130C4C">
        <w:t>;</w:t>
      </w:r>
      <w:r>
        <w:t xml:space="preserve"> cada tipo de vinculación tiene sus propias reglas, y el profesional de nómina debe identificar con precisión la modalidad contractual de cada trabajador antes de determinar la base sobre la que se liquidarán los aportes al sistema, pues un método aplicado incorrectamente produce automáticamente aportes incorrectos a todos los componentes del sistema de seguridad social.</w:t>
      </w:r>
    </w:p>
    <w:p w14:paraId="4CB43929" w14:textId="15CBA856" w:rsidR="00E23A14" w:rsidRDefault="00E23A14" w:rsidP="00E23A14">
      <w:r>
        <w:t>Antes de aplicar cualquier fórmula de cálculo, es necesario comprender qué representa el IBC dentro del sistema de seguridad social y por qué su determinación precisa protege simultáneamente al trabajador, al empleador y a las entidades del sistema.</w:t>
      </w:r>
    </w:p>
    <w:p w14:paraId="4105B413" w14:textId="77777777" w:rsidR="00423F9D" w:rsidRDefault="00423F9D" w:rsidP="00E23A14"/>
    <w:p w14:paraId="1401BE81" w14:textId="3A2FEB43" w:rsidR="00512463" w:rsidRDefault="00512463" w:rsidP="00512463">
      <w:pPr>
        <w:pStyle w:val="Ttulo2"/>
      </w:pPr>
      <w:bookmarkStart w:id="2" w:name="_Toc235611003"/>
      <w:r w:rsidRPr="00512463">
        <w:lastRenderedPageBreak/>
        <w:t>Concepto e importancia del IBC</w:t>
      </w:r>
      <w:bookmarkEnd w:id="2"/>
    </w:p>
    <w:p w14:paraId="1D3C5816" w14:textId="4323E9FE" w:rsidR="00B11638" w:rsidRPr="00B11638" w:rsidRDefault="00B11638" w:rsidP="00B11638">
      <w:pPr>
        <w:rPr>
          <w:lang w:val="es-419" w:eastAsia="es-CO"/>
        </w:rPr>
      </w:pPr>
      <w:r w:rsidRPr="00B11638">
        <w:rPr>
          <w:lang w:val="es-419" w:eastAsia="es-CO"/>
        </w:rPr>
        <w:t>El Índice Base de Cotización es la medida monetaria que el sistema de seguridad social utiliza como referencia para calcular tanto las obligaciones de cotización como las prestaciones económicas a las que tiene derecho el afiliado. Esta dualidad es fundamental</w:t>
      </w:r>
      <w:r w:rsidR="00130C4C">
        <w:rPr>
          <w:lang w:val="es-419" w:eastAsia="es-CO"/>
        </w:rPr>
        <w:t>;</w:t>
      </w:r>
      <w:r w:rsidRPr="00B11638">
        <w:rPr>
          <w:lang w:val="es-419" w:eastAsia="es-CO"/>
        </w:rPr>
        <w:t xml:space="preserve"> el IBC no solo determina cuánto debe pagar el empleador y el trabajador al sistema, sino que también define cuánto recibirá el trabajador cuando tenga derecho a una prestación económica como una incapacidad, una licencia de maternidad o, en el largo plazo, el monto de su pensión. Por ello, un IBC </w:t>
      </w:r>
      <w:proofErr w:type="spellStart"/>
      <w:r w:rsidRPr="00B11638">
        <w:rPr>
          <w:lang w:val="es-419" w:eastAsia="es-CO"/>
        </w:rPr>
        <w:t>subdeclarado</w:t>
      </w:r>
      <w:proofErr w:type="spellEnd"/>
      <w:r w:rsidRPr="00B11638">
        <w:rPr>
          <w:lang w:val="es-419" w:eastAsia="es-CO"/>
        </w:rPr>
        <w:t xml:space="preserve"> no solo es un incumplimiento normativo</w:t>
      </w:r>
      <w:r w:rsidR="00130C4C">
        <w:rPr>
          <w:lang w:val="es-419" w:eastAsia="es-CO"/>
        </w:rPr>
        <w:t>,</w:t>
      </w:r>
      <w:r w:rsidRPr="00B11638">
        <w:rPr>
          <w:lang w:val="es-419" w:eastAsia="es-CO"/>
        </w:rPr>
        <w:t xml:space="preserve"> sino una afectación directa a los derechos presentes y futuros del trabajador.</w:t>
      </w:r>
    </w:p>
    <w:p w14:paraId="2F0C099A" w14:textId="4F9BE304" w:rsidR="0004317C" w:rsidRDefault="00B11638" w:rsidP="00B11638">
      <w:pPr>
        <w:rPr>
          <w:lang w:val="es-419" w:eastAsia="es-CO"/>
        </w:rPr>
      </w:pPr>
      <w:r w:rsidRPr="00B11638">
        <w:rPr>
          <w:lang w:val="es-419" w:eastAsia="es-CO"/>
        </w:rPr>
        <w:t>Desde la perspectiva del empleador, el IBC es la base sobre la cual se construye el presupuesto de los costos laborales no salariales relacionados con la seguridad social. Un IBC correctamente calculado permite proyectar con precisión el costo total de la nómina, incluyendo los aportes del empleador a salud (8,5 %), pensión (12 %), ARL (variable) y parafiscales (9 %), lo que representa en promedio entre el 30 % y el 40 % del salario bruto del trabajador. Este porcentaje de carga prestacional es una variable crítica en la toma de decisiones de contratación y en la gestión del presupuesto del área de talento humano. La siguiente figura ilustra los cuatro componentes del sistema sobre los cuales se aplican los porcentajes de cotización a partir del IBC.</w:t>
      </w:r>
    </w:p>
    <w:p w14:paraId="2A60F143" w14:textId="77777777" w:rsidR="0004317C" w:rsidRDefault="0004317C">
      <w:pPr>
        <w:spacing w:before="0" w:after="160" w:line="259" w:lineRule="auto"/>
        <w:ind w:firstLine="0"/>
        <w:rPr>
          <w:lang w:val="es-419" w:eastAsia="es-CO"/>
        </w:rPr>
      </w:pPr>
      <w:r>
        <w:rPr>
          <w:lang w:val="es-419" w:eastAsia="es-CO"/>
        </w:rPr>
        <w:br w:type="page"/>
      </w:r>
    </w:p>
    <w:p w14:paraId="5B6146C6" w14:textId="16D67459" w:rsidR="00B11638" w:rsidRDefault="00B11638" w:rsidP="0004317C">
      <w:pPr>
        <w:pStyle w:val="Figura"/>
        <w:rPr>
          <w:lang w:val="es-419"/>
        </w:rPr>
      </w:pPr>
      <w:r w:rsidRPr="00B11638">
        <w:rPr>
          <w:lang w:val="es-419"/>
        </w:rPr>
        <w:lastRenderedPageBreak/>
        <w:t>Impacto del IBC en los costos laborales del empleador</w:t>
      </w:r>
    </w:p>
    <w:p w14:paraId="58A3B0F0" w14:textId="77526E97" w:rsidR="0004317C" w:rsidRDefault="0004317C" w:rsidP="0004317C">
      <w:pPr>
        <w:ind w:firstLine="0"/>
        <w:rPr>
          <w:lang w:val="es-419" w:eastAsia="es-CO"/>
        </w:rPr>
      </w:pPr>
      <w:r>
        <w:rPr>
          <w:noProof/>
          <w:lang w:val="es-419" w:eastAsia="es-CO"/>
        </w:rPr>
        <w:drawing>
          <wp:inline distT="0" distB="0" distL="0" distR="0" wp14:anchorId="04DC3259" wp14:editId="5AA29E5F">
            <wp:extent cx="6324600" cy="2971800"/>
            <wp:effectExtent l="0" t="0" r="0" b="0"/>
            <wp:docPr id="2" name="Imagen 2" descr="Figura 1. Impacto del IBC en los costos laborales del empleador.&#10;Esquema que explica los componentes del Ingreso Base de Cotización (IBC). En el centro se ubica el concepto central, IBC, del cual se desprenden cuatro categorías de aportes: 1. Aportes a Salud, referidos a la contribución del empleador al sistema de salud. 2. Aportes a Pensión, que son la inversión en el futuro financiero de los empleados. 3. Aportes a ARL, enfocados en la protección contra accidentes laborales y enfermedades profesionales. 4. Aportes a Parafiscales, destinados al financiamiento de programas sociales y educativo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Figura 1. Impacto del IBC en los costos laborales del empleador.&#10;Esquema que explica los componentes del Ingreso Base de Cotización (IBC). En el centro se ubica el concepto central, IBC, del cual se desprenden cuatro categorías de aportes: 1. Aportes a Salud, referidos a la contribución del empleador al sistema de salud. 2. Aportes a Pensión, que son la inversión en el futuro financiero de los empleados. 3. Aportes a ARL, enfocados en la protección contra accidentes laborales y enfermedades profesionales. 4. Aportes a Parafiscales, destinados al financiamiento de programas sociales y educativos.&#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24600" cy="2971800"/>
                    </a:xfrm>
                    <a:prstGeom prst="rect">
                      <a:avLst/>
                    </a:prstGeom>
                    <a:noFill/>
                    <a:ln>
                      <a:noFill/>
                    </a:ln>
                  </pic:spPr>
                </pic:pic>
              </a:graphicData>
            </a:graphic>
          </wp:inline>
        </w:drawing>
      </w:r>
    </w:p>
    <w:p w14:paraId="335F2425" w14:textId="2BA29262" w:rsidR="00B11638" w:rsidRDefault="00B11638" w:rsidP="00B11638">
      <w:pPr>
        <w:rPr>
          <w:lang w:val="es-419" w:eastAsia="es-CO"/>
        </w:rPr>
      </w:pPr>
    </w:p>
    <w:p w14:paraId="7FB00438" w14:textId="77777777" w:rsidR="00E35C7E" w:rsidRPr="00E35C7E" w:rsidRDefault="00E35C7E" w:rsidP="00E35C7E">
      <w:pPr>
        <w:rPr>
          <w:lang w:val="es-419" w:eastAsia="es-CO"/>
        </w:rPr>
      </w:pPr>
      <w:r w:rsidRPr="00E35C7E">
        <w:rPr>
          <w:lang w:val="es-419" w:eastAsia="es-CO"/>
        </w:rPr>
        <w:t>Para las entidades del sistema, el IBC es la información de entrada que permite calcular correctamente los subsidios de incapacidad, los aportes a las cuentas individuales de pensión, la base para determinar la mesada pensional y el valor de las indemnizaciones por invalidez o muerte. Una declaración incorrecta del IBC por parte del empleador genera inconsistencias en los registros de las entidades que pueden afectar al trabajador años después de ocurrida la liquidación. La UGPP ha desarrollado modelos analíticos sofisticados que detectan estas inconsistencias cruzando la información de la PILA con las declaraciones de renta, los contratos laborales reportados al Ministerio del Trabajo y otros registros administrativos.</w:t>
      </w:r>
    </w:p>
    <w:p w14:paraId="1E9EC9DD" w14:textId="19754063" w:rsidR="00E35C7E" w:rsidRPr="00E35C7E" w:rsidRDefault="00E35C7E" w:rsidP="00E35C7E">
      <w:pPr>
        <w:rPr>
          <w:lang w:val="es-419" w:eastAsia="es-CO"/>
        </w:rPr>
      </w:pPr>
      <w:r w:rsidRPr="00E35C7E">
        <w:rPr>
          <w:lang w:val="es-419" w:eastAsia="es-CO"/>
        </w:rPr>
        <w:t>Finalmente, es importante comprender que el IBC tiene una dimensión dinámica</w:t>
      </w:r>
      <w:r w:rsidR="00130C4C">
        <w:rPr>
          <w:lang w:val="es-419" w:eastAsia="es-CO"/>
        </w:rPr>
        <w:t>;</w:t>
      </w:r>
      <w:r w:rsidRPr="00E35C7E">
        <w:rPr>
          <w:lang w:val="es-419" w:eastAsia="es-CO"/>
        </w:rPr>
        <w:t xml:space="preserve"> cambia con cada variación salarial, con cada novedad que afecta el número de días cotizados y con los incrementos anuales del SMLMV. El profesional de nómina debe </w:t>
      </w:r>
      <w:r w:rsidRPr="00E35C7E">
        <w:rPr>
          <w:lang w:val="es-419" w:eastAsia="es-CO"/>
        </w:rPr>
        <w:lastRenderedPageBreak/>
        <w:t>establecer rutinas de actualización del IBC en el sistema de información de la empresa, verificando que los cambios se reflejen oportunamente en la PILA del período correspondiente. El uso de software especializado facilita esta tarea, pero no elimina la necesidad del criterio experto para validar que las actualizaciones sean correctas y completas.</w:t>
      </w:r>
    </w:p>
    <w:p w14:paraId="4CB2DDF4" w14:textId="77777777" w:rsidR="00E35C7E" w:rsidRPr="00E35C7E" w:rsidRDefault="00E35C7E" w:rsidP="00E35C7E">
      <w:pPr>
        <w:rPr>
          <w:lang w:val="es-419" w:eastAsia="es-CO"/>
        </w:rPr>
      </w:pPr>
      <w:r w:rsidRPr="00E35C7E">
        <w:rPr>
          <w:lang w:val="es-419" w:eastAsia="es-CO"/>
        </w:rPr>
        <w:t>Una consecuencia práctica de la importancia del IBC es que su cálculo debe documentarse adecuadamente para cada trabajador y cada período de liquidación. El área de nómina debe ser capaz de explicar los siguientes elementos:</w:t>
      </w:r>
    </w:p>
    <w:p w14:paraId="04F9BC1A" w14:textId="01A37EE7" w:rsidR="00E35C7E" w:rsidRPr="00E35C7E" w:rsidRDefault="00E35C7E" w:rsidP="00F65317">
      <w:pPr>
        <w:pStyle w:val="Prrafodelista"/>
        <w:numPr>
          <w:ilvl w:val="0"/>
          <w:numId w:val="7"/>
        </w:numPr>
        <w:rPr>
          <w:lang w:val="es-419" w:eastAsia="es-CO"/>
        </w:rPr>
      </w:pPr>
      <w:r w:rsidRPr="00E35C7E">
        <w:rPr>
          <w:b/>
          <w:bCs/>
          <w:lang w:val="es-419" w:eastAsia="es-CO"/>
        </w:rPr>
        <w:t>Método de determinación del IBC:</w:t>
      </w:r>
      <w:r w:rsidRPr="00E35C7E">
        <w:rPr>
          <w:lang w:val="es-419" w:eastAsia="es-CO"/>
        </w:rPr>
        <w:t xml:space="preserve"> procedimiento aplicado para calcular la base de cotización del trabajador en el período, según su tipo de vinculación y remuneración.</w:t>
      </w:r>
    </w:p>
    <w:p w14:paraId="7BB1D87B" w14:textId="1CFD1125" w:rsidR="00E35C7E" w:rsidRPr="00E35C7E" w:rsidRDefault="00E35C7E" w:rsidP="00F65317">
      <w:pPr>
        <w:pStyle w:val="Prrafodelista"/>
        <w:numPr>
          <w:ilvl w:val="0"/>
          <w:numId w:val="7"/>
        </w:numPr>
        <w:rPr>
          <w:lang w:val="es-419" w:eastAsia="es-CO"/>
        </w:rPr>
      </w:pPr>
      <w:r w:rsidRPr="00E35C7E">
        <w:rPr>
          <w:b/>
          <w:bCs/>
          <w:lang w:val="es-419" w:eastAsia="es-CO"/>
        </w:rPr>
        <w:t>Conceptos salariales incluidos:</w:t>
      </w:r>
      <w:r w:rsidRPr="00E35C7E">
        <w:rPr>
          <w:lang w:val="es-419" w:eastAsia="es-CO"/>
        </w:rPr>
        <w:t xml:space="preserve"> pagos de naturaleza salarial habitual que se incorporaron al IBC conforme al artículo 127 del CST, como el salario básico, las horas extras habituales y las comisiones regulares.</w:t>
      </w:r>
    </w:p>
    <w:p w14:paraId="70CAD8DF" w14:textId="42BF57E3" w:rsidR="00E35C7E" w:rsidRPr="00E35C7E" w:rsidRDefault="00E35C7E" w:rsidP="00F65317">
      <w:pPr>
        <w:pStyle w:val="Prrafodelista"/>
        <w:numPr>
          <w:ilvl w:val="0"/>
          <w:numId w:val="7"/>
        </w:numPr>
        <w:rPr>
          <w:lang w:val="es-419" w:eastAsia="es-CO"/>
        </w:rPr>
      </w:pPr>
      <w:r w:rsidRPr="00E35C7E">
        <w:rPr>
          <w:b/>
          <w:bCs/>
          <w:lang w:val="es-419" w:eastAsia="es-CO"/>
        </w:rPr>
        <w:t>Conceptos excluidos y su justificación:</w:t>
      </w:r>
      <w:r w:rsidRPr="00E35C7E">
        <w:rPr>
          <w:lang w:val="es-419" w:eastAsia="es-CO"/>
        </w:rPr>
        <w:t xml:space="preserve"> pagos expresamente catalogados como no salariales que se restaron del IBC conforme al artículo 128 del CST, con el fundamento normativo que respalda cada exclusión.</w:t>
      </w:r>
    </w:p>
    <w:p w14:paraId="30EEDC52" w14:textId="740868F7" w:rsidR="00E35C7E" w:rsidRPr="00E35C7E" w:rsidRDefault="00E35C7E" w:rsidP="00F65317">
      <w:pPr>
        <w:pStyle w:val="Prrafodelista"/>
        <w:numPr>
          <w:ilvl w:val="0"/>
          <w:numId w:val="7"/>
        </w:numPr>
        <w:rPr>
          <w:lang w:val="es-419" w:eastAsia="es-CO"/>
        </w:rPr>
      </w:pPr>
      <w:r w:rsidRPr="00E35C7E">
        <w:rPr>
          <w:b/>
          <w:bCs/>
          <w:lang w:val="es-419" w:eastAsia="es-CO"/>
        </w:rPr>
        <w:t>Cálculo de proporcionales en períodos incompletos:</w:t>
      </w:r>
      <w:r w:rsidRPr="00E35C7E">
        <w:rPr>
          <w:lang w:val="es-419" w:eastAsia="es-CO"/>
        </w:rPr>
        <w:t xml:space="preserve"> resultado de aplicar la fórmula (IBC mensual ÷ 30) × días cotizados, con indicación del número de días reportados en la PILA.</w:t>
      </w:r>
    </w:p>
    <w:p w14:paraId="568712A0" w14:textId="77777777" w:rsidR="00E35C7E" w:rsidRPr="00E35C7E" w:rsidRDefault="00E35C7E" w:rsidP="00E35C7E">
      <w:pPr>
        <w:rPr>
          <w:lang w:val="es-419" w:eastAsia="es-CO"/>
        </w:rPr>
      </w:pPr>
      <w:r w:rsidRPr="00E35C7E">
        <w:rPr>
          <w:lang w:val="es-419" w:eastAsia="es-CO"/>
        </w:rPr>
        <w:t>Esta documentación es la evidencia de soporte que el empleador presentará ante la UGPP en caso de una investigación y que le permitirá demostrar que la liquidación se realizó de acuerdo con la normativa vigente.</w:t>
      </w:r>
    </w:p>
    <w:p w14:paraId="51603836" w14:textId="542A86C4" w:rsidR="00E35C7E" w:rsidRDefault="00E35C7E" w:rsidP="00E35C7E">
      <w:pPr>
        <w:rPr>
          <w:lang w:val="es-419" w:eastAsia="es-CO"/>
        </w:rPr>
      </w:pPr>
      <w:r w:rsidRPr="00E35C7E">
        <w:rPr>
          <w:lang w:val="es-419" w:eastAsia="es-CO"/>
        </w:rPr>
        <w:lastRenderedPageBreak/>
        <w:t>Establecida la importancia del IBC, el siguiente paso es identificar con exactitud qué conceptos salariales lo integran y cuáles deben excluirse de él, pues esta distinción es la que permite construir una base de cotización correcta desde el inicio del proceso de liquidación.</w:t>
      </w:r>
    </w:p>
    <w:p w14:paraId="7E80E038" w14:textId="77777777" w:rsidR="0004317C" w:rsidRPr="00B11638" w:rsidRDefault="0004317C" w:rsidP="00E35C7E">
      <w:pPr>
        <w:rPr>
          <w:lang w:val="es-419" w:eastAsia="es-CO"/>
        </w:rPr>
      </w:pPr>
    </w:p>
    <w:p w14:paraId="44F53A7A" w14:textId="1DA489DC" w:rsidR="00512463" w:rsidRDefault="00512463" w:rsidP="00512463">
      <w:pPr>
        <w:pStyle w:val="Ttulo2"/>
      </w:pPr>
      <w:bookmarkStart w:id="3" w:name="_Toc235611004"/>
      <w:r w:rsidRPr="00512463">
        <w:t>Elementos que integran y excluyen el IBC</w:t>
      </w:r>
      <w:bookmarkEnd w:id="3"/>
    </w:p>
    <w:p w14:paraId="68F3091F" w14:textId="77777777" w:rsidR="00E35C7E" w:rsidRPr="00E35C7E" w:rsidRDefault="00E35C7E" w:rsidP="00E35C7E">
      <w:pPr>
        <w:rPr>
          <w:lang w:val="es-419" w:eastAsia="es-CO"/>
        </w:rPr>
      </w:pPr>
      <w:r w:rsidRPr="00E35C7E">
        <w:rPr>
          <w:lang w:val="es-419" w:eastAsia="es-CO"/>
        </w:rPr>
        <w:t>La determinación de los conceptos que integran el IBC se fundamenta en el concepto legal de salario establecido en los artículos 127 y 128 del Código Sustantivo del Trabajo. El artículo 127 establece que constituye salario todo lo que recibe el trabajador en dinero o en especie como contraprestación directa del servicio, incluyendo el salario básico, las horas extras, los recargos nocturnos, los recargos dominicales y festivos, las comisiones habituales, las primas habituales, los viáticos permanentes y las demás sumas que habitual y regularmente reciba el trabajador como retribución directa de los servicios prestados. Todos estos conceptos deben incluirse en el IBC.</w:t>
      </w:r>
    </w:p>
    <w:p w14:paraId="4EB1EAC3" w14:textId="77777777" w:rsidR="00E35C7E" w:rsidRPr="00E35C7E" w:rsidRDefault="00E35C7E" w:rsidP="00E35C7E">
      <w:pPr>
        <w:rPr>
          <w:lang w:val="es-419" w:eastAsia="es-CO"/>
        </w:rPr>
      </w:pPr>
      <w:r w:rsidRPr="00E35C7E">
        <w:rPr>
          <w:lang w:val="es-419" w:eastAsia="es-CO"/>
        </w:rPr>
        <w:t xml:space="preserve">El artículo 128 del CST establece los pagos que no constituyen el salario y que, por tanto, deben excluirse del IBC. Estos pagos no salariales incluyen: </w:t>
      </w:r>
    </w:p>
    <w:p w14:paraId="1A882863" w14:textId="592560D1" w:rsidR="00E35C7E" w:rsidRPr="0004317C" w:rsidRDefault="00E35C7E" w:rsidP="00F65317">
      <w:pPr>
        <w:pStyle w:val="Prrafodelista"/>
        <w:numPr>
          <w:ilvl w:val="0"/>
          <w:numId w:val="9"/>
        </w:numPr>
        <w:rPr>
          <w:lang w:val="es-419" w:eastAsia="es-CO"/>
        </w:rPr>
      </w:pPr>
      <w:r w:rsidRPr="0004317C">
        <w:rPr>
          <w:b/>
          <w:bCs/>
          <w:lang w:val="es-419" w:eastAsia="es-CO"/>
        </w:rPr>
        <w:t>Pagos ocasionales por liberalidad del empleador:</w:t>
      </w:r>
      <w:r w:rsidRPr="0004317C">
        <w:rPr>
          <w:lang w:val="es-419" w:eastAsia="es-CO"/>
        </w:rPr>
        <w:t xml:space="preserve"> sumas que el empleador entrega de manera esporádica y sin obligación contractual, como primas, bonificaciones o gratificaciones ocasionales.</w:t>
      </w:r>
    </w:p>
    <w:p w14:paraId="748226DE" w14:textId="10E44C7F" w:rsidR="00E35C7E" w:rsidRPr="0004317C" w:rsidRDefault="00E35C7E" w:rsidP="00F65317">
      <w:pPr>
        <w:pStyle w:val="Prrafodelista"/>
        <w:numPr>
          <w:ilvl w:val="0"/>
          <w:numId w:val="9"/>
        </w:numPr>
        <w:rPr>
          <w:lang w:val="es-419" w:eastAsia="es-CO"/>
        </w:rPr>
      </w:pPr>
      <w:r w:rsidRPr="0004317C">
        <w:rPr>
          <w:b/>
          <w:bCs/>
          <w:lang w:val="es-419" w:eastAsia="es-CO"/>
        </w:rPr>
        <w:t>Recargos y horas extras no habituales:</w:t>
      </w:r>
      <w:r w:rsidRPr="0004317C">
        <w:rPr>
          <w:lang w:val="es-419" w:eastAsia="es-CO"/>
        </w:rPr>
        <w:t xml:space="preserve"> valores recibidos por concepto de trabajo nocturno, horas extras y recargos cuando son excepcionales y no forman parte de la remuneración regular del trabajador.</w:t>
      </w:r>
    </w:p>
    <w:p w14:paraId="401A08BC" w14:textId="18F58EEF" w:rsidR="00E35C7E" w:rsidRPr="0004317C" w:rsidRDefault="00E35C7E" w:rsidP="00F65317">
      <w:pPr>
        <w:pStyle w:val="Prrafodelista"/>
        <w:numPr>
          <w:ilvl w:val="0"/>
          <w:numId w:val="9"/>
        </w:numPr>
        <w:rPr>
          <w:lang w:val="es-419" w:eastAsia="es-CO"/>
        </w:rPr>
      </w:pPr>
      <w:r w:rsidRPr="0004317C">
        <w:rPr>
          <w:b/>
          <w:bCs/>
          <w:lang w:val="es-419" w:eastAsia="es-CO"/>
        </w:rPr>
        <w:lastRenderedPageBreak/>
        <w:t>Auxilios de cesantías e intereses sobre cesantías:</w:t>
      </w:r>
      <w:r w:rsidRPr="0004317C">
        <w:rPr>
          <w:lang w:val="es-419" w:eastAsia="es-CO"/>
        </w:rPr>
        <w:t xml:space="preserve"> prestaciones sociales establecidas en la ley que no corresponden a una retribución directa del servicio y, por tanto, no integran el IBC.</w:t>
      </w:r>
    </w:p>
    <w:p w14:paraId="41CDF854" w14:textId="49ED0F18" w:rsidR="00E35C7E" w:rsidRPr="0004317C" w:rsidRDefault="00E35C7E" w:rsidP="00F65317">
      <w:pPr>
        <w:pStyle w:val="Prrafodelista"/>
        <w:numPr>
          <w:ilvl w:val="0"/>
          <w:numId w:val="9"/>
        </w:numPr>
        <w:rPr>
          <w:lang w:val="es-419" w:eastAsia="es-CO"/>
        </w:rPr>
      </w:pPr>
      <w:r w:rsidRPr="0004317C">
        <w:rPr>
          <w:b/>
          <w:bCs/>
          <w:lang w:val="es-419" w:eastAsia="es-CO"/>
        </w:rPr>
        <w:t>Subsidios de alimentación, transporte y vivienda:</w:t>
      </w:r>
      <w:r w:rsidRPr="0004317C">
        <w:rPr>
          <w:lang w:val="es-419" w:eastAsia="es-CO"/>
        </w:rPr>
        <w:t xml:space="preserve"> auxilios que el empleador otorga como ayuda al trabajador cuando no constituyen contraprestación directa del servicio prestado.</w:t>
      </w:r>
    </w:p>
    <w:p w14:paraId="15BC74CD" w14:textId="599CED0D" w:rsidR="00E35C7E" w:rsidRPr="0004317C" w:rsidRDefault="00E35C7E" w:rsidP="00F65317">
      <w:pPr>
        <w:pStyle w:val="Prrafodelista"/>
        <w:numPr>
          <w:ilvl w:val="0"/>
          <w:numId w:val="9"/>
        </w:numPr>
        <w:rPr>
          <w:lang w:val="es-419" w:eastAsia="es-CO"/>
        </w:rPr>
      </w:pPr>
      <w:r w:rsidRPr="0004317C">
        <w:rPr>
          <w:b/>
          <w:bCs/>
          <w:lang w:val="es-419" w:eastAsia="es-CO"/>
        </w:rPr>
        <w:t>Beneficios pactados expresamente como no salariales:</w:t>
      </w:r>
      <w:r w:rsidRPr="0004317C">
        <w:rPr>
          <w:lang w:val="es-419" w:eastAsia="es-CO"/>
        </w:rPr>
        <w:t xml:space="preserve"> pagos acordados entre las partes en el contrato o en la convención colectiva como no constitutivos de salario, siempre que el total de estos acuerdos no supere el 40 % de la remuneración total.</w:t>
      </w:r>
    </w:p>
    <w:p w14:paraId="79D99E7B" w14:textId="58F47803" w:rsidR="00E35C7E" w:rsidRPr="00E35C7E" w:rsidRDefault="00E35C7E" w:rsidP="00E35C7E">
      <w:pPr>
        <w:rPr>
          <w:lang w:val="es-419" w:eastAsia="es-CO"/>
        </w:rPr>
      </w:pPr>
      <w:r w:rsidRPr="00E35C7E">
        <w:rPr>
          <w:lang w:val="es-419" w:eastAsia="es-CO"/>
        </w:rPr>
        <w:t>El dominio de estos cinco conceptos no salariales protege al empleador de dos riesgos opuestos</w:t>
      </w:r>
      <w:r w:rsidR="00130C4C">
        <w:rPr>
          <w:lang w:val="es-419" w:eastAsia="es-CO"/>
        </w:rPr>
        <w:t>:</w:t>
      </w:r>
      <w:r w:rsidRPr="00E35C7E">
        <w:rPr>
          <w:lang w:val="es-419" w:eastAsia="es-CO"/>
        </w:rPr>
        <w:t xml:space="preserve"> incluirlos indebidamente en el IBC genera un sobrepago de aportes, y excluirlos cuando sí constituyen salario, genera una </w:t>
      </w:r>
      <w:proofErr w:type="spellStart"/>
      <w:r w:rsidRPr="00E35C7E">
        <w:rPr>
          <w:lang w:val="es-419" w:eastAsia="es-CO"/>
        </w:rPr>
        <w:t>subdeclaración</w:t>
      </w:r>
      <w:proofErr w:type="spellEnd"/>
      <w:r w:rsidRPr="00E35C7E">
        <w:rPr>
          <w:lang w:val="es-419" w:eastAsia="es-CO"/>
        </w:rPr>
        <w:t xml:space="preserve"> que la UGPP detecta y sanciona. La correcta clasificación de cada pago es, por tanto, una responsabilidad técnica que exige criterio normativo y revisión permanente de la estructura salarial de la organización.</w:t>
      </w:r>
    </w:p>
    <w:p w14:paraId="2CA1D5DD" w14:textId="497207D6" w:rsidR="00E35C7E" w:rsidRPr="00E35C7E" w:rsidRDefault="00E35C7E" w:rsidP="00E35C7E">
      <w:pPr>
        <w:rPr>
          <w:lang w:val="es-419" w:eastAsia="es-CO"/>
        </w:rPr>
      </w:pPr>
      <w:r w:rsidRPr="00E35C7E">
        <w:rPr>
          <w:lang w:val="es-419" w:eastAsia="es-CO"/>
        </w:rPr>
        <w:t>Un concepto que frecuentemente genera confusión en la determinación del IBC es el auxilio de transporte. Este auxilio, fijado anualmente por el Gobierno Nacional, no constituye salario y</w:t>
      </w:r>
      <w:r w:rsidR="00E04561">
        <w:rPr>
          <w:lang w:val="es-419" w:eastAsia="es-CO"/>
        </w:rPr>
        <w:t>,</w:t>
      </w:r>
      <w:r w:rsidRPr="00E35C7E">
        <w:rPr>
          <w:lang w:val="es-419" w:eastAsia="es-CO"/>
        </w:rPr>
        <w:t xml:space="preserve"> por tanto</w:t>
      </w:r>
      <w:r w:rsidR="00E04561">
        <w:rPr>
          <w:lang w:val="es-419" w:eastAsia="es-CO"/>
        </w:rPr>
        <w:t>,</w:t>
      </w:r>
      <w:r w:rsidRPr="00E35C7E">
        <w:rPr>
          <w:lang w:val="es-419" w:eastAsia="es-CO"/>
        </w:rPr>
        <w:t xml:space="preserve"> no hace parte del IBC para efectos de cotización a seguridad social.</w:t>
      </w:r>
      <w:r w:rsidR="00E04561">
        <w:rPr>
          <w:lang w:val="es-419" w:eastAsia="es-CO"/>
        </w:rPr>
        <w:t xml:space="preserve"> </w:t>
      </w:r>
      <w:r w:rsidRPr="00E35C7E">
        <w:rPr>
          <w:lang w:val="es-419" w:eastAsia="es-CO"/>
        </w:rPr>
        <w:t>Sin embargo, sí debe incluirse en la base de liquidación de las prestaciones sociales</w:t>
      </w:r>
      <w:r w:rsidR="00E04561">
        <w:rPr>
          <w:lang w:val="es-419" w:eastAsia="es-CO"/>
        </w:rPr>
        <w:t>,</w:t>
      </w:r>
      <w:r w:rsidRPr="00E35C7E">
        <w:rPr>
          <w:lang w:val="es-419" w:eastAsia="es-CO"/>
        </w:rPr>
        <w:t xml:space="preserve"> prima de servicios, cesantías y vacaciones, pues el artículo 7 de la Ley 1 de 1963 así lo establece expresamente. Esta diferencia de tratamiento entre la base de cotización a seguridad social y la base de liquidación de prestaciones sociales </w:t>
      </w:r>
      <w:r w:rsidRPr="00E35C7E">
        <w:rPr>
          <w:lang w:val="es-419" w:eastAsia="es-CO"/>
        </w:rPr>
        <w:lastRenderedPageBreak/>
        <w:t>es una de las confusiones más frecuentes en la práctica y debe ser claramente comprendida por el profesional de nómina.</w:t>
      </w:r>
    </w:p>
    <w:p w14:paraId="4C49703F" w14:textId="1833E10C" w:rsidR="00E35C7E" w:rsidRDefault="00E35C7E" w:rsidP="00E35C7E">
      <w:pPr>
        <w:rPr>
          <w:lang w:val="es-419" w:eastAsia="es-CO"/>
        </w:rPr>
      </w:pPr>
      <w:r w:rsidRPr="00E35C7E">
        <w:rPr>
          <w:lang w:val="es-419" w:eastAsia="es-CO"/>
        </w:rPr>
        <w:t>Los viáticos merecen un análisis particular porque su tratamiento depende de su naturaleza. Los viáticos que el trabajador recibe para sufragar gastos de alojamiento, alimentación y transporte cuando debe desplazarse por razones del servicio, y que se liquidan con base en los gastos reales incurridos, no constituyen salario y no se incluyen en el IBC. Por el contrario, los viáticos que de manera permanente y regular recibe el trabajador como complemento de su salario</w:t>
      </w:r>
      <w:r w:rsidR="00E04561">
        <w:rPr>
          <w:lang w:val="es-419" w:eastAsia="es-CO"/>
        </w:rPr>
        <w:t xml:space="preserve">, </w:t>
      </w:r>
      <w:r w:rsidRPr="00E35C7E">
        <w:rPr>
          <w:lang w:val="es-419" w:eastAsia="es-CO"/>
        </w:rPr>
        <w:t>independientemente de si se desplaza o no</w:t>
      </w:r>
      <w:r w:rsidR="00E04561">
        <w:rPr>
          <w:lang w:val="es-419" w:eastAsia="es-CO"/>
        </w:rPr>
        <w:t>,</w:t>
      </w:r>
      <w:r w:rsidRPr="00E35C7E">
        <w:rPr>
          <w:lang w:val="es-419" w:eastAsia="es-CO"/>
        </w:rPr>
        <w:t xml:space="preserve"> sí constituyen salario y deben incluirse en el IBC. La habitualidad y la retribución directa del servicio son los criterios que definen si un viático es salarial o no.</w:t>
      </w:r>
    </w:p>
    <w:p w14:paraId="39942D6C" w14:textId="6E21B5B1" w:rsidR="00E35C7E" w:rsidRDefault="00E35C7E" w:rsidP="00E35C7E">
      <w:pPr>
        <w:rPr>
          <w:lang w:val="es-419" w:eastAsia="es-CO"/>
        </w:rPr>
      </w:pPr>
      <w:r w:rsidRPr="00E35C7E">
        <w:rPr>
          <w:lang w:val="es-419" w:eastAsia="es-CO"/>
        </w:rPr>
        <w:t>Un pago integra el IBC cuando el trabajador lo recibe de manera regular como retribución directa de su trabajo. Cuando el pago es ocasional, obedece a la liberalidad del empleador o constituye una ayuda sin relación directa con el servicio prestado, se excluye del IBC y no genera obligación de cotización sobre ese valor.</w:t>
      </w:r>
    </w:p>
    <w:p w14:paraId="4BC03F1D" w14:textId="77777777" w:rsidR="00E35C7E" w:rsidRPr="00E35C7E" w:rsidRDefault="00E35C7E" w:rsidP="00E35C7E">
      <w:pPr>
        <w:rPr>
          <w:lang w:val="es-419" w:eastAsia="es-CO"/>
        </w:rPr>
      </w:pPr>
      <w:r w:rsidRPr="00E35C7E">
        <w:rPr>
          <w:lang w:val="es-419" w:eastAsia="es-CO"/>
        </w:rPr>
        <w:t>Las horas extras y los recargos nocturnos, dominicales y festivos deben incluirse en el IBC cuando son habituales. Su tratamiento frente a la base de cotización depende de la regularidad con que se paguen:</w:t>
      </w:r>
    </w:p>
    <w:p w14:paraId="29420AAA" w14:textId="119004D1" w:rsidR="00E35C7E" w:rsidRPr="0004317C" w:rsidRDefault="00E35C7E" w:rsidP="00F65317">
      <w:pPr>
        <w:pStyle w:val="Prrafodelista"/>
        <w:numPr>
          <w:ilvl w:val="0"/>
          <w:numId w:val="10"/>
        </w:numPr>
        <w:rPr>
          <w:lang w:val="es-419" w:eastAsia="es-CO"/>
        </w:rPr>
      </w:pPr>
      <w:r w:rsidRPr="0004317C">
        <w:rPr>
          <w:b/>
          <w:bCs/>
          <w:lang w:val="es-419" w:eastAsia="es-CO"/>
        </w:rPr>
        <w:t>Horas extras habituales:</w:t>
      </w:r>
      <w:r w:rsidRPr="0004317C">
        <w:rPr>
          <w:lang w:val="es-419" w:eastAsia="es-CO"/>
        </w:rPr>
        <w:t xml:space="preserve"> el trabajador las recibe de manera regular y permanente como parte de su remuneración normal; por tanto, integran el IBC y generan obligación de cotización sobre ese valor.</w:t>
      </w:r>
    </w:p>
    <w:p w14:paraId="659FDF0B" w14:textId="42C0E0C7" w:rsidR="00E35C7E" w:rsidRPr="0004317C" w:rsidRDefault="00E35C7E" w:rsidP="00F65317">
      <w:pPr>
        <w:pStyle w:val="Prrafodelista"/>
        <w:numPr>
          <w:ilvl w:val="0"/>
          <w:numId w:val="10"/>
        </w:numPr>
        <w:rPr>
          <w:lang w:val="es-419" w:eastAsia="es-CO"/>
        </w:rPr>
      </w:pPr>
      <w:r w:rsidRPr="0004317C">
        <w:rPr>
          <w:b/>
          <w:bCs/>
          <w:lang w:val="es-419" w:eastAsia="es-CO"/>
        </w:rPr>
        <w:t>Horas extras eventuales o excepcionales:</w:t>
      </w:r>
      <w:r w:rsidRPr="0004317C">
        <w:rPr>
          <w:lang w:val="es-419" w:eastAsia="es-CO"/>
        </w:rPr>
        <w:t xml:space="preserve"> no forman parte de la remuneración regular del trabajador; por tanto, pueden acordarse como no constitutivas de salario y excluirse del IBC.</w:t>
      </w:r>
    </w:p>
    <w:p w14:paraId="413C872E" w14:textId="77777777" w:rsidR="00E35C7E" w:rsidRPr="00E35C7E" w:rsidRDefault="00E35C7E" w:rsidP="00E35C7E">
      <w:pPr>
        <w:rPr>
          <w:lang w:val="es-419" w:eastAsia="es-CO"/>
        </w:rPr>
      </w:pPr>
      <w:r w:rsidRPr="00E35C7E">
        <w:rPr>
          <w:lang w:val="es-419" w:eastAsia="es-CO"/>
        </w:rPr>
        <w:lastRenderedPageBreak/>
        <w:t>En la práctica, cuando las horas extras se pagan todos los meses de manera consistente, la UGPP las considera habituales y exige que se incluyan en el IBC, independientemente de lo que establezca el contrato. Por esta razón, el profesional de nómina debe monitorear los patrones de pago y ajustar el IBC en el período en que detecte que se han convertido en un componente regular de la remuneración del trabajador.</w:t>
      </w:r>
    </w:p>
    <w:p w14:paraId="4A1AD5EA" w14:textId="77777777" w:rsidR="00E35C7E" w:rsidRPr="00E35C7E" w:rsidRDefault="00E35C7E" w:rsidP="00E35C7E">
      <w:pPr>
        <w:rPr>
          <w:lang w:val="es-419" w:eastAsia="es-CO"/>
        </w:rPr>
      </w:pPr>
      <w:r w:rsidRPr="00E35C7E">
        <w:rPr>
          <w:lang w:val="es-419" w:eastAsia="es-CO"/>
        </w:rPr>
        <w:t xml:space="preserve">La siguiente tabla sintetiza los principales conceptos salariales y no salariales con su tratamiento frente al IBC y el fundamento normativo que respalda cada determinación, con el propósito de facilitar la identificación rápida de los elementos que deben incluirse o excluirse de la base de cotización. </w:t>
      </w:r>
    </w:p>
    <w:p w14:paraId="1E44311A" w14:textId="0B5BB6B6" w:rsidR="00E35C7E" w:rsidRDefault="00E35C7E" w:rsidP="0004317C">
      <w:pPr>
        <w:pStyle w:val="Tabla"/>
        <w:rPr>
          <w:lang w:val="es-419" w:eastAsia="es-CO"/>
        </w:rPr>
      </w:pPr>
      <w:r w:rsidRPr="00E35C7E">
        <w:rPr>
          <w:lang w:val="es-419" w:eastAsia="es-CO"/>
        </w:rPr>
        <w:t>Conceptos que integran y excluyen el IBC</w:t>
      </w:r>
    </w:p>
    <w:tbl>
      <w:tblPr>
        <w:tblStyle w:val="SENA"/>
        <w:tblW w:w="9918" w:type="dxa"/>
        <w:tblLayout w:type="fixed"/>
        <w:tblLook w:val="0020" w:firstRow="1" w:lastRow="0" w:firstColumn="0" w:lastColumn="0" w:noHBand="0" w:noVBand="0"/>
      </w:tblPr>
      <w:tblGrid>
        <w:gridCol w:w="2726"/>
        <w:gridCol w:w="7192"/>
      </w:tblGrid>
      <w:tr w:rsidR="00E35C7E" w:rsidRPr="00E35C7E" w14:paraId="01E5F3B5" w14:textId="77777777" w:rsidTr="008C7BE2">
        <w:trPr>
          <w:cnfStyle w:val="100000000000" w:firstRow="1" w:lastRow="0" w:firstColumn="0" w:lastColumn="0" w:oddVBand="0" w:evenVBand="0" w:oddHBand="0" w:evenHBand="0" w:firstRowFirstColumn="0" w:firstRowLastColumn="0" w:lastRowFirstColumn="0" w:lastRowLastColumn="0"/>
          <w:trHeight w:val="474"/>
          <w:tblHeader/>
        </w:trPr>
        <w:tc>
          <w:tcPr>
            <w:tcW w:w="2726" w:type="dxa"/>
          </w:tcPr>
          <w:p w14:paraId="05A8ED09" w14:textId="77777777" w:rsidR="00E35C7E" w:rsidRPr="0004317C" w:rsidRDefault="00E35C7E" w:rsidP="0004317C">
            <w:pPr>
              <w:pStyle w:val="TextoTablas"/>
              <w:rPr>
                <w:b w:val="0"/>
                <w:bCs/>
              </w:rPr>
            </w:pPr>
            <w:r w:rsidRPr="0004317C">
              <w:rPr>
                <w:bCs/>
              </w:rPr>
              <w:t>Concepto</w:t>
            </w:r>
          </w:p>
        </w:tc>
        <w:tc>
          <w:tcPr>
            <w:tcW w:w="7192" w:type="dxa"/>
          </w:tcPr>
          <w:p w14:paraId="3C9A2E10" w14:textId="77777777" w:rsidR="00E35C7E" w:rsidRPr="0004317C" w:rsidRDefault="00E35C7E" w:rsidP="0004317C">
            <w:pPr>
              <w:pStyle w:val="TextoTablas"/>
              <w:rPr>
                <w:b w:val="0"/>
                <w:bCs/>
              </w:rPr>
            </w:pPr>
            <w:r w:rsidRPr="0004317C">
              <w:rPr>
                <w:bCs/>
              </w:rPr>
              <w:t>¿Integra o excluye el IBC? — Fundamento legal</w:t>
            </w:r>
          </w:p>
        </w:tc>
      </w:tr>
      <w:tr w:rsidR="00E35C7E" w:rsidRPr="00E35C7E" w14:paraId="7E7A7197" w14:textId="77777777" w:rsidTr="008C7BE2">
        <w:trPr>
          <w:cnfStyle w:val="000000100000" w:firstRow="0" w:lastRow="0" w:firstColumn="0" w:lastColumn="0" w:oddVBand="0" w:evenVBand="0" w:oddHBand="1" w:evenHBand="0" w:firstRowFirstColumn="0" w:firstRowLastColumn="0" w:lastRowFirstColumn="0" w:lastRowLastColumn="0"/>
          <w:trHeight w:val="489"/>
        </w:trPr>
        <w:tc>
          <w:tcPr>
            <w:tcW w:w="2726" w:type="dxa"/>
          </w:tcPr>
          <w:p w14:paraId="6DC31CB3" w14:textId="77777777" w:rsidR="00E35C7E" w:rsidRPr="00E35C7E" w:rsidRDefault="00E35C7E" w:rsidP="0004317C">
            <w:pPr>
              <w:pStyle w:val="TextoTablas"/>
              <w:rPr>
                <w:szCs w:val="24"/>
              </w:rPr>
            </w:pPr>
            <w:r w:rsidRPr="00E35C7E">
              <w:rPr>
                <w:szCs w:val="24"/>
              </w:rPr>
              <w:t>Salario básico mensual.</w:t>
            </w:r>
          </w:p>
        </w:tc>
        <w:tc>
          <w:tcPr>
            <w:tcW w:w="7192" w:type="dxa"/>
          </w:tcPr>
          <w:p w14:paraId="7130F6D6" w14:textId="77777777" w:rsidR="00E35C7E" w:rsidRPr="00E35C7E" w:rsidRDefault="00E35C7E" w:rsidP="0004317C">
            <w:pPr>
              <w:pStyle w:val="TextoTablas"/>
              <w:rPr>
                <w:szCs w:val="24"/>
              </w:rPr>
            </w:pPr>
            <w:r w:rsidRPr="00E35C7E">
              <w:rPr>
                <w:szCs w:val="24"/>
              </w:rPr>
              <w:t>Integra. Es el componente principal del IBC. Art. 127 CST.</w:t>
            </w:r>
          </w:p>
        </w:tc>
      </w:tr>
      <w:tr w:rsidR="00E35C7E" w:rsidRPr="00E35C7E" w14:paraId="4954A98C" w14:textId="77777777" w:rsidTr="008C7BE2">
        <w:trPr>
          <w:trHeight w:val="741"/>
        </w:trPr>
        <w:tc>
          <w:tcPr>
            <w:tcW w:w="2726" w:type="dxa"/>
          </w:tcPr>
          <w:p w14:paraId="3A64A5D1" w14:textId="77777777" w:rsidR="00E35C7E" w:rsidRPr="00E35C7E" w:rsidRDefault="00E35C7E" w:rsidP="0004317C">
            <w:pPr>
              <w:pStyle w:val="TextoTablas"/>
              <w:rPr>
                <w:szCs w:val="24"/>
              </w:rPr>
            </w:pPr>
            <w:r w:rsidRPr="00E35C7E">
              <w:rPr>
                <w:szCs w:val="24"/>
              </w:rPr>
              <w:t>Horas extras y recargos habituales.</w:t>
            </w:r>
          </w:p>
        </w:tc>
        <w:tc>
          <w:tcPr>
            <w:tcW w:w="7192" w:type="dxa"/>
          </w:tcPr>
          <w:p w14:paraId="423A156C" w14:textId="77777777" w:rsidR="00E35C7E" w:rsidRPr="00E35C7E" w:rsidRDefault="00E35C7E" w:rsidP="0004317C">
            <w:pPr>
              <w:pStyle w:val="TextoTablas"/>
              <w:rPr>
                <w:szCs w:val="24"/>
              </w:rPr>
            </w:pPr>
            <w:r w:rsidRPr="00E35C7E">
              <w:rPr>
                <w:szCs w:val="24"/>
              </w:rPr>
              <w:t>Integra. Si son regulares y permanentes, son salario. Art. 127 CST.</w:t>
            </w:r>
          </w:p>
        </w:tc>
      </w:tr>
      <w:tr w:rsidR="00E35C7E" w:rsidRPr="00E35C7E" w14:paraId="6446348D" w14:textId="77777777" w:rsidTr="008C7BE2">
        <w:trPr>
          <w:cnfStyle w:val="000000100000" w:firstRow="0" w:lastRow="0" w:firstColumn="0" w:lastColumn="0" w:oddVBand="0" w:evenVBand="0" w:oddHBand="1" w:evenHBand="0" w:firstRowFirstColumn="0" w:firstRowLastColumn="0" w:lastRowFirstColumn="0" w:lastRowLastColumn="0"/>
          <w:trHeight w:val="726"/>
        </w:trPr>
        <w:tc>
          <w:tcPr>
            <w:tcW w:w="2726" w:type="dxa"/>
          </w:tcPr>
          <w:p w14:paraId="4FF94D7B" w14:textId="77777777" w:rsidR="00E35C7E" w:rsidRPr="00E35C7E" w:rsidRDefault="00E35C7E" w:rsidP="0004317C">
            <w:pPr>
              <w:pStyle w:val="TextoTablas"/>
              <w:rPr>
                <w:szCs w:val="24"/>
              </w:rPr>
            </w:pPr>
            <w:r w:rsidRPr="00E35C7E">
              <w:rPr>
                <w:szCs w:val="24"/>
              </w:rPr>
              <w:t>Comisiones y primas habituales.</w:t>
            </w:r>
          </w:p>
        </w:tc>
        <w:tc>
          <w:tcPr>
            <w:tcW w:w="7192" w:type="dxa"/>
          </w:tcPr>
          <w:p w14:paraId="2A1E378F" w14:textId="77777777" w:rsidR="00E35C7E" w:rsidRPr="00E35C7E" w:rsidRDefault="00E35C7E" w:rsidP="0004317C">
            <w:pPr>
              <w:pStyle w:val="TextoTablas"/>
              <w:rPr>
                <w:szCs w:val="24"/>
              </w:rPr>
            </w:pPr>
            <w:r w:rsidRPr="00E35C7E">
              <w:rPr>
                <w:szCs w:val="24"/>
              </w:rPr>
              <w:t>Integra. Todo pago habitual como retribución directa es salario. Art. 127 CST.</w:t>
            </w:r>
          </w:p>
        </w:tc>
      </w:tr>
      <w:tr w:rsidR="00E35C7E" w:rsidRPr="00E35C7E" w14:paraId="4194D318" w14:textId="77777777" w:rsidTr="008C7BE2">
        <w:trPr>
          <w:trHeight w:val="741"/>
        </w:trPr>
        <w:tc>
          <w:tcPr>
            <w:tcW w:w="2726" w:type="dxa"/>
          </w:tcPr>
          <w:p w14:paraId="745AE9A0" w14:textId="77777777" w:rsidR="00E35C7E" w:rsidRPr="00E35C7E" w:rsidRDefault="00E35C7E" w:rsidP="0004317C">
            <w:pPr>
              <w:pStyle w:val="TextoTablas"/>
              <w:rPr>
                <w:szCs w:val="24"/>
              </w:rPr>
            </w:pPr>
            <w:r w:rsidRPr="00E35C7E">
              <w:rPr>
                <w:szCs w:val="24"/>
              </w:rPr>
              <w:t>Auxilio de transporte.</w:t>
            </w:r>
          </w:p>
        </w:tc>
        <w:tc>
          <w:tcPr>
            <w:tcW w:w="7192" w:type="dxa"/>
          </w:tcPr>
          <w:p w14:paraId="5EC1883F" w14:textId="77777777" w:rsidR="00E35C7E" w:rsidRPr="00E35C7E" w:rsidRDefault="00E35C7E" w:rsidP="0004317C">
            <w:pPr>
              <w:pStyle w:val="TextoTablas"/>
              <w:rPr>
                <w:szCs w:val="24"/>
              </w:rPr>
            </w:pPr>
            <w:r w:rsidRPr="00E35C7E">
              <w:rPr>
                <w:szCs w:val="24"/>
              </w:rPr>
              <w:t>Excluye del IBC. No es salario, aunque sí base de prestaciones. Ley 1 de 1963.</w:t>
            </w:r>
          </w:p>
        </w:tc>
      </w:tr>
      <w:tr w:rsidR="00E35C7E" w:rsidRPr="00E35C7E" w14:paraId="61CB60D4" w14:textId="77777777" w:rsidTr="008C7BE2">
        <w:trPr>
          <w:cnfStyle w:val="000000100000" w:firstRow="0" w:lastRow="0" w:firstColumn="0" w:lastColumn="0" w:oddVBand="0" w:evenVBand="0" w:oddHBand="1" w:evenHBand="0" w:firstRowFirstColumn="0" w:firstRowLastColumn="0" w:lastRowFirstColumn="0" w:lastRowLastColumn="0"/>
          <w:trHeight w:val="1007"/>
        </w:trPr>
        <w:tc>
          <w:tcPr>
            <w:tcW w:w="2726" w:type="dxa"/>
          </w:tcPr>
          <w:p w14:paraId="05732361" w14:textId="77777777" w:rsidR="00E35C7E" w:rsidRPr="00E35C7E" w:rsidRDefault="00E35C7E" w:rsidP="0004317C">
            <w:pPr>
              <w:pStyle w:val="TextoTablas"/>
              <w:rPr>
                <w:szCs w:val="24"/>
              </w:rPr>
            </w:pPr>
            <w:r w:rsidRPr="00E35C7E">
              <w:rPr>
                <w:szCs w:val="24"/>
              </w:rPr>
              <w:t>Viáticos para desplazamiento (gastos reales).</w:t>
            </w:r>
          </w:p>
        </w:tc>
        <w:tc>
          <w:tcPr>
            <w:tcW w:w="7192" w:type="dxa"/>
          </w:tcPr>
          <w:p w14:paraId="2D20E3AE" w14:textId="194D4DEC" w:rsidR="00E35C7E" w:rsidRPr="00E35C7E" w:rsidRDefault="00E35C7E" w:rsidP="0004317C">
            <w:pPr>
              <w:pStyle w:val="TextoTablas"/>
              <w:rPr>
                <w:szCs w:val="24"/>
              </w:rPr>
            </w:pPr>
            <w:r w:rsidRPr="00E35C7E">
              <w:rPr>
                <w:szCs w:val="24"/>
              </w:rPr>
              <w:t>Excluye. No son retribución del servicio</w:t>
            </w:r>
            <w:r w:rsidR="00E04561">
              <w:rPr>
                <w:szCs w:val="24"/>
              </w:rPr>
              <w:t>,</w:t>
            </w:r>
            <w:r w:rsidRPr="00E35C7E">
              <w:rPr>
                <w:szCs w:val="24"/>
              </w:rPr>
              <w:t xml:space="preserve"> sino reembolso de gastos. Art. 130 CST.</w:t>
            </w:r>
          </w:p>
        </w:tc>
      </w:tr>
      <w:tr w:rsidR="00E35C7E" w:rsidRPr="00E35C7E" w14:paraId="2A35DF23" w14:textId="77777777" w:rsidTr="008C7BE2">
        <w:trPr>
          <w:trHeight w:val="741"/>
        </w:trPr>
        <w:tc>
          <w:tcPr>
            <w:tcW w:w="2726" w:type="dxa"/>
          </w:tcPr>
          <w:p w14:paraId="524E7DF4" w14:textId="77777777" w:rsidR="00E35C7E" w:rsidRPr="00E35C7E" w:rsidRDefault="00E35C7E" w:rsidP="0004317C">
            <w:pPr>
              <w:pStyle w:val="TextoTablas"/>
              <w:rPr>
                <w:szCs w:val="24"/>
              </w:rPr>
            </w:pPr>
            <w:r w:rsidRPr="00E35C7E">
              <w:rPr>
                <w:szCs w:val="24"/>
              </w:rPr>
              <w:t>Bonificaciones ocasionales.</w:t>
            </w:r>
          </w:p>
        </w:tc>
        <w:tc>
          <w:tcPr>
            <w:tcW w:w="7192" w:type="dxa"/>
          </w:tcPr>
          <w:p w14:paraId="2842EAC9" w14:textId="77777777" w:rsidR="00E35C7E" w:rsidRPr="00E35C7E" w:rsidRDefault="00E35C7E" w:rsidP="0004317C">
            <w:pPr>
              <w:pStyle w:val="TextoTablas"/>
              <w:rPr>
                <w:szCs w:val="24"/>
              </w:rPr>
            </w:pPr>
            <w:r w:rsidRPr="00E35C7E">
              <w:rPr>
                <w:szCs w:val="24"/>
              </w:rPr>
              <w:t>Excluye. Son pagos por liberalidad, no retribución directa. Art. 128 CST.</w:t>
            </w:r>
          </w:p>
        </w:tc>
      </w:tr>
      <w:tr w:rsidR="00E35C7E" w:rsidRPr="00E35C7E" w14:paraId="243F16F3" w14:textId="77777777" w:rsidTr="008C7BE2">
        <w:trPr>
          <w:cnfStyle w:val="000000100000" w:firstRow="0" w:lastRow="0" w:firstColumn="0" w:lastColumn="0" w:oddVBand="0" w:evenVBand="0" w:oddHBand="1" w:evenHBand="0" w:firstRowFirstColumn="0" w:firstRowLastColumn="0" w:lastRowFirstColumn="0" w:lastRowLastColumn="0"/>
          <w:trHeight w:val="1007"/>
        </w:trPr>
        <w:tc>
          <w:tcPr>
            <w:tcW w:w="2726" w:type="dxa"/>
          </w:tcPr>
          <w:p w14:paraId="6FBE0B71" w14:textId="48900A03" w:rsidR="00E35C7E" w:rsidRPr="00E35C7E" w:rsidRDefault="00E35C7E" w:rsidP="0004317C">
            <w:pPr>
              <w:pStyle w:val="TextoTablas"/>
              <w:rPr>
                <w:szCs w:val="24"/>
              </w:rPr>
            </w:pPr>
            <w:r w:rsidRPr="00E35C7E">
              <w:rPr>
                <w:szCs w:val="24"/>
              </w:rPr>
              <w:lastRenderedPageBreak/>
              <w:t xml:space="preserve">Beneficios no salariales pactados (hasta 40 % </w:t>
            </w:r>
            <w:r w:rsidR="00E04561">
              <w:rPr>
                <w:szCs w:val="24"/>
              </w:rPr>
              <w:t xml:space="preserve">de </w:t>
            </w:r>
            <w:r w:rsidRPr="00E35C7E">
              <w:rPr>
                <w:szCs w:val="24"/>
              </w:rPr>
              <w:t>remuneración).</w:t>
            </w:r>
          </w:p>
        </w:tc>
        <w:tc>
          <w:tcPr>
            <w:tcW w:w="7192" w:type="dxa"/>
          </w:tcPr>
          <w:p w14:paraId="68C9E410" w14:textId="77777777" w:rsidR="00E35C7E" w:rsidRPr="00E35C7E" w:rsidRDefault="00E35C7E" w:rsidP="0004317C">
            <w:pPr>
              <w:pStyle w:val="TextoTablas"/>
              <w:rPr>
                <w:szCs w:val="24"/>
              </w:rPr>
            </w:pPr>
            <w:r w:rsidRPr="00E35C7E">
              <w:rPr>
                <w:szCs w:val="24"/>
              </w:rPr>
              <w:t>Excluye. Solo si están expresamente pactados como no salariales en el contrato o convención. Art. 128 CST.</w:t>
            </w:r>
          </w:p>
        </w:tc>
      </w:tr>
      <w:tr w:rsidR="00E35C7E" w:rsidRPr="00E35C7E" w14:paraId="6A85DEC8" w14:textId="77777777" w:rsidTr="008C7BE2">
        <w:trPr>
          <w:trHeight w:val="726"/>
        </w:trPr>
        <w:tc>
          <w:tcPr>
            <w:tcW w:w="2726" w:type="dxa"/>
          </w:tcPr>
          <w:p w14:paraId="236039A7" w14:textId="77777777" w:rsidR="00E35C7E" w:rsidRPr="00E35C7E" w:rsidRDefault="00E35C7E" w:rsidP="0004317C">
            <w:pPr>
              <w:pStyle w:val="TextoTablas"/>
              <w:rPr>
                <w:szCs w:val="24"/>
              </w:rPr>
            </w:pPr>
            <w:r w:rsidRPr="00E35C7E">
              <w:rPr>
                <w:szCs w:val="24"/>
              </w:rPr>
              <w:t>Prima de servicios legal.</w:t>
            </w:r>
          </w:p>
        </w:tc>
        <w:tc>
          <w:tcPr>
            <w:tcW w:w="7192" w:type="dxa"/>
          </w:tcPr>
          <w:p w14:paraId="3D90792F" w14:textId="77777777" w:rsidR="00E35C7E" w:rsidRPr="00E35C7E" w:rsidRDefault="00E35C7E" w:rsidP="0004317C">
            <w:pPr>
              <w:pStyle w:val="TextoTablas"/>
              <w:rPr>
                <w:szCs w:val="24"/>
              </w:rPr>
            </w:pPr>
            <w:r w:rsidRPr="00E35C7E">
              <w:rPr>
                <w:szCs w:val="24"/>
              </w:rPr>
              <w:t>Excluye del IBC (se excluye como base de cotización). Art. 306 CST.</w:t>
            </w:r>
          </w:p>
        </w:tc>
      </w:tr>
      <w:tr w:rsidR="00E35C7E" w:rsidRPr="00E35C7E" w14:paraId="6747AA59" w14:textId="77777777" w:rsidTr="008C7BE2">
        <w:trPr>
          <w:cnfStyle w:val="000000100000" w:firstRow="0" w:lastRow="0" w:firstColumn="0" w:lastColumn="0" w:oddVBand="0" w:evenVBand="0" w:oddHBand="1" w:evenHBand="0" w:firstRowFirstColumn="0" w:firstRowLastColumn="0" w:lastRowFirstColumn="0" w:lastRowLastColumn="0"/>
          <w:trHeight w:val="741"/>
        </w:trPr>
        <w:tc>
          <w:tcPr>
            <w:tcW w:w="2726" w:type="dxa"/>
          </w:tcPr>
          <w:p w14:paraId="2CC08F46" w14:textId="77777777" w:rsidR="00E35C7E" w:rsidRPr="00E35C7E" w:rsidRDefault="00E35C7E" w:rsidP="0004317C">
            <w:pPr>
              <w:pStyle w:val="TextoTablas"/>
              <w:rPr>
                <w:szCs w:val="24"/>
              </w:rPr>
            </w:pPr>
            <w:r w:rsidRPr="00E35C7E">
              <w:rPr>
                <w:szCs w:val="24"/>
              </w:rPr>
              <w:t>Cesantías e intereses sobre cesantías.</w:t>
            </w:r>
          </w:p>
        </w:tc>
        <w:tc>
          <w:tcPr>
            <w:tcW w:w="7192" w:type="dxa"/>
          </w:tcPr>
          <w:p w14:paraId="72454A7E" w14:textId="04D6A61D" w:rsidR="00E35C7E" w:rsidRPr="00E35C7E" w:rsidRDefault="00E35C7E" w:rsidP="0004317C">
            <w:pPr>
              <w:pStyle w:val="TextoTablas"/>
              <w:rPr>
                <w:szCs w:val="24"/>
              </w:rPr>
            </w:pPr>
            <w:r w:rsidRPr="00E35C7E">
              <w:rPr>
                <w:szCs w:val="24"/>
              </w:rPr>
              <w:t>Excluye. No son salario</w:t>
            </w:r>
            <w:r w:rsidR="00453268">
              <w:rPr>
                <w:szCs w:val="24"/>
              </w:rPr>
              <w:t>,</w:t>
            </w:r>
            <w:r w:rsidRPr="00E35C7E">
              <w:rPr>
                <w:szCs w:val="24"/>
              </w:rPr>
              <w:t xml:space="preserve"> sino prestaciones sociales. Art. 128 CST.</w:t>
            </w:r>
          </w:p>
        </w:tc>
      </w:tr>
    </w:tbl>
    <w:p w14:paraId="766C32E3" w14:textId="77777777" w:rsidR="0004317C" w:rsidRDefault="0004317C" w:rsidP="00E35C7E">
      <w:pPr>
        <w:rPr>
          <w:lang w:val="es-419" w:eastAsia="es-CO"/>
        </w:rPr>
      </w:pPr>
    </w:p>
    <w:p w14:paraId="364C2430" w14:textId="77399092" w:rsidR="00E35C7E" w:rsidRPr="00E35C7E" w:rsidRDefault="00E35C7E" w:rsidP="00E35C7E">
      <w:pPr>
        <w:rPr>
          <w:lang w:val="es-419" w:eastAsia="es-CO"/>
        </w:rPr>
      </w:pPr>
      <w:r w:rsidRPr="00E35C7E">
        <w:rPr>
          <w:lang w:val="es-419" w:eastAsia="es-CO"/>
        </w:rPr>
        <w:t xml:space="preserve">El dominio de los artículos 127 y 128 del CST y la aplicación correcta de sus distinciones, especialmente en los casos de mayor confusión como el auxilio de transporte, los viáticos y las horas extras habituales, constituyen la habilidad fundamental para calcular un IBC preciso. El subtema siguiente traduce estos conceptos en los procedimientos concretos de cálculo para los trabajadores dependientes. </w:t>
      </w:r>
    </w:p>
    <w:p w14:paraId="3D0BB844" w14:textId="2FE9266D" w:rsidR="00E35C7E" w:rsidRDefault="00E35C7E" w:rsidP="00E35C7E">
      <w:pPr>
        <w:rPr>
          <w:lang w:val="es-419" w:eastAsia="es-CO"/>
        </w:rPr>
      </w:pPr>
      <w:r w:rsidRPr="00E35C7E">
        <w:rPr>
          <w:lang w:val="es-419" w:eastAsia="es-CO"/>
        </w:rPr>
        <w:t>Con los conceptos que integran y excluyen el IBC claramente identificados, es posible avanzar hacia los procedimientos concretos de cálculo, comenzando por los trabajadores dependientes, que representan la mayor parte de los cotizantes en cualquier organización.</w:t>
      </w:r>
    </w:p>
    <w:p w14:paraId="1E73F619" w14:textId="77777777" w:rsidR="0004317C" w:rsidRPr="00E35C7E" w:rsidRDefault="0004317C" w:rsidP="00E35C7E">
      <w:pPr>
        <w:rPr>
          <w:lang w:val="es-419" w:eastAsia="es-CO"/>
        </w:rPr>
      </w:pPr>
    </w:p>
    <w:p w14:paraId="084417AB" w14:textId="121B6EF5" w:rsidR="00512463" w:rsidRDefault="00512463" w:rsidP="00512463">
      <w:pPr>
        <w:pStyle w:val="Ttulo2"/>
      </w:pPr>
      <w:bookmarkStart w:id="4" w:name="_Toc235611005"/>
      <w:r w:rsidRPr="00512463">
        <w:t>Cálculo del IBC: trabajadores dependientes</w:t>
      </w:r>
      <w:bookmarkEnd w:id="4"/>
    </w:p>
    <w:p w14:paraId="49D3B22D" w14:textId="0C0DF21C" w:rsidR="00E35C7E" w:rsidRPr="00E35C7E" w:rsidRDefault="00E35C7E" w:rsidP="00E35C7E">
      <w:pPr>
        <w:rPr>
          <w:lang w:val="es-419" w:eastAsia="es-CO"/>
        </w:rPr>
      </w:pPr>
      <w:r w:rsidRPr="00E35C7E">
        <w:rPr>
          <w:lang w:val="es-419" w:eastAsia="es-CO"/>
        </w:rPr>
        <w:t>Para los trabajadores dependientes con salario fijo, el cálculo del IBC es relativamente directo</w:t>
      </w:r>
      <w:r w:rsidR="00561A36">
        <w:rPr>
          <w:lang w:val="es-419" w:eastAsia="es-CO"/>
        </w:rPr>
        <w:t>;</w:t>
      </w:r>
      <w:r w:rsidRPr="00E35C7E">
        <w:rPr>
          <w:lang w:val="es-419" w:eastAsia="es-CO"/>
        </w:rPr>
        <w:t xml:space="preserve"> se toma el salario mensual pactado en el contrato y se le suman todos los pagos que tengan naturaleza salarial recibidos en el período, como horas extras habituales, comisiones regulares y primas habituales. A este total se le restan los </w:t>
      </w:r>
      <w:r w:rsidRPr="00E35C7E">
        <w:rPr>
          <w:lang w:val="es-419" w:eastAsia="es-CO"/>
        </w:rPr>
        <w:lastRenderedPageBreak/>
        <w:t>pagos expresamente catalogados como no salariales: el auxilio de transporte, los bonos de alimentación no salariales, los bonos de recreación y cualquier otro beneficio acordado como no constitutivo de salario en el contrato. El resultado es el IBC del período, que debe verificarse frente al límite mínimo de un SMLMV y el máximo de 25 SMLMV.</w:t>
      </w:r>
    </w:p>
    <w:p w14:paraId="59673646" w14:textId="0E0DE1DC" w:rsidR="00E35C7E" w:rsidRPr="00E35C7E" w:rsidRDefault="00E35C7E" w:rsidP="00E35C7E">
      <w:pPr>
        <w:rPr>
          <w:lang w:val="es-419" w:eastAsia="es-CO"/>
        </w:rPr>
      </w:pPr>
      <w:r w:rsidRPr="00E35C7E">
        <w:rPr>
          <w:lang w:val="es-419" w:eastAsia="es-CO"/>
        </w:rPr>
        <w:t>Para los trabajadores con salario variable</w:t>
      </w:r>
      <w:r w:rsidR="00561A36">
        <w:rPr>
          <w:lang w:val="es-419" w:eastAsia="es-CO"/>
        </w:rPr>
        <w:t>,</w:t>
      </w:r>
      <w:r w:rsidRPr="00E35C7E">
        <w:rPr>
          <w:lang w:val="es-419" w:eastAsia="es-CO"/>
        </w:rPr>
        <w:t xml:space="preserve"> como los vendedores a comisión, trabajadores por destajo o con bonificaciones variables, el cálculo del IBC requiere un procedimiento adicional. El artículo 19 del Decreto 1406 de 1999 establece que, para los trabajadores con salario variable, el IBC de cada período se calcula con base en el promedio del salario devengado en el trimestre anterior. Si el trabajador lleva menos de tres meses laborando, el promedio se calcula sobre el tiempo efectivamente trabajado. Esta regla del promedio trimestral tiene como propósito suavizar las variaciones entre períodos y garantizar que los aportes reflejen de manera más equilibrada la remuneración real del trabajador a lo largo del tiempo.</w:t>
      </w:r>
    </w:p>
    <w:p w14:paraId="417C78E8" w14:textId="695CE436" w:rsidR="00E35C7E" w:rsidRDefault="00E35C7E" w:rsidP="00E35C7E">
      <w:pPr>
        <w:rPr>
          <w:lang w:val="es-419" w:eastAsia="es-CO"/>
        </w:rPr>
      </w:pPr>
      <w:r w:rsidRPr="00E35C7E">
        <w:rPr>
          <w:lang w:val="es-419" w:eastAsia="es-CO"/>
        </w:rPr>
        <w:t>El cálculo del IBC para períodos incompletos, cuando el trabajador ingresa o se retira en una fecha diferente al primer o último día del mes, requiere la aplicación de la proporcionalidad por días. La fórmula es:</w:t>
      </w:r>
    </w:p>
    <w:p w14:paraId="2BABED52" w14:textId="5E7B07EF" w:rsidR="00E35C7E" w:rsidRDefault="00E35C7E" w:rsidP="00E35C7E">
      <w:pPr>
        <w:rPr>
          <w:lang w:val="es-419" w:eastAsia="es-CO"/>
        </w:rPr>
      </w:pPr>
      <w:r w:rsidRPr="00E35C7E">
        <w:rPr>
          <w:lang w:val="es-419" w:eastAsia="es-CO"/>
        </w:rPr>
        <w:t>IBC del período = (IBC mensual ÷ 30) × número de días trabajados.</w:t>
      </w:r>
    </w:p>
    <w:p w14:paraId="24234D4C" w14:textId="459E658D" w:rsidR="00E35C7E" w:rsidRPr="00E35C7E" w:rsidRDefault="00E35C7E" w:rsidP="00E35C7E">
      <w:pPr>
        <w:rPr>
          <w:lang w:val="es-419" w:eastAsia="es-CO"/>
        </w:rPr>
      </w:pPr>
      <w:r w:rsidRPr="00E35C7E">
        <w:rPr>
          <w:lang w:val="es-419" w:eastAsia="es-CO"/>
        </w:rPr>
        <w:t>Esta proporcionalidad se calcula sobre 30 días</w:t>
      </w:r>
      <w:r w:rsidR="00561A36">
        <w:rPr>
          <w:lang w:val="es-419" w:eastAsia="es-CO"/>
        </w:rPr>
        <w:t>,</w:t>
      </w:r>
      <w:r w:rsidRPr="00E35C7E">
        <w:rPr>
          <w:lang w:val="es-419" w:eastAsia="es-CO"/>
        </w:rPr>
        <w:t xml:space="preserve"> independientemente del número real de días del mes 28, 29, 30 o 31, por lo que el denominador siempre es 30. El número de días cotizados que se reporta en la PILA corresponde a los días calendarios del período de vinculación, sin descontar los días de descanso remunerado.</w:t>
      </w:r>
    </w:p>
    <w:p w14:paraId="79591B65" w14:textId="77777777" w:rsidR="00E35C7E" w:rsidRPr="00E35C7E" w:rsidRDefault="00E35C7E" w:rsidP="00E35C7E">
      <w:pPr>
        <w:rPr>
          <w:lang w:val="es-419" w:eastAsia="es-CO"/>
        </w:rPr>
      </w:pPr>
      <w:r w:rsidRPr="00E35C7E">
        <w:rPr>
          <w:lang w:val="es-419" w:eastAsia="es-CO"/>
        </w:rPr>
        <w:lastRenderedPageBreak/>
        <w:t>Una situación especial que el profesional de nómina debe manejar correctamente es la del trabajador que recibe en el mismo período pagos salariales y no salariales. En este caso, debe segregar con precisión cuál porción de los pagos recibidos es base de cotización y cuál está excluida. Por ejemplo, si un trabajador recibe en el mes un salario básico de $2.000.000, un bono de alimentación no salarial de $300.000 y horas extras habituales por $400.000, el IBC será $2.000.000 + $400.000 = $2.400.000, excluyendo el bono de alimentación. Documentar esta segregación en la liquidación de nómina es fundamental para poder sustentarla ante la UGPP en caso de una investigación.</w:t>
      </w:r>
    </w:p>
    <w:p w14:paraId="5794E1B6" w14:textId="77777777" w:rsidR="00E35C7E" w:rsidRPr="00E35C7E" w:rsidRDefault="00E35C7E" w:rsidP="00E35C7E">
      <w:pPr>
        <w:rPr>
          <w:lang w:val="es-419" w:eastAsia="es-CO"/>
        </w:rPr>
      </w:pPr>
      <w:r w:rsidRPr="00E35C7E">
        <w:rPr>
          <w:lang w:val="es-419" w:eastAsia="es-CO"/>
        </w:rPr>
        <w:t>El límite máximo del IBC de 25 SMLMV es especialmente relevante para los trabajadores con altos ingresos. Para el año 2026, con un SMLMV de $1.750.905, el IBC máximo es $1.750.905 × 25 = $43.772.625. Este tope tiene implicaciones concretas en tres aspectos de la gestión de nómina:</w:t>
      </w:r>
    </w:p>
    <w:p w14:paraId="05A3EA86" w14:textId="47C12C2D" w:rsidR="00E35C7E" w:rsidRPr="0089046B" w:rsidRDefault="00E35C7E" w:rsidP="00F65317">
      <w:pPr>
        <w:pStyle w:val="Prrafodelista"/>
        <w:numPr>
          <w:ilvl w:val="0"/>
          <w:numId w:val="11"/>
        </w:numPr>
        <w:rPr>
          <w:lang w:val="es-419" w:eastAsia="es-CO"/>
        </w:rPr>
      </w:pPr>
      <w:r w:rsidRPr="0089046B">
        <w:rPr>
          <w:b/>
          <w:bCs/>
          <w:lang w:val="es-419" w:eastAsia="es-CO"/>
        </w:rPr>
        <w:t>Tope del IBC para cotización:</w:t>
      </w:r>
      <w:r w:rsidRPr="0089046B">
        <w:rPr>
          <w:lang w:val="es-419" w:eastAsia="es-CO"/>
        </w:rPr>
        <w:t xml:space="preserve"> un trabajador que devenga un salario superior al IBC máximo solo cotiza sobre $43.772.625, independientemente de cuánto devengue realmente.</w:t>
      </w:r>
    </w:p>
    <w:p w14:paraId="7C68BD44" w14:textId="4B6D461C" w:rsidR="00E35C7E" w:rsidRPr="00E35C7E" w:rsidRDefault="00E35C7E" w:rsidP="0089046B">
      <w:pPr>
        <w:ind w:left="1416" w:firstLine="1"/>
        <w:rPr>
          <w:lang w:val="es-419" w:eastAsia="es-CO"/>
        </w:rPr>
      </w:pPr>
      <w:r w:rsidRPr="00E35C7E">
        <w:rPr>
          <w:lang w:val="es-419" w:eastAsia="es-CO"/>
        </w:rPr>
        <w:t>Ejemplo: la gerente Laura Gómez devenga $55.000.000 mensuales. Su IBC para liquidar los aportes a salud no es $55.000.000</w:t>
      </w:r>
      <w:r w:rsidR="0098538F">
        <w:rPr>
          <w:lang w:val="es-419" w:eastAsia="es-CO"/>
        </w:rPr>
        <w:t>,</w:t>
      </w:r>
      <w:r w:rsidRPr="00E35C7E">
        <w:rPr>
          <w:lang w:val="es-419" w:eastAsia="es-CO"/>
        </w:rPr>
        <w:t xml:space="preserve"> sino $43.772.625. El empleador calcula: $43.772.625 × 8,5 % = $3.720.673 de aporte patronal a salud. Si se calculara sobre el salario real, el aporte sería $55.000.000 × 8,5 % = $4.675.000, es decir, $954.327 más. El tope le representa al empleador un ahorro real en el costo laboral.</w:t>
      </w:r>
    </w:p>
    <w:p w14:paraId="5931C872" w14:textId="159ACC9F" w:rsidR="00E35C7E" w:rsidRPr="00E35C7E" w:rsidRDefault="00E35C7E" w:rsidP="00F65317">
      <w:pPr>
        <w:pStyle w:val="Prrafodelista"/>
        <w:numPr>
          <w:ilvl w:val="0"/>
          <w:numId w:val="11"/>
        </w:numPr>
        <w:rPr>
          <w:lang w:val="es-419" w:eastAsia="es-CO"/>
        </w:rPr>
      </w:pPr>
      <w:r w:rsidRPr="00E35C7E">
        <w:rPr>
          <w:b/>
          <w:bCs/>
          <w:lang w:val="es-419" w:eastAsia="es-CO"/>
        </w:rPr>
        <w:lastRenderedPageBreak/>
        <w:t>Aportes iguales para salarios distintos:</w:t>
      </w:r>
      <w:r w:rsidRPr="00E35C7E">
        <w:rPr>
          <w:lang w:val="es-419" w:eastAsia="es-CO"/>
        </w:rPr>
        <w:t xml:space="preserve"> dos trabajadores con salarios diferentes</w:t>
      </w:r>
      <w:r w:rsidR="0098538F">
        <w:rPr>
          <w:lang w:val="es-419" w:eastAsia="es-CO"/>
        </w:rPr>
        <w:t>,</w:t>
      </w:r>
      <w:r w:rsidRPr="00E35C7E">
        <w:rPr>
          <w:lang w:val="es-419" w:eastAsia="es-CO"/>
        </w:rPr>
        <w:t xml:space="preserve"> pero ambos superiores al IBC máximo</w:t>
      </w:r>
      <w:r w:rsidR="0098538F">
        <w:rPr>
          <w:lang w:val="es-419" w:eastAsia="es-CO"/>
        </w:rPr>
        <w:t>,</w:t>
      </w:r>
      <w:r w:rsidRPr="00E35C7E">
        <w:rPr>
          <w:lang w:val="es-419" w:eastAsia="es-CO"/>
        </w:rPr>
        <w:t xml:space="preserve"> pagan exactamente el mismo valor de aportes al sistema.</w:t>
      </w:r>
    </w:p>
    <w:p w14:paraId="65E3A93C" w14:textId="77777777" w:rsidR="00E35C7E" w:rsidRPr="00E35C7E" w:rsidRDefault="00E35C7E" w:rsidP="0089046B">
      <w:pPr>
        <w:ind w:left="1416" w:firstLine="1"/>
        <w:rPr>
          <w:lang w:val="es-419" w:eastAsia="es-CO"/>
        </w:rPr>
      </w:pPr>
      <w:r w:rsidRPr="00E35C7E">
        <w:rPr>
          <w:lang w:val="es-419" w:eastAsia="es-CO"/>
        </w:rPr>
        <w:t>Ejemplo: el director Carlos Medina devenga $45.000.000 y el vicepresidente Andrés Torres devenga $90.000.000. Los dos cotizan sobre $43.772.625. Aportes a pensión de cada uno: $43.772.625 × 16 % = $7.003.620. Carlos y Andrés generan el mismo costo de seguridad social al empleador, a pesar de que Andrés gana el doble.</w:t>
      </w:r>
    </w:p>
    <w:p w14:paraId="69E04B3F" w14:textId="4091E41F" w:rsidR="00E35C7E" w:rsidRPr="00E35C7E" w:rsidRDefault="00E35C7E" w:rsidP="00F65317">
      <w:pPr>
        <w:pStyle w:val="Prrafodelista"/>
        <w:numPr>
          <w:ilvl w:val="0"/>
          <w:numId w:val="11"/>
        </w:numPr>
        <w:rPr>
          <w:lang w:val="es-419" w:eastAsia="es-CO"/>
        </w:rPr>
      </w:pPr>
      <w:r w:rsidRPr="00E35C7E">
        <w:rPr>
          <w:b/>
          <w:bCs/>
          <w:lang w:val="es-419" w:eastAsia="es-CO"/>
        </w:rPr>
        <w:t>Impacto en la proyección del costo laboral:</w:t>
      </w:r>
      <w:r w:rsidRPr="00E35C7E">
        <w:rPr>
          <w:lang w:val="es-419" w:eastAsia="es-CO"/>
        </w:rPr>
        <w:t xml:space="preserve"> en los paquetes de compensación ejecutiva, el costo de seguridad social no crece proporcionalmente con el salario a partir del IBC máximo, lo que debe reflejarse correctamente en el presupuesto de personal.</w:t>
      </w:r>
    </w:p>
    <w:p w14:paraId="5CB391AB" w14:textId="77777777" w:rsidR="00E35C7E" w:rsidRPr="00E35C7E" w:rsidRDefault="00E35C7E" w:rsidP="0089046B">
      <w:pPr>
        <w:ind w:left="1416" w:firstLine="2"/>
        <w:rPr>
          <w:lang w:val="es-419" w:eastAsia="es-CO"/>
        </w:rPr>
      </w:pPr>
      <w:r w:rsidRPr="00E35C7E">
        <w:rPr>
          <w:lang w:val="es-419" w:eastAsia="es-CO"/>
        </w:rPr>
        <w:t>Ejemplo: la empresa proyecta contratar un gerente con salario de $50.000.000. El área financiera calcula erróneamente la carga prestacional sobre $50.000.000 × 30 % = $15.000.000. El valor correcto es $43.772.625 × 30 % = $13.131.788. La diferencia de $1.868.212 mensuales representa $22.418.544 de sobrestimación del costo laboral al año.</w:t>
      </w:r>
    </w:p>
    <w:p w14:paraId="3867DA53" w14:textId="77777777" w:rsidR="00E35C7E" w:rsidRPr="00E35C7E" w:rsidRDefault="00E35C7E" w:rsidP="00E35C7E">
      <w:pPr>
        <w:rPr>
          <w:lang w:val="es-419" w:eastAsia="es-CO"/>
        </w:rPr>
      </w:pPr>
      <w:r w:rsidRPr="00E35C7E">
        <w:rPr>
          <w:lang w:val="es-419" w:eastAsia="es-CO"/>
        </w:rPr>
        <w:t xml:space="preserve">El conocimiento preciso del IBC máximo evita tanto el </w:t>
      </w:r>
      <w:proofErr w:type="spellStart"/>
      <w:r w:rsidRPr="00E35C7E">
        <w:rPr>
          <w:lang w:val="es-419" w:eastAsia="es-CO"/>
        </w:rPr>
        <w:t>sobrecálculo</w:t>
      </w:r>
      <w:proofErr w:type="spellEnd"/>
      <w:r w:rsidRPr="00E35C7E">
        <w:rPr>
          <w:lang w:val="es-419" w:eastAsia="es-CO"/>
        </w:rPr>
        <w:t xml:space="preserve"> en la proyección presupuestal como el error opuesto de calcular aportes sobre el salario real cuando este supera el tope, situación que produciría un descuento indebido al trabajador y un pago en exceso al sistema que deberá gestionarse como una corrección ante el operador de la PILA.</w:t>
      </w:r>
    </w:p>
    <w:p w14:paraId="30EC3B49" w14:textId="7CC9ACEF" w:rsidR="00E35C7E" w:rsidRDefault="00E35C7E" w:rsidP="00E35C7E">
      <w:pPr>
        <w:rPr>
          <w:lang w:val="es-419" w:eastAsia="es-CO"/>
        </w:rPr>
      </w:pPr>
      <w:r w:rsidRPr="00E35C7E">
        <w:rPr>
          <w:lang w:val="es-419" w:eastAsia="es-CO"/>
        </w:rPr>
        <w:lastRenderedPageBreak/>
        <w:t>El dominio de los métodos de cálculo para trabajadores dependientes cubre la mayoría de los casos de la operación diaria; sin embargo, las organizaciones con estructuras de contratación diversas también vinculan contratistas independientes, cuya base de cotización se determina mediante una regla específica establecida en la normativa colombiana.</w:t>
      </w:r>
    </w:p>
    <w:p w14:paraId="5FFC5917" w14:textId="77777777" w:rsidR="0089046B" w:rsidRPr="00E35C7E" w:rsidRDefault="0089046B" w:rsidP="00E35C7E">
      <w:pPr>
        <w:rPr>
          <w:lang w:val="es-419" w:eastAsia="es-CO"/>
        </w:rPr>
      </w:pPr>
    </w:p>
    <w:p w14:paraId="526F5D1D" w14:textId="2A97A083" w:rsidR="00512463" w:rsidRDefault="00512463" w:rsidP="00512463">
      <w:pPr>
        <w:pStyle w:val="Ttulo2"/>
      </w:pPr>
      <w:bookmarkStart w:id="5" w:name="_Toc235611006"/>
      <w:r w:rsidRPr="00512463">
        <w:t>Cálculo del IBC: independientes y contratistas</w:t>
      </w:r>
      <w:bookmarkEnd w:id="5"/>
    </w:p>
    <w:p w14:paraId="6D3F85F9" w14:textId="77777777" w:rsidR="00E35C7E" w:rsidRPr="00E35C7E" w:rsidRDefault="00E35C7E" w:rsidP="00E35C7E">
      <w:pPr>
        <w:rPr>
          <w:lang w:val="es-419" w:eastAsia="es-CO"/>
        </w:rPr>
      </w:pPr>
      <w:r w:rsidRPr="00E35C7E">
        <w:rPr>
          <w:lang w:val="es-419" w:eastAsia="es-CO"/>
        </w:rPr>
        <w:t>Para los trabajadores independientes con contrato de prestación de servicios, el IBC se calcula sobre el 40 % del valor mensualizado del contrato. La mensualización consiste en dividir el valor total del contrato por el número de meses de duración y aplicar el 40 % a ese resultado. Por ejemplo, si un contrato tiene un valor de $15.000.000 y una duración de tres meses, el valor mensualizado es $5.000.000 y el IBC es $5.000.000 × 40 % = $2.000.000. Si el contrato tiene un valor mensual ya establecido en el documento, se aplica directamente el 40 % sin necesidad de mensualizar.</w:t>
      </w:r>
    </w:p>
    <w:p w14:paraId="3903857D" w14:textId="77777777" w:rsidR="00E35C7E" w:rsidRPr="00E35C7E" w:rsidRDefault="00E35C7E" w:rsidP="00E35C7E">
      <w:pPr>
        <w:rPr>
          <w:lang w:val="es-419" w:eastAsia="es-CO"/>
        </w:rPr>
      </w:pPr>
      <w:r w:rsidRPr="00E35C7E">
        <w:rPr>
          <w:lang w:val="es-419" w:eastAsia="es-CO"/>
        </w:rPr>
        <w:t xml:space="preserve">El fundamento de la base del 40 % radica en reconocer que el contratista independiente tiene costos de operación asociados a la prestación de sus servicios que el trabajador dependiente no tiene: </w:t>
      </w:r>
    </w:p>
    <w:p w14:paraId="5724D2C4" w14:textId="792724CC" w:rsidR="00E35C7E" w:rsidRPr="00E35C7E" w:rsidRDefault="00E35C7E" w:rsidP="00F65317">
      <w:pPr>
        <w:pStyle w:val="Prrafodelista"/>
        <w:numPr>
          <w:ilvl w:val="0"/>
          <w:numId w:val="11"/>
        </w:numPr>
        <w:rPr>
          <w:lang w:val="es-419" w:eastAsia="es-CO"/>
        </w:rPr>
      </w:pPr>
      <w:r w:rsidRPr="00E35C7E">
        <w:rPr>
          <w:lang w:val="es-419" w:eastAsia="es-CO"/>
        </w:rPr>
        <w:t xml:space="preserve">Arrendamiento o adecuación de la oficina de trabajo. </w:t>
      </w:r>
    </w:p>
    <w:p w14:paraId="3AB6988C" w14:textId="5B9FB603" w:rsidR="00E35C7E" w:rsidRPr="00E35C7E" w:rsidRDefault="00E35C7E" w:rsidP="00F65317">
      <w:pPr>
        <w:pStyle w:val="Prrafodelista"/>
        <w:numPr>
          <w:ilvl w:val="0"/>
          <w:numId w:val="11"/>
        </w:numPr>
        <w:rPr>
          <w:lang w:val="es-419" w:eastAsia="es-CO"/>
        </w:rPr>
      </w:pPr>
      <w:r w:rsidRPr="00E35C7E">
        <w:rPr>
          <w:lang w:val="es-419" w:eastAsia="es-CO"/>
        </w:rPr>
        <w:t xml:space="preserve">Adquisición y mantenimiento de equipos y herramientas. </w:t>
      </w:r>
    </w:p>
    <w:p w14:paraId="0A07098E" w14:textId="0E69C31B" w:rsidR="00E35C7E" w:rsidRPr="00E35C7E" w:rsidRDefault="00E35C7E" w:rsidP="00F65317">
      <w:pPr>
        <w:pStyle w:val="Prrafodelista"/>
        <w:numPr>
          <w:ilvl w:val="0"/>
          <w:numId w:val="11"/>
        </w:numPr>
        <w:rPr>
          <w:lang w:val="es-419" w:eastAsia="es-CO"/>
        </w:rPr>
      </w:pPr>
      <w:r w:rsidRPr="00E35C7E">
        <w:rPr>
          <w:lang w:val="es-419" w:eastAsia="es-CO"/>
        </w:rPr>
        <w:t xml:space="preserve">Servicios de conectividad, internet y comunicaciones. </w:t>
      </w:r>
    </w:p>
    <w:p w14:paraId="4B064621" w14:textId="529EBCA0" w:rsidR="00E35C7E" w:rsidRPr="00E35C7E" w:rsidRDefault="00E35C7E" w:rsidP="00F65317">
      <w:pPr>
        <w:pStyle w:val="Prrafodelista"/>
        <w:numPr>
          <w:ilvl w:val="0"/>
          <w:numId w:val="11"/>
        </w:numPr>
        <w:rPr>
          <w:lang w:val="es-419" w:eastAsia="es-CO"/>
        </w:rPr>
      </w:pPr>
      <w:r w:rsidRPr="00E35C7E">
        <w:rPr>
          <w:lang w:val="es-419" w:eastAsia="es-CO"/>
        </w:rPr>
        <w:t xml:space="preserve">Pago de seguros y pólizas de responsabilidad profesional. </w:t>
      </w:r>
    </w:p>
    <w:p w14:paraId="4ABD4D02" w14:textId="44E45AC9" w:rsidR="00E35C7E" w:rsidRPr="00E35C7E" w:rsidRDefault="00E35C7E" w:rsidP="00F65317">
      <w:pPr>
        <w:pStyle w:val="Prrafodelista"/>
        <w:numPr>
          <w:ilvl w:val="0"/>
          <w:numId w:val="11"/>
        </w:numPr>
        <w:rPr>
          <w:lang w:val="es-419" w:eastAsia="es-CO"/>
        </w:rPr>
      </w:pPr>
      <w:r w:rsidRPr="00E35C7E">
        <w:rPr>
          <w:lang w:val="es-419" w:eastAsia="es-CO"/>
        </w:rPr>
        <w:t xml:space="preserve">Cumplimiento de obligaciones tributarias propias de su actividad. </w:t>
      </w:r>
    </w:p>
    <w:p w14:paraId="5B402A94" w14:textId="309291DC" w:rsidR="00E35C7E" w:rsidRPr="00E35C7E" w:rsidRDefault="00E35C7E" w:rsidP="00F65317">
      <w:pPr>
        <w:pStyle w:val="Prrafodelista"/>
        <w:numPr>
          <w:ilvl w:val="0"/>
          <w:numId w:val="11"/>
        </w:numPr>
        <w:rPr>
          <w:lang w:val="es-419" w:eastAsia="es-CO"/>
        </w:rPr>
      </w:pPr>
      <w:r w:rsidRPr="00E35C7E">
        <w:rPr>
          <w:lang w:val="es-419" w:eastAsia="es-CO"/>
        </w:rPr>
        <w:t xml:space="preserve">Compra de insumos y materiales para ejecutar el contrato. </w:t>
      </w:r>
    </w:p>
    <w:p w14:paraId="47AE5C56" w14:textId="4CB9CA3F" w:rsidR="00E35C7E" w:rsidRPr="00E35C7E" w:rsidRDefault="00E35C7E" w:rsidP="00F65317">
      <w:pPr>
        <w:pStyle w:val="Prrafodelista"/>
        <w:numPr>
          <w:ilvl w:val="0"/>
          <w:numId w:val="11"/>
        </w:numPr>
        <w:rPr>
          <w:lang w:val="es-419" w:eastAsia="es-CO"/>
        </w:rPr>
      </w:pPr>
      <w:r w:rsidRPr="00E35C7E">
        <w:rPr>
          <w:lang w:val="es-419" w:eastAsia="es-CO"/>
        </w:rPr>
        <w:lastRenderedPageBreak/>
        <w:t>Otros gastos operativos necesarios para cumplir el objeto contratado.</w:t>
      </w:r>
    </w:p>
    <w:p w14:paraId="05386C44" w14:textId="57A254A5" w:rsidR="00322D71" w:rsidRDefault="00322D71" w:rsidP="00E35C7E">
      <w:pPr>
        <w:rPr>
          <w:lang w:val="es-419" w:eastAsia="es-CO"/>
        </w:rPr>
      </w:pPr>
      <w:r w:rsidRPr="00322D71">
        <w:rPr>
          <w:lang w:val="es-419" w:eastAsia="es-CO"/>
        </w:rPr>
        <w:t>El 60 % restante de los honorarios se entiende destinado a cubrir estos costos, y solo el 40 % se asimila a la remuneración neta del contratista. Esta regla fue establecida mediante el Decreto 1703 de 2002 y ha sido ratificada por las normas posteriores, incluida la Ley 1955 de 2019 y, en la actualidad, el artículo 89 de la Ley 2277 de 2022.</w:t>
      </w:r>
    </w:p>
    <w:p w14:paraId="6C6C2F3D" w14:textId="77777777" w:rsidR="00E35C7E" w:rsidRPr="00E35C7E" w:rsidRDefault="00E35C7E" w:rsidP="00E35C7E">
      <w:pPr>
        <w:rPr>
          <w:lang w:val="es-419" w:eastAsia="es-CO"/>
        </w:rPr>
      </w:pPr>
      <w:r w:rsidRPr="00E35C7E">
        <w:rPr>
          <w:lang w:val="es-419" w:eastAsia="es-CO"/>
        </w:rPr>
        <w:t>Para los trabajadores independientes sin contrato, el IBC se determina sobre los ingresos netos del mes. Este grupo comprende tres perfiles:</w:t>
      </w:r>
    </w:p>
    <w:p w14:paraId="0D5D1653" w14:textId="2BABE63D" w:rsidR="00E35C7E" w:rsidRPr="00E35C7E" w:rsidRDefault="00E35C7E" w:rsidP="00F65317">
      <w:pPr>
        <w:pStyle w:val="Prrafodelista"/>
        <w:numPr>
          <w:ilvl w:val="0"/>
          <w:numId w:val="12"/>
        </w:numPr>
        <w:rPr>
          <w:lang w:val="es-419" w:eastAsia="es-CO"/>
        </w:rPr>
      </w:pPr>
      <w:r w:rsidRPr="00E35C7E">
        <w:rPr>
          <w:b/>
          <w:bCs/>
          <w:lang w:val="es-419" w:eastAsia="es-CO"/>
        </w:rPr>
        <w:t>Rentistas:</w:t>
      </w:r>
      <w:r w:rsidRPr="00E35C7E">
        <w:rPr>
          <w:lang w:val="es-419" w:eastAsia="es-CO"/>
        </w:rPr>
        <w:t xml:space="preserve"> personas que obtienen ingresos por arrendamiento de bienes, dividendos o rendimientos financieros, sin que exista un contrato de servicios con un contratante específico.</w:t>
      </w:r>
    </w:p>
    <w:p w14:paraId="472E15A4" w14:textId="78AB79B7" w:rsidR="00E35C7E" w:rsidRPr="00E35C7E" w:rsidRDefault="00E35C7E" w:rsidP="00F65317">
      <w:pPr>
        <w:pStyle w:val="Prrafodelista"/>
        <w:numPr>
          <w:ilvl w:val="0"/>
          <w:numId w:val="12"/>
        </w:numPr>
        <w:rPr>
          <w:lang w:val="es-419" w:eastAsia="es-CO"/>
        </w:rPr>
      </w:pPr>
      <w:r w:rsidRPr="00E35C7E">
        <w:rPr>
          <w:b/>
          <w:bCs/>
          <w:lang w:val="es-419" w:eastAsia="es-CO"/>
        </w:rPr>
        <w:t>Propietarios de negocio:</w:t>
      </w:r>
      <w:r w:rsidRPr="00E35C7E">
        <w:rPr>
          <w:lang w:val="es-419" w:eastAsia="es-CO"/>
        </w:rPr>
        <w:t xml:space="preserve"> personas naturales que generan ingresos propios a través de una actividad comercial o empresarial independiente, como tenderos, comerciantes y microempresarios.</w:t>
      </w:r>
    </w:p>
    <w:p w14:paraId="4E0103DA" w14:textId="560A7AA8" w:rsidR="00E35C7E" w:rsidRPr="00E35C7E" w:rsidRDefault="00E35C7E" w:rsidP="00F65317">
      <w:pPr>
        <w:pStyle w:val="Prrafodelista"/>
        <w:numPr>
          <w:ilvl w:val="0"/>
          <w:numId w:val="12"/>
        </w:numPr>
        <w:rPr>
          <w:lang w:val="es-419" w:eastAsia="es-CO"/>
        </w:rPr>
      </w:pPr>
      <w:r w:rsidRPr="00E35C7E">
        <w:rPr>
          <w:b/>
          <w:bCs/>
          <w:lang w:val="es-419" w:eastAsia="es-CO"/>
        </w:rPr>
        <w:t>Profesionales liberales:</w:t>
      </w:r>
      <w:r w:rsidRPr="00E35C7E">
        <w:rPr>
          <w:lang w:val="es-419" w:eastAsia="es-CO"/>
        </w:rPr>
        <w:t xml:space="preserve"> personas que ejercen una profesión de forma autónoma sin contrato de prestación de servicios vigente, como médicos, abogados, contadores o arquitectos con consultorios o estudios propios.</w:t>
      </w:r>
    </w:p>
    <w:p w14:paraId="785A8B4D" w14:textId="77777777" w:rsidR="00E35C7E" w:rsidRPr="00E35C7E" w:rsidRDefault="00E35C7E" w:rsidP="00E35C7E">
      <w:pPr>
        <w:rPr>
          <w:lang w:val="es-419" w:eastAsia="es-CO"/>
        </w:rPr>
      </w:pPr>
      <w:r w:rsidRPr="00E35C7E">
        <w:rPr>
          <w:lang w:val="es-419" w:eastAsia="es-CO"/>
        </w:rPr>
        <w:t>Los tres perfiles declaran autónomamente sus ingresos netos en la PILA a través de la planilla tipo Y, y la UGPP tiene facultades para verificar la veracidad de los ingresos declarados mediante estados financieros y declaraciones de renta.</w:t>
      </w:r>
    </w:p>
    <w:p w14:paraId="449EEF1A" w14:textId="77777777" w:rsidR="00E35C7E" w:rsidRPr="00E35C7E" w:rsidRDefault="00E35C7E" w:rsidP="00E35C7E">
      <w:pPr>
        <w:rPr>
          <w:lang w:val="es-419" w:eastAsia="es-CO"/>
        </w:rPr>
      </w:pPr>
      <w:r w:rsidRPr="00E35C7E">
        <w:rPr>
          <w:lang w:val="es-419" w:eastAsia="es-CO"/>
        </w:rPr>
        <w:t xml:space="preserve">El IBC se determina sobre los ingresos netos del mes, definidos como los ingresos brutos menos los costos y gastos necesarios para generarlos. El trabajador independiente debe hacer esta determinación de manera autónoma y declararla en la PILA a través de la planilla tipo Y o tipo E, según corresponda. La UGPP tiene facultades </w:t>
      </w:r>
      <w:r w:rsidRPr="00E35C7E">
        <w:rPr>
          <w:lang w:val="es-419" w:eastAsia="es-CO"/>
        </w:rPr>
        <w:lastRenderedPageBreak/>
        <w:t>para revisar la veracidad de los ingresos declarados y puede exigir documentación soporte, estados financieros y declaraciones de renta para verificar que el IBC declarado corresponde a los ingresos reales.</w:t>
      </w:r>
    </w:p>
    <w:p w14:paraId="2047821A" w14:textId="77777777" w:rsidR="00E35C7E" w:rsidRPr="00E35C7E" w:rsidRDefault="00E35C7E" w:rsidP="00E35C7E">
      <w:pPr>
        <w:rPr>
          <w:lang w:val="es-419" w:eastAsia="es-CO"/>
        </w:rPr>
      </w:pPr>
      <w:r w:rsidRPr="00E35C7E">
        <w:rPr>
          <w:lang w:val="es-419" w:eastAsia="es-CO"/>
        </w:rPr>
        <w:t>Una situación frecuente en la práctica es la de los contratistas que tienen simultáneamente varios contratos de prestación de servicios con diferentes contratantes. Para estos casos, es necesario tener en cuenta las siguientes reglas:</w:t>
      </w:r>
    </w:p>
    <w:p w14:paraId="7256E81F" w14:textId="09EC3386" w:rsidR="00E35C7E" w:rsidRPr="00E35C7E" w:rsidRDefault="00E35C7E" w:rsidP="00F65317">
      <w:pPr>
        <w:pStyle w:val="Prrafodelista"/>
        <w:numPr>
          <w:ilvl w:val="0"/>
          <w:numId w:val="8"/>
        </w:numPr>
        <w:rPr>
          <w:lang w:val="es-419" w:eastAsia="es-CO"/>
        </w:rPr>
      </w:pPr>
      <w:r w:rsidRPr="00D63EED">
        <w:rPr>
          <w:b/>
          <w:bCs/>
          <w:lang w:val="es-419" w:eastAsia="es-CO"/>
        </w:rPr>
        <w:t>IBC sobre el total de los contratos:</w:t>
      </w:r>
      <w:r w:rsidRPr="00E35C7E">
        <w:rPr>
          <w:lang w:val="es-419" w:eastAsia="es-CO"/>
        </w:rPr>
        <w:t xml:space="preserve"> el IBC se calcula sobre el 40 % de la suma del valor mensualizado de todos los contratos activos en el período, sin que el total pueda superar el límite de 25 SMLMV.</w:t>
      </w:r>
    </w:p>
    <w:p w14:paraId="0B13F4D0" w14:textId="69DA27FD" w:rsidR="00E35C7E" w:rsidRPr="00E35C7E" w:rsidRDefault="00E35C7E" w:rsidP="00F65317">
      <w:pPr>
        <w:pStyle w:val="Prrafodelista"/>
        <w:numPr>
          <w:ilvl w:val="0"/>
          <w:numId w:val="8"/>
        </w:numPr>
        <w:rPr>
          <w:lang w:val="es-419" w:eastAsia="es-CO"/>
        </w:rPr>
      </w:pPr>
      <w:r w:rsidRPr="00D63EED">
        <w:rPr>
          <w:b/>
          <w:bCs/>
          <w:lang w:val="es-419" w:eastAsia="es-CO"/>
        </w:rPr>
        <w:t>Responsabilidad de cada contratante:</w:t>
      </w:r>
      <w:r w:rsidRPr="00E35C7E">
        <w:rPr>
          <w:lang w:val="es-419" w:eastAsia="es-CO"/>
        </w:rPr>
        <w:t xml:space="preserve"> cada contratante debe verificar que el contratista esté cotizando correctamente sobre la base que le corresponde, incluyendo los demás contratos vigentes.</w:t>
      </w:r>
    </w:p>
    <w:p w14:paraId="17A3734E" w14:textId="3F64B3C7" w:rsidR="00E35C7E" w:rsidRPr="00E35C7E" w:rsidRDefault="00E35C7E" w:rsidP="00F65317">
      <w:pPr>
        <w:pStyle w:val="Prrafodelista"/>
        <w:numPr>
          <w:ilvl w:val="0"/>
          <w:numId w:val="8"/>
        </w:numPr>
        <w:rPr>
          <w:lang w:val="es-419" w:eastAsia="es-CO"/>
        </w:rPr>
      </w:pPr>
      <w:r w:rsidRPr="00D63EED">
        <w:rPr>
          <w:b/>
          <w:bCs/>
          <w:lang w:val="es-419" w:eastAsia="es-CO"/>
        </w:rPr>
        <w:t xml:space="preserve">Riesgo de </w:t>
      </w:r>
      <w:proofErr w:type="spellStart"/>
      <w:r w:rsidRPr="00D63EED">
        <w:rPr>
          <w:b/>
          <w:bCs/>
          <w:lang w:val="es-419" w:eastAsia="es-CO"/>
        </w:rPr>
        <w:t>subdeclaración</w:t>
      </w:r>
      <w:proofErr w:type="spellEnd"/>
      <w:r w:rsidRPr="00D63EED">
        <w:rPr>
          <w:b/>
          <w:bCs/>
          <w:lang w:val="es-419" w:eastAsia="es-CO"/>
        </w:rPr>
        <w:t>:</w:t>
      </w:r>
      <w:r w:rsidRPr="00E35C7E">
        <w:rPr>
          <w:lang w:val="es-419" w:eastAsia="es-CO"/>
        </w:rPr>
        <w:t xml:space="preserve"> si el contratista tiene contratos con múltiples entidades y la verificación de uno solo de ellos arroja un IBC inferior al correcto, puede existir una </w:t>
      </w:r>
      <w:proofErr w:type="spellStart"/>
      <w:r w:rsidRPr="00E35C7E">
        <w:rPr>
          <w:lang w:val="es-419" w:eastAsia="es-CO"/>
        </w:rPr>
        <w:t>subdeclaración</w:t>
      </w:r>
      <w:proofErr w:type="spellEnd"/>
      <w:r w:rsidRPr="00E35C7E">
        <w:rPr>
          <w:lang w:val="es-419" w:eastAsia="es-CO"/>
        </w:rPr>
        <w:t xml:space="preserve"> que la UGPP detectará al cruzar la información de todos los operadores de la PILA.</w:t>
      </w:r>
    </w:p>
    <w:p w14:paraId="1DA7F4B0" w14:textId="77777777" w:rsidR="00E35C7E" w:rsidRPr="00E35C7E" w:rsidRDefault="00E35C7E" w:rsidP="00E35C7E">
      <w:pPr>
        <w:rPr>
          <w:lang w:val="es-419" w:eastAsia="es-CO"/>
        </w:rPr>
      </w:pPr>
      <w:r w:rsidRPr="00E35C7E">
        <w:rPr>
          <w:lang w:val="es-419" w:eastAsia="es-CO"/>
        </w:rPr>
        <w:t>Esta situación es frecuente con contratistas que prestan servicios puntuales y debe manejarse con precisión para evitar aportes incorrectos. Por ejemplo, si Felipe Ríos firma un contrato por $800.000 con duración de 15 días, la mensualización es ($800.000 ÷ 15) × 30 = $1.600.000, y el IBC resultante es $1.600.000 × 40 % = $640.000; como este valor es inferior al SMLMV de $1.750.905 vigente en 2026, Felipe debe cotizar sobre el tope mínimo, independientemente del valor real del contrato.</w:t>
      </w:r>
    </w:p>
    <w:p w14:paraId="15F58DDF" w14:textId="2208758A" w:rsidR="00E35C7E" w:rsidRDefault="00E35C7E" w:rsidP="00E35C7E">
      <w:pPr>
        <w:rPr>
          <w:lang w:val="es-419" w:eastAsia="es-CO"/>
        </w:rPr>
      </w:pPr>
      <w:r w:rsidRPr="00E35C7E">
        <w:rPr>
          <w:lang w:val="es-419" w:eastAsia="es-CO"/>
        </w:rPr>
        <w:lastRenderedPageBreak/>
        <w:t>Conocida la regla del 40 % aplicable a los contratistas independientes y los métodos de cálculo para los trabajadores dependientes, el siguiente criterio que debe verificarse en toda liquidación es que el IBC resultante se encuentre dentro del rango permitido por la normativa vigente.</w:t>
      </w:r>
    </w:p>
    <w:p w14:paraId="3992000E" w14:textId="77777777" w:rsidR="00423F9D" w:rsidRDefault="00423F9D" w:rsidP="00E35C7E">
      <w:pPr>
        <w:rPr>
          <w:lang w:val="es-419" w:eastAsia="es-CO"/>
        </w:rPr>
      </w:pPr>
    </w:p>
    <w:p w14:paraId="15540DCF" w14:textId="5CF88592" w:rsidR="00512463" w:rsidRDefault="00512463" w:rsidP="00512463">
      <w:pPr>
        <w:pStyle w:val="Ttulo2"/>
      </w:pPr>
      <w:bookmarkStart w:id="6" w:name="_Toc235611007"/>
      <w:r w:rsidRPr="00512463">
        <w:t>Topes mínimos y máximos del IBC</w:t>
      </w:r>
      <w:bookmarkEnd w:id="6"/>
    </w:p>
    <w:p w14:paraId="45290D87" w14:textId="170CD278" w:rsidR="00E35C7E" w:rsidRDefault="00E35C7E" w:rsidP="00E35C7E">
      <w:pPr>
        <w:rPr>
          <w:lang w:val="es-419" w:eastAsia="es-CO"/>
        </w:rPr>
      </w:pPr>
      <w:r w:rsidRPr="00E35C7E">
        <w:rPr>
          <w:lang w:val="es-419" w:eastAsia="es-CO"/>
        </w:rPr>
        <w:t>El sistema de seguridad social colombiano ha establecido límites mínimos y máximos para el IBC con el propósito de garantizar</w:t>
      </w:r>
      <w:r w:rsidR="0098538F">
        <w:rPr>
          <w:lang w:val="es-419" w:eastAsia="es-CO"/>
        </w:rPr>
        <w:t>,</w:t>
      </w:r>
      <w:r w:rsidRPr="00E35C7E">
        <w:rPr>
          <w:lang w:val="es-419" w:eastAsia="es-CO"/>
        </w:rPr>
        <w:t xml:space="preserve"> por un lado</w:t>
      </w:r>
      <w:r w:rsidR="0098538F">
        <w:rPr>
          <w:lang w:val="es-419" w:eastAsia="es-CO"/>
        </w:rPr>
        <w:t>,</w:t>
      </w:r>
      <w:r w:rsidRPr="00E35C7E">
        <w:rPr>
          <w:lang w:val="es-419" w:eastAsia="es-CO"/>
        </w:rPr>
        <w:t xml:space="preserve"> que todos los trabajadores coticen sobre una base suficiente que les asegure prestaciones mínimas adecuadas, y</w:t>
      </w:r>
      <w:r w:rsidR="0098538F">
        <w:rPr>
          <w:lang w:val="es-419" w:eastAsia="es-CO"/>
        </w:rPr>
        <w:t>,</w:t>
      </w:r>
      <w:r w:rsidRPr="00E35C7E">
        <w:rPr>
          <w:lang w:val="es-419" w:eastAsia="es-CO"/>
        </w:rPr>
        <w:t xml:space="preserve"> por otro</w:t>
      </w:r>
      <w:r w:rsidR="0098538F">
        <w:rPr>
          <w:lang w:val="es-419" w:eastAsia="es-CO"/>
        </w:rPr>
        <w:t>,</w:t>
      </w:r>
      <w:r w:rsidRPr="00E35C7E">
        <w:rPr>
          <w:lang w:val="es-419" w:eastAsia="es-CO"/>
        </w:rPr>
        <w:t xml:space="preserve"> que el sistema no se convierta en una carga desproporcionada para las personas con altos ingresos. Estos topes son de obligatorio cumplimiento y el profesional de nómina debe verificarlos en cada liquidación para garantizar que el IBC de cada cotizante se encuentre dentro del rango permitido.</w:t>
      </w:r>
    </w:p>
    <w:p w14:paraId="3A636E8A" w14:textId="61F2F253" w:rsidR="00E35C7E" w:rsidRDefault="00E35C7E" w:rsidP="00E35C7E">
      <w:pPr>
        <w:rPr>
          <w:lang w:val="es-419" w:eastAsia="es-CO"/>
        </w:rPr>
      </w:pPr>
      <w:r w:rsidRPr="00E35C7E">
        <w:rPr>
          <w:lang w:val="es-419" w:eastAsia="es-CO"/>
        </w:rPr>
        <w:t>El límite mínimo del IBC es de un SMLMV para todos los cotizantes</w:t>
      </w:r>
      <w:r w:rsidR="0098538F">
        <w:rPr>
          <w:lang w:val="es-419" w:eastAsia="es-CO"/>
        </w:rPr>
        <w:t>,</w:t>
      </w:r>
      <w:r w:rsidRPr="00E35C7E">
        <w:rPr>
          <w:lang w:val="es-419" w:eastAsia="es-CO"/>
        </w:rPr>
        <w:t xml:space="preserve"> sin excepción. Un trabajador con salario inferior al mínimo por jornada reducida debe cotizar al menos sobre un SMLMV completo cuando trabaja en jornada completa para un solo empleador.</w:t>
      </w:r>
    </w:p>
    <w:p w14:paraId="33822ABB" w14:textId="77777777" w:rsidR="00E35C7E" w:rsidRPr="00E35C7E" w:rsidRDefault="00E35C7E" w:rsidP="00E35C7E">
      <w:pPr>
        <w:rPr>
          <w:lang w:val="es-419" w:eastAsia="es-CO"/>
        </w:rPr>
      </w:pPr>
      <w:r w:rsidRPr="00E35C7E">
        <w:rPr>
          <w:lang w:val="es-419" w:eastAsia="es-CO"/>
        </w:rPr>
        <w:t>Sin embargo, los trabajadores de tiempo parcial que tienen múltiples empleos pueden distribuir el pago de aportes entre los distintos empleadores, siempre que la suma total de los IBC declarados alcance al menos un SMLMV. Esta regla de la agregación de IBC en múltiples empleos es técnicamente compleja y genera frecuentes errores en la práctica.</w:t>
      </w:r>
    </w:p>
    <w:p w14:paraId="23AE176F" w14:textId="77777777" w:rsidR="00E35C7E" w:rsidRPr="00E35C7E" w:rsidRDefault="00E35C7E" w:rsidP="00E35C7E">
      <w:pPr>
        <w:rPr>
          <w:lang w:val="es-419" w:eastAsia="es-CO"/>
        </w:rPr>
      </w:pPr>
      <w:r w:rsidRPr="00E35C7E">
        <w:rPr>
          <w:lang w:val="es-419" w:eastAsia="es-CO"/>
        </w:rPr>
        <w:lastRenderedPageBreak/>
        <w:t>El límite máximo del IBC es de 25 SMLMV. Para el año 2026, con un SMLMV de $1.750.905, el IBC máximo es $1.750.905 × 25 = $43.772.625. Ningún cotizante, independientemente de cuánto devengue, debe pagar aportes sobre una base superior a este monto. El empleador que descuenta del salario del trabajador una suma superior a la que correspondería con el IBC máximo incurre en una retención indebida que puede ser reclamada por el trabajador ante las autoridades laborales competentes. Es importante señalar que el límite de los 25 SMLMV aplica de manera independiente para cada contrato o relación laboral, por lo que un trabajador con múltiples contratos podría cotizar en cada uno de ellos sobre hasta $43.772.625, aunque esta situación es poco frecuente en la práctica.</w:t>
      </w:r>
    </w:p>
    <w:p w14:paraId="68C5CC72" w14:textId="77777777" w:rsidR="00E35C7E" w:rsidRPr="00E35C7E" w:rsidRDefault="00E35C7E" w:rsidP="00E35C7E">
      <w:pPr>
        <w:rPr>
          <w:lang w:val="es-419" w:eastAsia="es-CO"/>
        </w:rPr>
      </w:pPr>
      <w:r w:rsidRPr="00E35C7E">
        <w:rPr>
          <w:lang w:val="es-419" w:eastAsia="es-CO"/>
        </w:rPr>
        <w:t>Los cambios anuales en el valor del SMLMV implican que los topes mínimos y máximos del IBC se actualizan cada año. Para 2026, el Decreto 0159 del 19 de febrero fijó transitoriamente el SMLMV en $1.750.905. El profesional de nómina debe tener en cuenta los siguientes aspectos:</w:t>
      </w:r>
    </w:p>
    <w:p w14:paraId="07412A6D" w14:textId="424C6C67" w:rsidR="00E35C7E" w:rsidRPr="0089046B" w:rsidRDefault="00E35C7E" w:rsidP="00F65317">
      <w:pPr>
        <w:pStyle w:val="Prrafodelista"/>
        <w:numPr>
          <w:ilvl w:val="0"/>
          <w:numId w:val="13"/>
        </w:numPr>
        <w:rPr>
          <w:lang w:val="es-419" w:eastAsia="es-CO"/>
        </w:rPr>
      </w:pPr>
      <w:r w:rsidRPr="0089046B">
        <w:rPr>
          <w:b/>
          <w:bCs/>
          <w:lang w:val="es-419" w:eastAsia="es-CO"/>
        </w:rPr>
        <w:t>Decreto vigente para 2026:</w:t>
      </w:r>
      <w:r w:rsidRPr="0089046B">
        <w:rPr>
          <w:lang w:val="es-419" w:eastAsia="es-CO"/>
        </w:rPr>
        <w:t xml:space="preserve"> el Gobierno Nacional fijó el SMLMV en $1.750.905 mediante el Decreto 1469 del 29 de diciembre de 2025, ratificado por el Decreto 0159 del 19 de febrero de 2026, con un incremento del 23 % respecto del año anterior.</w:t>
      </w:r>
    </w:p>
    <w:p w14:paraId="6A05587C" w14:textId="5119E52D" w:rsidR="00E35C7E" w:rsidRPr="0089046B" w:rsidRDefault="00E35C7E" w:rsidP="00F65317">
      <w:pPr>
        <w:pStyle w:val="Prrafodelista"/>
        <w:numPr>
          <w:ilvl w:val="0"/>
          <w:numId w:val="13"/>
        </w:numPr>
        <w:rPr>
          <w:lang w:val="es-419" w:eastAsia="es-CO"/>
        </w:rPr>
      </w:pPr>
      <w:r w:rsidRPr="0089046B">
        <w:rPr>
          <w:b/>
          <w:bCs/>
          <w:lang w:val="es-419" w:eastAsia="es-CO"/>
        </w:rPr>
        <w:t>Tope mínimo del IBC para 2026:</w:t>
      </w:r>
      <w:r w:rsidRPr="0089046B">
        <w:rPr>
          <w:lang w:val="es-419" w:eastAsia="es-CO"/>
        </w:rPr>
        <w:t xml:space="preserve"> ningún cotizante puede declarar un IBC inferior a $1.750.905, independientemente del valor real de su salario o contrato.</w:t>
      </w:r>
    </w:p>
    <w:p w14:paraId="6A20726C" w14:textId="1DC94DE0" w:rsidR="00E35C7E" w:rsidRPr="0089046B" w:rsidRDefault="00E35C7E" w:rsidP="00F65317">
      <w:pPr>
        <w:pStyle w:val="Prrafodelista"/>
        <w:numPr>
          <w:ilvl w:val="0"/>
          <w:numId w:val="13"/>
        </w:numPr>
        <w:rPr>
          <w:lang w:val="es-419" w:eastAsia="es-CO"/>
        </w:rPr>
      </w:pPr>
      <w:r w:rsidRPr="0089046B">
        <w:rPr>
          <w:b/>
          <w:bCs/>
          <w:lang w:val="es-419" w:eastAsia="es-CO"/>
        </w:rPr>
        <w:t>Tope máximo del IBC para 2026:</w:t>
      </w:r>
      <w:r w:rsidRPr="0089046B">
        <w:rPr>
          <w:lang w:val="es-419" w:eastAsia="es-CO"/>
        </w:rPr>
        <w:t xml:space="preserve"> ningún cotizante debe pagar aportes sobre una base superior a $43.772.625, equivalente a 25 SMLMV.</w:t>
      </w:r>
    </w:p>
    <w:p w14:paraId="79D29038" w14:textId="0C39A9CD" w:rsidR="00E35C7E" w:rsidRPr="0089046B" w:rsidRDefault="00E35C7E" w:rsidP="00F65317">
      <w:pPr>
        <w:pStyle w:val="Prrafodelista"/>
        <w:numPr>
          <w:ilvl w:val="0"/>
          <w:numId w:val="13"/>
        </w:numPr>
        <w:rPr>
          <w:lang w:val="es-419" w:eastAsia="es-CO"/>
        </w:rPr>
      </w:pPr>
      <w:r w:rsidRPr="0089046B">
        <w:rPr>
          <w:b/>
          <w:bCs/>
          <w:lang w:val="es-419" w:eastAsia="es-CO"/>
        </w:rPr>
        <w:lastRenderedPageBreak/>
        <w:t>Actualización en el sistema de nómina:</w:t>
      </w:r>
      <w:r w:rsidRPr="0089046B">
        <w:rPr>
          <w:lang w:val="es-419" w:eastAsia="es-CO"/>
        </w:rPr>
        <w:t xml:space="preserve"> los nuevos valores del SMLMV deben registrarse en el sistema de información desde el 1 de enero para garantizar que los IBC del año reflejen los topes correctos desde el primer período de liquidación.</w:t>
      </w:r>
    </w:p>
    <w:p w14:paraId="1DF39F45" w14:textId="2B7B7CC2" w:rsidR="00E35C7E" w:rsidRPr="0089046B" w:rsidRDefault="00E35C7E" w:rsidP="00F65317">
      <w:pPr>
        <w:pStyle w:val="Prrafodelista"/>
        <w:numPr>
          <w:ilvl w:val="0"/>
          <w:numId w:val="13"/>
        </w:numPr>
        <w:rPr>
          <w:lang w:val="es-419" w:eastAsia="es-CO"/>
        </w:rPr>
      </w:pPr>
      <w:r w:rsidRPr="0089046B">
        <w:rPr>
          <w:b/>
          <w:bCs/>
          <w:lang w:val="es-419" w:eastAsia="es-CO"/>
        </w:rPr>
        <w:t>Riesgo por no actualización oportuna:</w:t>
      </w:r>
      <w:r w:rsidRPr="0089046B">
        <w:rPr>
          <w:lang w:val="es-419" w:eastAsia="es-CO"/>
        </w:rPr>
        <w:t xml:space="preserve"> calcular aportes sobre el SMLMV del año anterior produce diferencias acumuladas en todos los períodos del año que la UGPP detecta con facilidad al cruzar los registros de la PILA con los valores oficiales vigentes.</w:t>
      </w:r>
    </w:p>
    <w:p w14:paraId="2631D556" w14:textId="77777777" w:rsidR="00E35C7E" w:rsidRPr="00E35C7E" w:rsidRDefault="00E35C7E" w:rsidP="00E35C7E">
      <w:pPr>
        <w:rPr>
          <w:lang w:val="es-419" w:eastAsia="es-CO"/>
        </w:rPr>
      </w:pPr>
      <w:r w:rsidRPr="00E35C7E">
        <w:rPr>
          <w:lang w:val="es-419" w:eastAsia="es-CO"/>
        </w:rPr>
        <w:t>La actualización oportuna de los topes del IBC al inicio de cada año es una tarea crítica del cierre y apertura de nómina que debe estar documentada como parte del proceso de gestión de la seguridad social de la organización.</w:t>
      </w:r>
    </w:p>
    <w:p w14:paraId="1481D457" w14:textId="00CA0951" w:rsidR="0089046B" w:rsidRDefault="00E35C7E" w:rsidP="00E35C7E">
      <w:pPr>
        <w:rPr>
          <w:lang w:val="es-419" w:eastAsia="es-CO"/>
        </w:rPr>
      </w:pPr>
      <w:r w:rsidRPr="00E35C7E">
        <w:rPr>
          <w:lang w:val="es-419" w:eastAsia="es-CO"/>
        </w:rPr>
        <w:t>Verificados los topes normativos del IBC, la práctica profesional presenta situaciones en las que la base de cotización varía dentro del mismo período como consecuencia de novedades salariales, incapacidades, licencias o cambios en la remuneración, variaciones que requieren un tratamiento técnico específico para garantizar la precisión de la liquidación.</w:t>
      </w:r>
    </w:p>
    <w:p w14:paraId="61D42125" w14:textId="77777777" w:rsidR="00423F9D" w:rsidRDefault="00423F9D" w:rsidP="00E35C7E">
      <w:pPr>
        <w:rPr>
          <w:lang w:val="es-419" w:eastAsia="es-CO"/>
        </w:rPr>
      </w:pPr>
    </w:p>
    <w:p w14:paraId="374CB4AB" w14:textId="628BFF65" w:rsidR="00512463" w:rsidRDefault="00512463" w:rsidP="00512463">
      <w:pPr>
        <w:pStyle w:val="Ttulo2"/>
      </w:pPr>
      <w:bookmarkStart w:id="7" w:name="_Toc235611008"/>
      <w:r w:rsidRPr="00512463">
        <w:t>Variaciones del IBC</w:t>
      </w:r>
      <w:bookmarkEnd w:id="7"/>
    </w:p>
    <w:p w14:paraId="389E690E" w14:textId="627E3D16" w:rsidR="00AD3BE2" w:rsidRPr="00AD3BE2" w:rsidRDefault="00AD3BE2" w:rsidP="00AD3BE2">
      <w:pPr>
        <w:rPr>
          <w:lang w:val="es-419" w:eastAsia="es-CO"/>
        </w:rPr>
      </w:pPr>
      <w:r w:rsidRPr="00AD3BE2">
        <w:rPr>
          <w:lang w:val="es-419" w:eastAsia="es-CO"/>
        </w:rPr>
        <w:t>Los trabajadores con salario variable presentan uno de los mayores retos en el cálculo del IBC porque su remuneración fluctúa de un mes a otro, haciendo que la base de cotización varíe también. La regla del promedio trimestral establece que el IBC del período actual se calcula con base en el promedio del salario variable de los tres meses anteriores. Esta regla tiene una lógica redistributiva</w:t>
      </w:r>
      <w:r w:rsidR="0098538F">
        <w:rPr>
          <w:lang w:val="es-419" w:eastAsia="es-CO"/>
        </w:rPr>
        <w:t>:</w:t>
      </w:r>
      <w:r w:rsidRPr="00AD3BE2">
        <w:rPr>
          <w:lang w:val="es-419" w:eastAsia="es-CO"/>
        </w:rPr>
        <w:t xml:space="preserve"> en los meses de altos ingresos</w:t>
      </w:r>
      <w:r w:rsidR="0098538F">
        <w:rPr>
          <w:lang w:val="es-419" w:eastAsia="es-CO"/>
        </w:rPr>
        <w:t>,</w:t>
      </w:r>
      <w:r w:rsidRPr="00AD3BE2">
        <w:rPr>
          <w:lang w:val="es-419" w:eastAsia="es-CO"/>
        </w:rPr>
        <w:t xml:space="preserve"> el </w:t>
      </w:r>
      <w:r w:rsidRPr="00AD3BE2">
        <w:rPr>
          <w:lang w:val="es-419" w:eastAsia="es-CO"/>
        </w:rPr>
        <w:lastRenderedPageBreak/>
        <w:t>IBC real puede ser superior al promedio, y en los meses bajos puede ser inferior, pero en el conjunto del trimestre</w:t>
      </w:r>
      <w:r w:rsidR="0098538F">
        <w:rPr>
          <w:lang w:val="es-419" w:eastAsia="es-CO"/>
        </w:rPr>
        <w:t>,</w:t>
      </w:r>
      <w:r w:rsidRPr="00AD3BE2">
        <w:rPr>
          <w:lang w:val="es-419" w:eastAsia="es-CO"/>
        </w:rPr>
        <w:t xml:space="preserve"> los aportes se equilibran alrededor de la remuneración real del trabajador.</w:t>
      </w:r>
    </w:p>
    <w:p w14:paraId="30310259" w14:textId="77777777" w:rsidR="00AD3BE2" w:rsidRPr="00AD3BE2" w:rsidRDefault="00AD3BE2" w:rsidP="00AD3BE2">
      <w:pPr>
        <w:rPr>
          <w:lang w:val="es-419" w:eastAsia="es-CO"/>
        </w:rPr>
      </w:pPr>
      <w:r w:rsidRPr="00AD3BE2">
        <w:rPr>
          <w:lang w:val="es-419" w:eastAsia="es-CO"/>
        </w:rPr>
        <w:t xml:space="preserve">Cuando un trabajador con salario variable ingresa o cuando el sistema de remuneración cambia de fijo a variable, el período de </w:t>
      </w:r>
      <w:proofErr w:type="spellStart"/>
      <w:r w:rsidRPr="00AD3BE2">
        <w:rPr>
          <w:lang w:val="es-419" w:eastAsia="es-CO"/>
        </w:rPr>
        <w:t>promediación</w:t>
      </w:r>
      <w:proofErr w:type="spellEnd"/>
      <w:r w:rsidRPr="00AD3BE2">
        <w:rPr>
          <w:lang w:val="es-419" w:eastAsia="es-CO"/>
        </w:rPr>
        <w:t xml:space="preserve"> se adapta al tiempo disponible según las siguientes reglas:</w:t>
      </w:r>
    </w:p>
    <w:p w14:paraId="6333D603" w14:textId="6D91D175" w:rsidR="00AD3BE2" w:rsidRPr="00AD3BE2" w:rsidRDefault="00AD3BE2" w:rsidP="00F65317">
      <w:pPr>
        <w:pStyle w:val="Prrafodelista"/>
        <w:numPr>
          <w:ilvl w:val="0"/>
          <w:numId w:val="14"/>
        </w:numPr>
        <w:rPr>
          <w:lang w:val="es-419" w:eastAsia="es-CO"/>
        </w:rPr>
      </w:pPr>
      <w:r w:rsidRPr="00AD3BE2">
        <w:rPr>
          <w:b/>
          <w:bCs/>
          <w:lang w:val="es-419" w:eastAsia="es-CO"/>
        </w:rPr>
        <w:t>Primer mes laborado:</w:t>
      </w:r>
      <w:r w:rsidRPr="00AD3BE2">
        <w:rPr>
          <w:lang w:val="es-419" w:eastAsia="es-CO"/>
        </w:rPr>
        <w:t xml:space="preserve"> el IBC se calcula sobre el salario devengado en ese único mes, pues no existen meses anteriores para promediar.</w:t>
      </w:r>
    </w:p>
    <w:p w14:paraId="56A62E72" w14:textId="77777777" w:rsidR="00AD3BE2" w:rsidRPr="00AD3BE2" w:rsidRDefault="00AD3BE2" w:rsidP="0089046B">
      <w:pPr>
        <w:ind w:left="1416" w:firstLine="1"/>
        <w:rPr>
          <w:lang w:val="es-419" w:eastAsia="es-CO"/>
        </w:rPr>
      </w:pPr>
      <w:r w:rsidRPr="00AD3BE2">
        <w:rPr>
          <w:lang w:val="es-419" w:eastAsia="es-CO"/>
        </w:rPr>
        <w:t>Ejemplo: Andrea ingresa en octubre y devenga $2.500.000. Su IBC de octubre es $2.500.000.</w:t>
      </w:r>
    </w:p>
    <w:p w14:paraId="4050A0D5" w14:textId="2918601A" w:rsidR="00AD3BE2" w:rsidRPr="00AD3BE2" w:rsidRDefault="00AD3BE2" w:rsidP="00F65317">
      <w:pPr>
        <w:pStyle w:val="Prrafodelista"/>
        <w:numPr>
          <w:ilvl w:val="0"/>
          <w:numId w:val="14"/>
        </w:numPr>
        <w:rPr>
          <w:lang w:val="es-419" w:eastAsia="es-CO"/>
        </w:rPr>
      </w:pPr>
      <w:r w:rsidRPr="00AD3BE2">
        <w:rPr>
          <w:b/>
          <w:bCs/>
          <w:lang w:val="es-419" w:eastAsia="es-CO"/>
        </w:rPr>
        <w:t>Segundo mes laborado:</w:t>
      </w:r>
      <w:r w:rsidRPr="00AD3BE2">
        <w:rPr>
          <w:lang w:val="es-419" w:eastAsia="es-CO"/>
        </w:rPr>
        <w:t xml:space="preserve"> el IBC se calcula sobre el promedio de los dos meses disponibles.</w:t>
      </w:r>
    </w:p>
    <w:p w14:paraId="7036E7EA" w14:textId="1FFA6D1B" w:rsidR="00AD3BE2" w:rsidRPr="00AD3BE2" w:rsidRDefault="00AD3BE2" w:rsidP="0089046B">
      <w:pPr>
        <w:ind w:left="1416" w:firstLine="1"/>
        <w:rPr>
          <w:lang w:val="es-419" w:eastAsia="es-CO"/>
        </w:rPr>
      </w:pPr>
      <w:r w:rsidRPr="00AD3BE2">
        <w:rPr>
          <w:lang w:val="es-419" w:eastAsia="es-CO"/>
        </w:rPr>
        <w:t>Ejemplo: en noviembre</w:t>
      </w:r>
      <w:r w:rsidR="0098538F">
        <w:rPr>
          <w:lang w:val="es-419" w:eastAsia="es-CO"/>
        </w:rPr>
        <w:t>,</w:t>
      </w:r>
      <w:r w:rsidRPr="00AD3BE2">
        <w:rPr>
          <w:lang w:val="es-419" w:eastAsia="es-CO"/>
        </w:rPr>
        <w:t xml:space="preserve"> Andrea devenga $2.800.000. Su IBC es ($2.500.000 + $2.800.000) ÷ 2 = $2.650.000.</w:t>
      </w:r>
    </w:p>
    <w:p w14:paraId="056BE25D" w14:textId="71C0DC5E" w:rsidR="00AD3BE2" w:rsidRPr="00AD3BE2" w:rsidRDefault="00AD3BE2" w:rsidP="00F65317">
      <w:pPr>
        <w:pStyle w:val="Prrafodelista"/>
        <w:numPr>
          <w:ilvl w:val="0"/>
          <w:numId w:val="14"/>
        </w:numPr>
        <w:rPr>
          <w:lang w:val="es-419" w:eastAsia="es-CO"/>
        </w:rPr>
      </w:pPr>
      <w:r w:rsidRPr="00AD3BE2">
        <w:rPr>
          <w:b/>
          <w:bCs/>
          <w:lang w:val="es-419" w:eastAsia="es-CO"/>
        </w:rPr>
        <w:t>Tercer mes laborado:</w:t>
      </w:r>
      <w:r w:rsidRPr="00AD3BE2">
        <w:rPr>
          <w:lang w:val="es-419" w:eastAsia="es-CO"/>
        </w:rPr>
        <w:t xml:space="preserve"> el IBC se calcula sobre el promedio de los tres meses disponibles.</w:t>
      </w:r>
    </w:p>
    <w:p w14:paraId="16D7C20F" w14:textId="3522F266" w:rsidR="00AD3BE2" w:rsidRPr="00AD3BE2" w:rsidRDefault="00AD3BE2" w:rsidP="0089046B">
      <w:pPr>
        <w:ind w:left="1416" w:firstLine="1"/>
        <w:rPr>
          <w:lang w:val="es-419" w:eastAsia="es-CO"/>
        </w:rPr>
      </w:pPr>
      <w:r w:rsidRPr="00AD3BE2">
        <w:rPr>
          <w:lang w:val="es-419" w:eastAsia="es-CO"/>
        </w:rPr>
        <w:t>Ejemplo: en diciembre</w:t>
      </w:r>
      <w:r w:rsidR="0098538F">
        <w:rPr>
          <w:lang w:val="es-419" w:eastAsia="es-CO"/>
        </w:rPr>
        <w:t xml:space="preserve">, </w:t>
      </w:r>
      <w:r w:rsidRPr="00AD3BE2">
        <w:rPr>
          <w:lang w:val="es-419" w:eastAsia="es-CO"/>
        </w:rPr>
        <w:t>Andrea devenga $3.000.000. Su IBC es ($2.500.000 + $2.800.000 + $3.000.000) ÷ 3 = $2.766.667.</w:t>
      </w:r>
    </w:p>
    <w:p w14:paraId="6E3C7CBB" w14:textId="47C82C7C" w:rsidR="00AD3BE2" w:rsidRPr="00AD3BE2" w:rsidRDefault="00AD3BE2" w:rsidP="00F65317">
      <w:pPr>
        <w:pStyle w:val="Prrafodelista"/>
        <w:numPr>
          <w:ilvl w:val="0"/>
          <w:numId w:val="14"/>
        </w:numPr>
        <w:rPr>
          <w:lang w:val="es-419" w:eastAsia="es-CO"/>
        </w:rPr>
      </w:pPr>
      <w:r w:rsidRPr="00AD3BE2">
        <w:rPr>
          <w:b/>
          <w:bCs/>
          <w:lang w:val="es-419" w:eastAsia="es-CO"/>
        </w:rPr>
        <w:t>Cuarto mes laborado:</w:t>
      </w:r>
      <w:r w:rsidRPr="00AD3BE2">
        <w:rPr>
          <w:lang w:val="es-419" w:eastAsia="es-CO"/>
        </w:rPr>
        <w:t xml:space="preserve"> se aplica plenamente la regla del promedio de los tres meses anteriores, con independencia del tiempo que lleve el trabajador en la empresa.</w:t>
      </w:r>
    </w:p>
    <w:p w14:paraId="218A167C" w14:textId="77777777" w:rsidR="00AD3BE2" w:rsidRPr="00AD3BE2" w:rsidRDefault="00AD3BE2" w:rsidP="00AD3BE2">
      <w:pPr>
        <w:rPr>
          <w:lang w:val="es-419" w:eastAsia="es-CO"/>
        </w:rPr>
      </w:pPr>
      <w:r w:rsidRPr="00AD3BE2">
        <w:rPr>
          <w:lang w:val="es-419" w:eastAsia="es-CO"/>
        </w:rPr>
        <w:lastRenderedPageBreak/>
        <w:t>Este período de transición debe manejarse con cuidado en el sistema de nómina para garantizar que los IBC iniciales sean correctos y no generen inconsistencias que la UGPP detecte en períodos posteriores.</w:t>
      </w:r>
    </w:p>
    <w:p w14:paraId="4DB47EE2" w14:textId="77777777" w:rsidR="00AD3BE2" w:rsidRPr="00AD3BE2" w:rsidRDefault="00AD3BE2" w:rsidP="00AD3BE2">
      <w:pPr>
        <w:rPr>
          <w:lang w:val="es-419" w:eastAsia="es-CO"/>
        </w:rPr>
      </w:pPr>
      <w:r w:rsidRPr="00AD3BE2">
        <w:rPr>
          <w:lang w:val="es-419" w:eastAsia="es-CO"/>
        </w:rPr>
        <w:t>Las variaciones temporales del IBC requieren que el profesional de nómina calcule bases de cotización diferenciadas según los días efectivamente laborados y los días en que aplica una novedad. Las situaciones más frecuentes son:</w:t>
      </w:r>
    </w:p>
    <w:p w14:paraId="207483F0" w14:textId="5C5C95F0" w:rsidR="00AD3BE2" w:rsidRPr="00AD3BE2" w:rsidRDefault="00AD3BE2" w:rsidP="00F65317">
      <w:pPr>
        <w:pStyle w:val="Prrafodelista"/>
        <w:numPr>
          <w:ilvl w:val="0"/>
          <w:numId w:val="14"/>
        </w:numPr>
        <w:rPr>
          <w:lang w:val="es-419" w:eastAsia="es-CO"/>
        </w:rPr>
      </w:pPr>
      <w:r w:rsidRPr="00AD3BE2">
        <w:rPr>
          <w:b/>
          <w:bCs/>
          <w:lang w:val="es-419" w:eastAsia="es-CO"/>
        </w:rPr>
        <w:t>Licencia de maternidad:</w:t>
      </w:r>
      <w:r w:rsidRPr="00AD3BE2">
        <w:rPr>
          <w:lang w:val="es-419" w:eastAsia="es-CO"/>
        </w:rPr>
        <w:t xml:space="preserve"> el IBC corresponde al valor de la licencia pagada por la EPS, equivalente al 100 % del salario de la trabajadora. Los aportes a pensión y ARL continúan sobre este IBC; la cotización a salud la asume directamente la EPS.</w:t>
      </w:r>
    </w:p>
    <w:p w14:paraId="30F64DE1" w14:textId="7E5D752E" w:rsidR="00AD3BE2" w:rsidRPr="00AD3BE2" w:rsidRDefault="00AD3BE2" w:rsidP="00F65317">
      <w:pPr>
        <w:pStyle w:val="Prrafodelista"/>
        <w:numPr>
          <w:ilvl w:val="0"/>
          <w:numId w:val="14"/>
        </w:numPr>
        <w:rPr>
          <w:lang w:val="es-419" w:eastAsia="es-CO"/>
        </w:rPr>
      </w:pPr>
      <w:r w:rsidRPr="00AD3BE2">
        <w:rPr>
          <w:b/>
          <w:bCs/>
          <w:lang w:val="es-419" w:eastAsia="es-CO"/>
        </w:rPr>
        <w:t>Incapacidad por enfermedad general:</w:t>
      </w:r>
      <w:r w:rsidRPr="00AD3BE2">
        <w:rPr>
          <w:lang w:val="es-419" w:eastAsia="es-CO"/>
        </w:rPr>
        <w:t xml:space="preserve"> el IBC se segrega entre los días laborados, calculados sobre el salario proporcional, y los días de incapacidad, calculados sobre el valor del subsidio pagado por la EPS al 66,67 %.</w:t>
      </w:r>
    </w:p>
    <w:p w14:paraId="74167359" w14:textId="0F642983" w:rsidR="00AD3BE2" w:rsidRPr="00AD3BE2" w:rsidRDefault="00AD3BE2" w:rsidP="00F65317">
      <w:pPr>
        <w:pStyle w:val="Prrafodelista"/>
        <w:numPr>
          <w:ilvl w:val="0"/>
          <w:numId w:val="14"/>
        </w:numPr>
        <w:rPr>
          <w:lang w:val="es-419" w:eastAsia="es-CO"/>
        </w:rPr>
      </w:pPr>
      <w:r w:rsidRPr="00AD3BE2">
        <w:rPr>
          <w:b/>
          <w:bCs/>
          <w:lang w:val="es-419" w:eastAsia="es-CO"/>
        </w:rPr>
        <w:t>Suspensión del contrato:</w:t>
      </w:r>
      <w:r w:rsidRPr="00AD3BE2">
        <w:rPr>
          <w:lang w:val="es-419" w:eastAsia="es-CO"/>
        </w:rPr>
        <w:t xml:space="preserve"> durante los días de suspensión no hay obligación de cotizar, pues no existe remuneración ni subsidio. El IBC del período se calcula únicamente sobre los días efectivamente laborados antes y después de la suspensión.</w:t>
      </w:r>
    </w:p>
    <w:p w14:paraId="5EFE64F8" w14:textId="77777777" w:rsidR="00AD3BE2" w:rsidRPr="00AD3BE2" w:rsidRDefault="00AD3BE2" w:rsidP="00AD3BE2">
      <w:pPr>
        <w:rPr>
          <w:lang w:val="es-419" w:eastAsia="es-CO"/>
        </w:rPr>
      </w:pPr>
      <w:r w:rsidRPr="00AD3BE2">
        <w:rPr>
          <w:lang w:val="es-419" w:eastAsia="es-CO"/>
        </w:rPr>
        <w:t>Ejemplo: un trabajador labora 10 días del mes y los 20 días restantes está incapacitado. El IBC de los 10 días laborados se calcula sobre el salario proporcional; el IBC de los 20 días de incapacidad es el valor del subsidio pagado por la EPS. Los dos IBC son diferentes y deben reportarse por separado en la PILA con los códigos de novedad correspondientes.</w:t>
      </w:r>
    </w:p>
    <w:p w14:paraId="607471A2" w14:textId="77777777" w:rsidR="00AD3BE2" w:rsidRPr="00AD3BE2" w:rsidRDefault="00AD3BE2" w:rsidP="00AD3BE2">
      <w:pPr>
        <w:rPr>
          <w:lang w:val="es-419" w:eastAsia="es-CO"/>
        </w:rPr>
      </w:pPr>
      <w:r w:rsidRPr="00AD3BE2">
        <w:rPr>
          <w:lang w:val="es-419" w:eastAsia="es-CO"/>
        </w:rPr>
        <w:lastRenderedPageBreak/>
        <w:t>La correcta segregación de estos IBC en la PILA garantiza que las entidades del sistema reciban la información exacta del período y que el historial de cotizaciones del trabajador refleje fielmente su situación laboral real.</w:t>
      </w:r>
    </w:p>
    <w:p w14:paraId="6E383123" w14:textId="77777777" w:rsidR="00AD3BE2" w:rsidRPr="00AD3BE2" w:rsidRDefault="00AD3BE2" w:rsidP="00AD3BE2">
      <w:pPr>
        <w:rPr>
          <w:lang w:val="es-419" w:eastAsia="es-CO"/>
        </w:rPr>
      </w:pPr>
      <w:r w:rsidRPr="00AD3BE2">
        <w:rPr>
          <w:lang w:val="es-419" w:eastAsia="es-CO"/>
        </w:rPr>
        <w:t>Una variación especial que requiere manejo técnico preciso es la del trabajador que recibe en el mismo mes un pago extraordinario de naturaleza salarial, como una bonificación habitual no prevista en el contrato, pero pagada de manera regular por varios años, que incrementa significativamente el IBC del período. La UGPP puede cuestionar que esta bonificación no se haya incluido en el IBC de meses anteriores cuando la evidencia muestre que era habitual, generando una liquidación retroactiva que incluya los meses en que se omitió. Por esta razón, el profesional de nómina debe analizar con criterio la habitualidad de cada pago salarial y ajustar el IBC oportunamente cuando detecte que un concepto ha adquirido carácter regular.</w:t>
      </w:r>
    </w:p>
    <w:p w14:paraId="2FD1A992" w14:textId="340944D0" w:rsidR="0089046B" w:rsidRDefault="00AD3BE2" w:rsidP="00AD3BE2">
      <w:pPr>
        <w:rPr>
          <w:lang w:val="es-419" w:eastAsia="es-CO"/>
        </w:rPr>
      </w:pPr>
      <w:r w:rsidRPr="00AD3BE2">
        <w:rPr>
          <w:lang w:val="es-419" w:eastAsia="es-CO"/>
        </w:rPr>
        <w:t>Determinado el IBC para cada cotizante, el proceso de liquidación avanza hacia el segundo paso fundamental</w:t>
      </w:r>
      <w:r w:rsidR="0098538F">
        <w:rPr>
          <w:lang w:val="es-419" w:eastAsia="es-CO"/>
        </w:rPr>
        <w:t>:</w:t>
      </w:r>
      <w:r w:rsidRPr="00AD3BE2">
        <w:rPr>
          <w:lang w:val="es-419" w:eastAsia="es-CO"/>
        </w:rPr>
        <w:t xml:space="preserve"> establecer qué porcentaje debe aplicarse sobre esa base para calcular el valor de los aportes a cada componente del sistema. Esa respuesta la ofrecen los regímenes de afiliación y los porcentajes de cotización vigentes.</w:t>
      </w:r>
    </w:p>
    <w:p w14:paraId="29486307" w14:textId="77777777" w:rsidR="0089046B" w:rsidRDefault="0089046B">
      <w:pPr>
        <w:spacing w:before="0" w:after="160" w:line="259" w:lineRule="auto"/>
        <w:ind w:firstLine="0"/>
        <w:rPr>
          <w:lang w:val="es-419" w:eastAsia="es-CO"/>
        </w:rPr>
      </w:pPr>
      <w:r>
        <w:rPr>
          <w:lang w:val="es-419" w:eastAsia="es-CO"/>
        </w:rPr>
        <w:br w:type="page"/>
      </w:r>
    </w:p>
    <w:p w14:paraId="1C1FF302" w14:textId="57B10CE2" w:rsidR="00831C29" w:rsidRDefault="00512463" w:rsidP="00E23A14">
      <w:pPr>
        <w:pStyle w:val="Ttulo1"/>
      </w:pPr>
      <w:bookmarkStart w:id="8" w:name="_Toc235611009"/>
      <w:r w:rsidRPr="00512463">
        <w:lastRenderedPageBreak/>
        <w:t>Regímenes de afiliación y cotización</w:t>
      </w:r>
      <w:bookmarkEnd w:id="8"/>
    </w:p>
    <w:p w14:paraId="06F2AC7F" w14:textId="77777777" w:rsidR="00AD3BE2" w:rsidRPr="00AD3BE2" w:rsidRDefault="00AD3BE2" w:rsidP="00AD3BE2">
      <w:pPr>
        <w:rPr>
          <w:lang w:val="es-419" w:eastAsia="es-CO"/>
        </w:rPr>
      </w:pPr>
      <w:r w:rsidRPr="00AD3BE2">
        <w:rPr>
          <w:lang w:val="es-419" w:eastAsia="es-CO"/>
        </w:rPr>
        <w:t>Los regímenes de afiliación al Sistema de Seguridad Social Integral determinan el marco dentro del cual el cotizante realiza sus aportes y tiene derecho a las prestaciones del sistema. Cada componente del sistema de salud, pensiones y riesgos laborales tiene sus propios regímenes, con características, porcentajes de cotización y beneficios diferenciados. El conocimiento preciso de estos regímenes es indispensable para calcular correctamente los aportes de cada cotizante y garantizar que la PILA refleje la realidad de las afiliaciones vigentes.</w:t>
      </w:r>
    </w:p>
    <w:p w14:paraId="26D03A3D" w14:textId="77777777" w:rsidR="00AD3BE2" w:rsidRPr="00AD3BE2" w:rsidRDefault="00AD3BE2" w:rsidP="00AD3BE2">
      <w:pPr>
        <w:rPr>
          <w:lang w:val="es-419" w:eastAsia="es-CO"/>
        </w:rPr>
      </w:pPr>
      <w:r w:rsidRPr="00AD3BE2">
        <w:rPr>
          <w:lang w:val="es-419" w:eastAsia="es-CO"/>
        </w:rPr>
        <w:t>La determinación de los porcentajes aplicables a cada cotizante depende de múltiples variables que el profesional de nómina debe identificar con precisión antes de iniciar cualquier liquidación. Cada variable incide de manera directa en el valor de los aportes y en la distribución de la obligación entre el empleador y el trabajador. Las variables que determinan el perfil de cotización de cada cotizante son:</w:t>
      </w:r>
    </w:p>
    <w:p w14:paraId="1D56EF2F" w14:textId="4FFA0F77" w:rsidR="00AD3BE2" w:rsidRPr="00AD3BE2" w:rsidRDefault="00AD3BE2" w:rsidP="00F65317">
      <w:pPr>
        <w:pStyle w:val="Prrafodelista"/>
        <w:numPr>
          <w:ilvl w:val="0"/>
          <w:numId w:val="15"/>
        </w:numPr>
        <w:rPr>
          <w:lang w:val="es-419" w:eastAsia="es-CO"/>
        </w:rPr>
      </w:pPr>
      <w:r w:rsidRPr="00AD3BE2">
        <w:rPr>
          <w:b/>
          <w:bCs/>
          <w:lang w:val="es-419" w:eastAsia="es-CO"/>
        </w:rPr>
        <w:t>El tipo de contrato:</w:t>
      </w:r>
      <w:r w:rsidRPr="00AD3BE2">
        <w:rPr>
          <w:lang w:val="es-419" w:eastAsia="es-CO"/>
        </w:rPr>
        <w:t xml:space="preserve"> define si el cotizante es trabajador dependiente, contratista independiente o aprendiz, y determina quién asume los aportes y sobre qué base se calculan.</w:t>
      </w:r>
    </w:p>
    <w:p w14:paraId="2B229A51" w14:textId="77777777" w:rsidR="00AD3BE2" w:rsidRPr="00AD3BE2" w:rsidRDefault="00AD3BE2" w:rsidP="0089046B">
      <w:pPr>
        <w:ind w:left="1416" w:firstLine="1"/>
        <w:rPr>
          <w:lang w:val="es-419" w:eastAsia="es-CO"/>
        </w:rPr>
      </w:pPr>
      <w:r w:rsidRPr="00AD3BE2">
        <w:rPr>
          <w:lang w:val="es-419" w:eastAsia="es-CO"/>
        </w:rPr>
        <w:t>Ejemplo: un trabajador dependiente comparte el aporte a salud con su empleador (8,5 % el empleador y 4 % el trabajador), mientras que un contratista independiente asume el 100 % de sus aportes.</w:t>
      </w:r>
    </w:p>
    <w:p w14:paraId="6986F0C3" w14:textId="640B0A77" w:rsidR="00AD3BE2" w:rsidRPr="00AD3BE2" w:rsidRDefault="00AD3BE2" w:rsidP="00F65317">
      <w:pPr>
        <w:pStyle w:val="Prrafodelista"/>
        <w:numPr>
          <w:ilvl w:val="0"/>
          <w:numId w:val="15"/>
        </w:numPr>
        <w:rPr>
          <w:lang w:val="es-419" w:eastAsia="es-CO"/>
        </w:rPr>
      </w:pPr>
      <w:r w:rsidRPr="00AD3BE2">
        <w:rPr>
          <w:b/>
          <w:bCs/>
          <w:lang w:val="es-419" w:eastAsia="es-CO"/>
        </w:rPr>
        <w:t>El régimen de salud al que está afiliado:</w:t>
      </w:r>
      <w:r w:rsidRPr="00AD3BE2">
        <w:rPr>
          <w:lang w:val="es-419" w:eastAsia="es-CO"/>
        </w:rPr>
        <w:t xml:space="preserve"> determina la EPS que recibe los aportes y la cobertura a la que tiene derecho el cotizante y su núcleo familiar.</w:t>
      </w:r>
    </w:p>
    <w:p w14:paraId="78CF52C9" w14:textId="77777777" w:rsidR="00AD3BE2" w:rsidRPr="00AD3BE2" w:rsidRDefault="00AD3BE2" w:rsidP="0089046B">
      <w:pPr>
        <w:ind w:left="1416" w:firstLine="1"/>
        <w:rPr>
          <w:lang w:val="es-419" w:eastAsia="es-CO"/>
        </w:rPr>
      </w:pPr>
      <w:r w:rsidRPr="00AD3BE2">
        <w:rPr>
          <w:lang w:val="es-419" w:eastAsia="es-CO"/>
        </w:rPr>
        <w:lastRenderedPageBreak/>
        <w:t>Ejemplo: un trabajador afiliado a Sura cotiza el 12,5 % de su IBC; el 8,5 % lo paga el empleador y el 4 % se descuenta del salario del trabajador.</w:t>
      </w:r>
    </w:p>
    <w:p w14:paraId="44A7E314" w14:textId="560F2D31" w:rsidR="00AD3BE2" w:rsidRPr="00AD3BE2" w:rsidRDefault="00AD3BE2" w:rsidP="00F65317">
      <w:pPr>
        <w:pStyle w:val="Prrafodelista"/>
        <w:numPr>
          <w:ilvl w:val="0"/>
          <w:numId w:val="15"/>
        </w:numPr>
        <w:rPr>
          <w:lang w:val="es-419" w:eastAsia="es-CO"/>
        </w:rPr>
      </w:pPr>
      <w:r w:rsidRPr="00AD3BE2">
        <w:rPr>
          <w:b/>
          <w:bCs/>
          <w:lang w:val="es-419" w:eastAsia="es-CO"/>
        </w:rPr>
        <w:t>El régimen pensional elegido:</w:t>
      </w:r>
      <w:r w:rsidRPr="00AD3BE2">
        <w:rPr>
          <w:lang w:val="es-419" w:eastAsia="es-CO"/>
        </w:rPr>
        <w:t xml:space="preserve"> define si los aportes van a Colpensiones o a una AFP privada, aunque el porcentaje de cotización del 16 % es idéntico en los dos regímenes.</w:t>
      </w:r>
    </w:p>
    <w:p w14:paraId="77BF4C0E" w14:textId="77777777" w:rsidR="00AD3BE2" w:rsidRPr="00AD3BE2" w:rsidRDefault="00AD3BE2" w:rsidP="0089046B">
      <w:pPr>
        <w:ind w:left="1416" w:firstLine="1"/>
        <w:rPr>
          <w:lang w:val="es-419" w:eastAsia="es-CO"/>
        </w:rPr>
      </w:pPr>
      <w:r w:rsidRPr="00AD3BE2">
        <w:rPr>
          <w:lang w:val="es-419" w:eastAsia="es-CO"/>
        </w:rPr>
        <w:t>Ejemplo: Carlos cotiza a Colpensiones y Lucía a Protección S.A. Los dos aportan $1.750.905 × 16 % = $280.145 si su IBC equivale al SMLMV 2026, pero el destino y la acumulación de sus recursos son completamente diferentes.</w:t>
      </w:r>
    </w:p>
    <w:p w14:paraId="00D5B478" w14:textId="3E76889F" w:rsidR="00AD3BE2" w:rsidRPr="00AD3BE2" w:rsidRDefault="00AD3BE2" w:rsidP="00F65317">
      <w:pPr>
        <w:pStyle w:val="Prrafodelista"/>
        <w:numPr>
          <w:ilvl w:val="0"/>
          <w:numId w:val="15"/>
        </w:numPr>
        <w:rPr>
          <w:lang w:val="es-419" w:eastAsia="es-CO"/>
        </w:rPr>
      </w:pPr>
      <w:r w:rsidRPr="00AD3BE2">
        <w:rPr>
          <w:b/>
          <w:bCs/>
          <w:lang w:val="es-419" w:eastAsia="es-CO"/>
        </w:rPr>
        <w:t>El nivel de ingresos:</w:t>
      </w:r>
      <w:r w:rsidRPr="00AD3BE2">
        <w:rPr>
          <w:lang w:val="es-419" w:eastAsia="es-CO"/>
        </w:rPr>
        <w:t xml:space="preserve"> determina si el cotizante debe aportar al Fondo de Solidaridad Pensional (FSP), que aplica de manera adicional para trabajadores con IBC superior a 4 SMLMV.</w:t>
      </w:r>
    </w:p>
    <w:p w14:paraId="21790AFB" w14:textId="77777777" w:rsidR="00AD3BE2" w:rsidRPr="00AD3BE2" w:rsidRDefault="00AD3BE2" w:rsidP="0089046B">
      <w:pPr>
        <w:ind w:left="1416" w:firstLine="1"/>
        <w:rPr>
          <w:lang w:val="es-419" w:eastAsia="es-CO"/>
        </w:rPr>
      </w:pPr>
      <w:r w:rsidRPr="00AD3BE2">
        <w:rPr>
          <w:lang w:val="es-419" w:eastAsia="es-CO"/>
        </w:rPr>
        <w:t>Ejemplo: un trabajador con IBC de $8.000.000 supera los 4 SMLMV ($7.003.620); por tanto, aporta el 1 % adicional al FSP: $8.000.000 × 1 % = $80.000 mensuales a cargo del trabajador.</w:t>
      </w:r>
    </w:p>
    <w:p w14:paraId="3BA6F92E" w14:textId="0C5E1FD5" w:rsidR="00AD3BE2" w:rsidRPr="00AD3BE2" w:rsidRDefault="00AD3BE2" w:rsidP="00F65317">
      <w:pPr>
        <w:pStyle w:val="Prrafodelista"/>
        <w:numPr>
          <w:ilvl w:val="0"/>
          <w:numId w:val="15"/>
        </w:numPr>
        <w:rPr>
          <w:lang w:val="es-419" w:eastAsia="es-CO"/>
        </w:rPr>
      </w:pPr>
      <w:r w:rsidRPr="00AD3BE2">
        <w:rPr>
          <w:b/>
          <w:bCs/>
          <w:lang w:val="es-419" w:eastAsia="es-CO"/>
        </w:rPr>
        <w:t xml:space="preserve">La clase de riesgo asignada a la actividad económica de la empresa: </w:t>
      </w:r>
      <w:r w:rsidRPr="00AD3BE2">
        <w:rPr>
          <w:lang w:val="es-419" w:eastAsia="es-CO"/>
        </w:rPr>
        <w:t>determina la tarifa de cotización al SGRL, que va desde el 0,522 % para actividades de riesgo mínimo hasta el 6,960 % para actividades de riesgo máximo.</w:t>
      </w:r>
    </w:p>
    <w:p w14:paraId="0FB22F52" w14:textId="77777777" w:rsidR="00AD3BE2" w:rsidRPr="00AD3BE2" w:rsidRDefault="00AD3BE2" w:rsidP="0089046B">
      <w:pPr>
        <w:ind w:left="1416" w:firstLine="2"/>
        <w:rPr>
          <w:lang w:val="es-419" w:eastAsia="es-CO"/>
        </w:rPr>
      </w:pPr>
      <w:r w:rsidRPr="00AD3BE2">
        <w:rPr>
          <w:lang w:val="es-419" w:eastAsia="es-CO"/>
        </w:rPr>
        <w:t>Ejemplo: una empresa de consultoría (clase I) paga $1.750.905 × 0,522 % = $9.140 por trabajador con SMLMV. Una empresa de construcción en altura (clase V) pagaría $1.750.905 × 6,960 % = $121.863 por el mismo trabajador.</w:t>
      </w:r>
    </w:p>
    <w:p w14:paraId="41CE113D" w14:textId="77777777" w:rsidR="00AD3BE2" w:rsidRPr="00AD3BE2" w:rsidRDefault="00AD3BE2" w:rsidP="00AD3BE2">
      <w:pPr>
        <w:rPr>
          <w:lang w:val="es-419" w:eastAsia="es-CO"/>
        </w:rPr>
      </w:pPr>
      <w:r w:rsidRPr="00AD3BE2">
        <w:rPr>
          <w:lang w:val="es-419" w:eastAsia="es-CO"/>
        </w:rPr>
        <w:lastRenderedPageBreak/>
        <w:t>Esta combinación de variables puede producir perfiles de cotización muy diferentes entre trabajadores de la misma empresa, lo que exige que el sistema de nómina esté configurado para manejar estas particularidades de manera individualizada y garantizar la precisión de cada liquidación.</w:t>
      </w:r>
    </w:p>
    <w:p w14:paraId="197830B2" w14:textId="06590B38" w:rsidR="00AD3BE2" w:rsidRDefault="00AD3BE2" w:rsidP="00AD3BE2">
      <w:pPr>
        <w:rPr>
          <w:lang w:val="es-419" w:eastAsia="es-CO"/>
        </w:rPr>
      </w:pPr>
      <w:r w:rsidRPr="00AD3BE2">
        <w:rPr>
          <w:lang w:val="es-419" w:eastAsia="es-CO"/>
        </w:rPr>
        <w:t>El análisis de los regímenes de cotización comienza con el Sistema General de Seguridad Social en Salud, que es el componente al que están afiliados todos los cotizantes con capacidad de pago y cuya estructura de porcentajes diferencia claramente la participación del empleador y del trabajador según el tipo de vinculación.</w:t>
      </w:r>
    </w:p>
    <w:p w14:paraId="2110133A" w14:textId="77777777" w:rsidR="0089046B" w:rsidRPr="00AD3BE2" w:rsidRDefault="0089046B" w:rsidP="00AD3BE2">
      <w:pPr>
        <w:rPr>
          <w:lang w:val="es-419" w:eastAsia="es-CO"/>
        </w:rPr>
      </w:pPr>
    </w:p>
    <w:p w14:paraId="10BA4DF3" w14:textId="75C2E339" w:rsidR="00831C29" w:rsidRDefault="00512463" w:rsidP="00831C29">
      <w:pPr>
        <w:pStyle w:val="Ttulo2"/>
      </w:pPr>
      <w:bookmarkStart w:id="9" w:name="_Toc235611010"/>
      <w:r w:rsidRPr="00512463">
        <w:t>Régimen contributivo de salud</w:t>
      </w:r>
      <w:bookmarkEnd w:id="9"/>
    </w:p>
    <w:p w14:paraId="5781EBC1" w14:textId="77777777" w:rsidR="00AD3BE2" w:rsidRPr="00AD3BE2" w:rsidRDefault="00AD3BE2" w:rsidP="00AD3BE2">
      <w:pPr>
        <w:rPr>
          <w:lang w:val="es-419" w:eastAsia="es-CO"/>
        </w:rPr>
      </w:pPr>
      <w:r w:rsidRPr="00AD3BE2">
        <w:rPr>
          <w:lang w:val="es-419" w:eastAsia="es-CO"/>
        </w:rPr>
        <w:t>El régimen contributivo del Sistema General de Seguridad Social en Salud está dirigido a las personas con capacidad de pago, es decir, aquellas que cuentan con ingresos suficientes para contribuir al sistema y acceder a la cobertura en salud para ellas y sus beneficiarios. Este régimen diferencia el tratamiento de los aportes según el tipo de vinculación del cotizante, pues cada modalidad tiene reglas específicas sobre quién asume el aporte, sobre qué base se calcula y a qué entidad se traslada. Los cotizantes que pertenecen a este régimen son:</w:t>
      </w:r>
    </w:p>
    <w:p w14:paraId="238C3A40" w14:textId="6DCCA458" w:rsidR="00AD3BE2" w:rsidRPr="00AD3BE2" w:rsidRDefault="00AD3BE2" w:rsidP="00F65317">
      <w:pPr>
        <w:pStyle w:val="Prrafodelista"/>
        <w:numPr>
          <w:ilvl w:val="0"/>
          <w:numId w:val="15"/>
        </w:numPr>
        <w:rPr>
          <w:lang w:val="es-419" w:eastAsia="es-CO"/>
        </w:rPr>
      </w:pPr>
      <w:r w:rsidRPr="00AD3BE2">
        <w:rPr>
          <w:b/>
          <w:bCs/>
          <w:lang w:val="es-419" w:eastAsia="es-CO"/>
        </w:rPr>
        <w:t>Trabajadores dependientes:</w:t>
      </w:r>
      <w:r w:rsidRPr="00AD3BE2">
        <w:rPr>
          <w:lang w:val="es-419" w:eastAsia="es-CO"/>
        </w:rPr>
        <w:t xml:space="preserve"> son quienes tienen un contrato laboral vigente con un empleador. El aporte total a salud es del 12,5 % del IBC, distribuido entre el empleador (8,5 %) y el trabajador (4 %). El empleador retiene la parte del trabajador de su salario y traslada el total a la EPS a través de la PILA.</w:t>
      </w:r>
    </w:p>
    <w:p w14:paraId="55A376BA" w14:textId="365B8420" w:rsidR="00AD3BE2" w:rsidRPr="00AD3BE2" w:rsidRDefault="00AD3BE2" w:rsidP="0089046B">
      <w:pPr>
        <w:ind w:left="1416" w:firstLine="1"/>
        <w:rPr>
          <w:lang w:val="es-419" w:eastAsia="es-CO"/>
        </w:rPr>
      </w:pPr>
      <w:r w:rsidRPr="00AD3BE2">
        <w:rPr>
          <w:lang w:val="es-419" w:eastAsia="es-CO"/>
        </w:rPr>
        <w:lastRenderedPageBreak/>
        <w:t xml:space="preserve">Ejemplo: trabajador con IBC de $3.000.000. Empleador paga: $3.000.000 × 8,5 % = $255.000. Trabajador aporta: $3.000.000 × 4 % = $120.000. </w:t>
      </w:r>
      <w:proofErr w:type="gramStart"/>
      <w:r w:rsidRPr="00AD3BE2">
        <w:rPr>
          <w:lang w:val="es-419" w:eastAsia="es-CO"/>
        </w:rPr>
        <w:t>Total</w:t>
      </w:r>
      <w:proofErr w:type="gramEnd"/>
      <w:r w:rsidRPr="00AD3BE2">
        <w:rPr>
          <w:lang w:val="es-419" w:eastAsia="es-CO"/>
        </w:rPr>
        <w:t xml:space="preserve"> a la EPS: $375.000.</w:t>
      </w:r>
    </w:p>
    <w:p w14:paraId="7B0E905D" w14:textId="48574748" w:rsidR="00AD3BE2" w:rsidRPr="00AD3BE2" w:rsidRDefault="00AD3BE2" w:rsidP="00F65317">
      <w:pPr>
        <w:pStyle w:val="Prrafodelista"/>
        <w:numPr>
          <w:ilvl w:val="0"/>
          <w:numId w:val="15"/>
        </w:numPr>
        <w:rPr>
          <w:lang w:val="es-419" w:eastAsia="es-CO"/>
        </w:rPr>
      </w:pPr>
      <w:r w:rsidRPr="00AD3BE2">
        <w:rPr>
          <w:b/>
          <w:bCs/>
          <w:lang w:val="es-419" w:eastAsia="es-CO"/>
        </w:rPr>
        <w:t>Trabajadores independientes:</w:t>
      </w:r>
      <w:r w:rsidRPr="00AD3BE2">
        <w:rPr>
          <w:lang w:val="es-419" w:eastAsia="es-CO"/>
        </w:rPr>
        <w:t xml:space="preserve"> son quienes tienen contratos de prestación de servicios o ejercen su actividad de forma autónoma con ingresos iguales o superiores a un SMLMV. Asumen el 100 % del aporte a salud (12,5 %) sobre el IBC correspondiente al 40 % del valor mensualizado del contrato o sobre sus ingresos netos declarados.</w:t>
      </w:r>
    </w:p>
    <w:p w14:paraId="78C534F8" w14:textId="1FEDAB3F" w:rsidR="00AD3BE2" w:rsidRPr="00AD3BE2" w:rsidRDefault="00AD3BE2" w:rsidP="0089046B">
      <w:pPr>
        <w:ind w:left="1416" w:firstLine="1"/>
        <w:rPr>
          <w:lang w:val="es-419" w:eastAsia="es-CO"/>
        </w:rPr>
      </w:pPr>
      <w:r w:rsidRPr="00AD3BE2">
        <w:rPr>
          <w:lang w:val="es-419" w:eastAsia="es-CO"/>
        </w:rPr>
        <w:t>Ejemplo: contratista con contrato mensual de $4.000.000. IBC = $4.000.000 × 40 % = $1.600.000. Aporte total a salud: $1.600.000 × 12,5 % = $200.000, asumido íntegramente por el contratista.</w:t>
      </w:r>
    </w:p>
    <w:p w14:paraId="408E1198" w14:textId="5941197E" w:rsidR="00AD3BE2" w:rsidRPr="00AD3BE2" w:rsidRDefault="00AD3BE2" w:rsidP="00F65317">
      <w:pPr>
        <w:pStyle w:val="Prrafodelista"/>
        <w:numPr>
          <w:ilvl w:val="0"/>
          <w:numId w:val="15"/>
        </w:numPr>
        <w:rPr>
          <w:lang w:val="es-419" w:eastAsia="es-CO"/>
        </w:rPr>
      </w:pPr>
      <w:r w:rsidRPr="00AD3BE2">
        <w:rPr>
          <w:b/>
          <w:bCs/>
          <w:lang w:val="es-419" w:eastAsia="es-CO"/>
        </w:rPr>
        <w:t>Pensionados:</w:t>
      </w:r>
      <w:r w:rsidRPr="00AD3BE2">
        <w:rPr>
          <w:lang w:val="es-419" w:eastAsia="es-CO"/>
        </w:rPr>
        <w:t xml:space="preserve"> son quienes reciben una mesada pensional y deben continuar cotizando al sistema de salud sobre el valor de su pensión. La tarifa es del 12 % de la mesada pensional, sin distribución entre empleador y trabajador, pues el pensionado asume el total del aporte.</w:t>
      </w:r>
    </w:p>
    <w:p w14:paraId="2545C5AB" w14:textId="22CA2729" w:rsidR="00AD3BE2" w:rsidRPr="00AD3BE2" w:rsidRDefault="00AD3BE2" w:rsidP="0089046B">
      <w:pPr>
        <w:ind w:left="1416" w:firstLine="2"/>
        <w:rPr>
          <w:lang w:val="es-419" w:eastAsia="es-CO"/>
        </w:rPr>
      </w:pPr>
      <w:r w:rsidRPr="00AD3BE2">
        <w:rPr>
          <w:lang w:val="es-419" w:eastAsia="es-CO"/>
        </w:rPr>
        <w:t>Ejemplo: pensionado con mesada de $2.500.000. Aporte a salud: $2.500.000 × 12 % = $300.000, descontados directamente de la mesada por la entidad pagadora de la pensión.</w:t>
      </w:r>
    </w:p>
    <w:p w14:paraId="00BCF59C" w14:textId="77777777" w:rsidR="00AD3BE2" w:rsidRPr="00AD3BE2" w:rsidRDefault="00AD3BE2" w:rsidP="00AD3BE2">
      <w:pPr>
        <w:rPr>
          <w:lang w:val="es-419" w:eastAsia="es-CO"/>
        </w:rPr>
      </w:pPr>
      <w:r w:rsidRPr="00AD3BE2">
        <w:rPr>
          <w:lang w:val="es-419" w:eastAsia="es-CO"/>
        </w:rPr>
        <w:t>Los tres perfiles de cotizante comparten la misma EPS como entidad receptora de los aportes, pero difieren en la base de cotización, el porcentaje aplicable y el responsable del pago, diferencias que el profesional de nómina debe conocer con precisión para garantizar que cada planilla PILA refleje correctamente la realidad de las afiliaciones vigentes.</w:t>
      </w:r>
    </w:p>
    <w:p w14:paraId="6C2715E5" w14:textId="62A1B6B4" w:rsidR="00AD3BE2" w:rsidRPr="00AD3BE2" w:rsidRDefault="00AD3BE2" w:rsidP="00AD3BE2">
      <w:pPr>
        <w:rPr>
          <w:lang w:val="es-419" w:eastAsia="es-CO"/>
        </w:rPr>
      </w:pPr>
      <w:r w:rsidRPr="00AD3BE2">
        <w:rPr>
          <w:lang w:val="es-419" w:eastAsia="es-CO"/>
        </w:rPr>
        <w:lastRenderedPageBreak/>
        <w:t>La cotización total en este régimen es del 12,5 % del IBC, distribuida entre el empleador (8,5 %) y el trabajador (4 %). Esta distribución significa que</w:t>
      </w:r>
      <w:r w:rsidR="0098538F">
        <w:rPr>
          <w:lang w:val="es-419" w:eastAsia="es-CO"/>
        </w:rPr>
        <w:t>,</w:t>
      </w:r>
      <w:r w:rsidRPr="00AD3BE2">
        <w:rPr>
          <w:lang w:val="es-419" w:eastAsia="es-CO"/>
        </w:rPr>
        <w:t xml:space="preserve"> por cada $1.750.905 de IBC (equivalente a 1 SMLMV en 2026), el empleador debe pagar $148.827 a la EPS y el trabajador debe asumir $70.036, valor que el empleador retiene de su salario y traslada al sistema a través de la PILA.</w:t>
      </w:r>
    </w:p>
    <w:p w14:paraId="327FE330" w14:textId="77777777" w:rsidR="00AD3BE2" w:rsidRPr="00AD3BE2" w:rsidRDefault="00AD3BE2" w:rsidP="00AD3BE2">
      <w:pPr>
        <w:rPr>
          <w:lang w:val="es-419" w:eastAsia="es-CO"/>
        </w:rPr>
      </w:pPr>
      <w:r w:rsidRPr="00AD3BE2">
        <w:rPr>
          <w:lang w:val="es-419" w:eastAsia="es-CO"/>
        </w:rPr>
        <w:t>El pago del 12,5 % da derecho al afiliado y a sus beneficiarios (cónyuge o compañero permanente e hijos menores de 18 años, o hasta 25 años si estudian y dependen económicamente del afiliado) a los servicios incluidos en el Plan de Beneficios en Salud (PBS). El PBS es el catálogo de servicios, medicamentos, procedimientos y tecnologías en salud que las EPS deben garantizar a sus afiliados, definido mediante resolución del Ministerio de Salud. Desde 2022, el PBS es igual para los regímenes contributivo y subsidiado, aunque las condiciones de acceso pueden diferir.</w:t>
      </w:r>
    </w:p>
    <w:p w14:paraId="6F3B6427" w14:textId="5C234A15" w:rsidR="00AD3BE2" w:rsidRPr="00AD3BE2" w:rsidRDefault="00AD3BE2" w:rsidP="00AD3BE2">
      <w:pPr>
        <w:rPr>
          <w:lang w:val="es-419" w:eastAsia="es-CO"/>
        </w:rPr>
      </w:pPr>
      <w:r w:rsidRPr="00AD3BE2">
        <w:rPr>
          <w:lang w:val="es-419" w:eastAsia="es-CO"/>
        </w:rPr>
        <w:t>Un aspecto técnico importante para la liquidación es la diferencia entre la cotización de los trabajadores activos y la de los pensionados. Los pensionados activos que reciben su mesada, pero continúan laborando</w:t>
      </w:r>
      <w:r w:rsidR="005751B9">
        <w:rPr>
          <w:lang w:val="es-419" w:eastAsia="es-CO"/>
        </w:rPr>
        <w:t>,</w:t>
      </w:r>
      <w:r w:rsidRPr="00AD3BE2">
        <w:rPr>
          <w:lang w:val="es-419" w:eastAsia="es-CO"/>
        </w:rPr>
        <w:t xml:space="preserve"> deben cotizar a salud sobre el valor de la pensión y sobre el salario simultáneamente, pero en la práctica existe un mecanismo de coordinación entre las entidades para evitar la doble cotización. El pensionado que no trabaja cotiza únicamente sobre su mesada pensional a una tarifa del 12 %, sin distribución entre empleador y trabajador, pues no existe empleador en esa relación.</w:t>
      </w:r>
    </w:p>
    <w:p w14:paraId="547E2374" w14:textId="77777777" w:rsidR="00AD3BE2" w:rsidRPr="00AD3BE2" w:rsidRDefault="00AD3BE2" w:rsidP="00AD3BE2">
      <w:pPr>
        <w:rPr>
          <w:lang w:val="es-419" w:eastAsia="es-CO"/>
        </w:rPr>
      </w:pPr>
      <w:r w:rsidRPr="00AD3BE2">
        <w:rPr>
          <w:lang w:val="es-419" w:eastAsia="es-CO"/>
        </w:rPr>
        <w:t xml:space="preserve">Para los trabajadores independientes, la cotización a salud es del 12,5 % sobre el IBC (40 % de los honorarios). Como no tienen empleador, el 100 % de este porcentaje es asumido por el contratista. Por ejemplo, un contratista con honorarios mensuales de </w:t>
      </w:r>
      <w:r w:rsidRPr="00AD3BE2">
        <w:rPr>
          <w:lang w:val="es-419" w:eastAsia="es-CO"/>
        </w:rPr>
        <w:lastRenderedPageBreak/>
        <w:t>$4.000.000 tiene un IBC de $4.000.000 × 40 % = $1.600.000 y un aporte a salud de $1.600.000 × 12,5 % = $200.000, asumido íntegramente por el contratista. Para contratistas con honorarios altos, el IBC puede alcanzar el tope de 25 SMLMV ($43.772.625 en 2026) y el aporte mensual a salud sería de $43.772.625 × 12,5 % = $5.471.578. El contratista realiza este pago a través de la PILA tipo T o tipo E, según la duración del contrato.</w:t>
      </w:r>
    </w:p>
    <w:p w14:paraId="0622F994" w14:textId="77777777" w:rsidR="00AD3BE2" w:rsidRPr="00AD3BE2" w:rsidRDefault="00AD3BE2" w:rsidP="00AD3BE2">
      <w:pPr>
        <w:rPr>
          <w:lang w:val="es-419" w:eastAsia="es-CO"/>
        </w:rPr>
      </w:pPr>
      <w:r w:rsidRPr="00AD3BE2">
        <w:rPr>
          <w:lang w:val="es-419" w:eastAsia="es-CO"/>
        </w:rPr>
        <w:t>La siguiente tabla presenta de manera consolidada los porcentajes de cotización al Sistema General de Seguridad Social en Salud según el tipo de cotizante, con el fin de identificar con claridad la distribución de la obligación entre el empleador y el trabajador en cada modalidad de vinculación y facilitar la aplicación correcta de los porcentajes en el proceso de liquidación de la nómina.</w:t>
      </w:r>
    </w:p>
    <w:p w14:paraId="06CD4D7B" w14:textId="6F5ED165" w:rsidR="00AD3BE2" w:rsidRDefault="00AD3BE2" w:rsidP="0089046B">
      <w:pPr>
        <w:pStyle w:val="Tabla"/>
        <w:rPr>
          <w:lang w:val="es-419" w:eastAsia="es-CO"/>
        </w:rPr>
      </w:pPr>
      <w:r w:rsidRPr="00AD3BE2">
        <w:rPr>
          <w:lang w:val="es-419" w:eastAsia="es-CO"/>
        </w:rPr>
        <w:t>Porcentajes de cotización al SGSSS según tipo de cotizante</w:t>
      </w:r>
    </w:p>
    <w:tbl>
      <w:tblPr>
        <w:tblStyle w:val="SENA"/>
        <w:tblW w:w="9918" w:type="dxa"/>
        <w:tblLayout w:type="fixed"/>
        <w:tblLook w:val="0020" w:firstRow="1" w:lastRow="0" w:firstColumn="0" w:lastColumn="0" w:noHBand="0" w:noVBand="0"/>
      </w:tblPr>
      <w:tblGrid>
        <w:gridCol w:w="2749"/>
        <w:gridCol w:w="2537"/>
        <w:gridCol w:w="4632"/>
      </w:tblGrid>
      <w:tr w:rsidR="00AD3BE2" w:rsidRPr="00AD3BE2" w14:paraId="05A47D7E" w14:textId="77777777" w:rsidTr="008C7BE2">
        <w:trPr>
          <w:cnfStyle w:val="100000000000" w:firstRow="1" w:lastRow="0" w:firstColumn="0" w:lastColumn="0" w:oddVBand="0" w:evenVBand="0" w:oddHBand="0" w:evenHBand="0" w:firstRowFirstColumn="0" w:firstRowLastColumn="0" w:lastRowFirstColumn="0" w:lastRowLastColumn="0"/>
          <w:trHeight w:val="508"/>
          <w:tblHeader/>
        </w:trPr>
        <w:tc>
          <w:tcPr>
            <w:tcW w:w="2749" w:type="dxa"/>
          </w:tcPr>
          <w:p w14:paraId="4543F021" w14:textId="77777777" w:rsidR="00AD3BE2" w:rsidRPr="0089046B" w:rsidRDefault="00AD3BE2" w:rsidP="0089046B">
            <w:pPr>
              <w:pStyle w:val="TextoTablas"/>
              <w:rPr>
                <w:b w:val="0"/>
                <w:bCs/>
              </w:rPr>
            </w:pPr>
            <w:r w:rsidRPr="0089046B">
              <w:rPr>
                <w:bCs/>
              </w:rPr>
              <w:t>Tipo de cotizante</w:t>
            </w:r>
          </w:p>
        </w:tc>
        <w:tc>
          <w:tcPr>
            <w:tcW w:w="2537" w:type="dxa"/>
          </w:tcPr>
          <w:p w14:paraId="5A60075D" w14:textId="77777777" w:rsidR="00AD3BE2" w:rsidRPr="0089046B" w:rsidRDefault="00AD3BE2" w:rsidP="0089046B">
            <w:pPr>
              <w:pStyle w:val="TextoTablas"/>
              <w:rPr>
                <w:b w:val="0"/>
                <w:bCs/>
              </w:rPr>
            </w:pPr>
            <w:r w:rsidRPr="0089046B">
              <w:rPr>
                <w:bCs/>
              </w:rPr>
              <w:t>Empleador</w:t>
            </w:r>
          </w:p>
        </w:tc>
        <w:tc>
          <w:tcPr>
            <w:tcW w:w="4632" w:type="dxa"/>
          </w:tcPr>
          <w:p w14:paraId="310771C6" w14:textId="77777777" w:rsidR="00AD3BE2" w:rsidRPr="0089046B" w:rsidRDefault="00AD3BE2" w:rsidP="0089046B">
            <w:pPr>
              <w:pStyle w:val="TextoTablas"/>
              <w:rPr>
                <w:b w:val="0"/>
                <w:bCs/>
              </w:rPr>
            </w:pPr>
            <w:r w:rsidRPr="0089046B">
              <w:rPr>
                <w:bCs/>
              </w:rPr>
              <w:t>Trabajador / Total</w:t>
            </w:r>
          </w:p>
        </w:tc>
      </w:tr>
      <w:tr w:rsidR="00AD3BE2" w:rsidRPr="00AD3BE2" w14:paraId="4B6E77BC" w14:textId="77777777" w:rsidTr="008C7BE2">
        <w:trPr>
          <w:cnfStyle w:val="000000100000" w:firstRow="0" w:lastRow="0" w:firstColumn="0" w:lastColumn="0" w:oddVBand="0" w:evenVBand="0" w:oddHBand="1" w:evenHBand="0" w:firstRowFirstColumn="0" w:firstRowLastColumn="0" w:lastRowFirstColumn="0" w:lastRowLastColumn="0"/>
          <w:trHeight w:val="795"/>
        </w:trPr>
        <w:tc>
          <w:tcPr>
            <w:tcW w:w="2749" w:type="dxa"/>
          </w:tcPr>
          <w:p w14:paraId="126F05F8" w14:textId="77777777" w:rsidR="00AD3BE2" w:rsidRPr="00AD3BE2" w:rsidRDefault="00AD3BE2" w:rsidP="0089046B">
            <w:pPr>
              <w:pStyle w:val="TextoTablas"/>
              <w:rPr>
                <w:szCs w:val="24"/>
              </w:rPr>
            </w:pPr>
            <w:r w:rsidRPr="00AD3BE2">
              <w:rPr>
                <w:szCs w:val="24"/>
              </w:rPr>
              <w:t>Trabajador dependiente con salario.</w:t>
            </w:r>
          </w:p>
        </w:tc>
        <w:tc>
          <w:tcPr>
            <w:tcW w:w="2537" w:type="dxa"/>
          </w:tcPr>
          <w:p w14:paraId="4844C19A" w14:textId="77777777" w:rsidR="00AD3BE2" w:rsidRPr="00AD3BE2" w:rsidRDefault="00AD3BE2" w:rsidP="0089046B">
            <w:pPr>
              <w:pStyle w:val="TextoTablas"/>
              <w:rPr>
                <w:szCs w:val="24"/>
              </w:rPr>
            </w:pPr>
            <w:r w:rsidRPr="00AD3BE2">
              <w:rPr>
                <w:szCs w:val="24"/>
              </w:rPr>
              <w:t>8,5 % del IBC.</w:t>
            </w:r>
          </w:p>
        </w:tc>
        <w:tc>
          <w:tcPr>
            <w:tcW w:w="4632" w:type="dxa"/>
          </w:tcPr>
          <w:p w14:paraId="10C407DE" w14:textId="77777777" w:rsidR="00AD3BE2" w:rsidRPr="00AD3BE2" w:rsidRDefault="00AD3BE2" w:rsidP="0089046B">
            <w:pPr>
              <w:pStyle w:val="TextoTablas"/>
              <w:rPr>
                <w:szCs w:val="24"/>
              </w:rPr>
            </w:pPr>
            <w:r w:rsidRPr="00AD3BE2">
              <w:rPr>
                <w:szCs w:val="24"/>
              </w:rPr>
              <w:t>4 % del IBC / Total: 12,5 %.</w:t>
            </w:r>
          </w:p>
        </w:tc>
      </w:tr>
      <w:tr w:rsidR="00AD3BE2" w:rsidRPr="00AD3BE2" w14:paraId="30CF5BBD" w14:textId="77777777" w:rsidTr="008C7BE2">
        <w:trPr>
          <w:trHeight w:val="795"/>
        </w:trPr>
        <w:tc>
          <w:tcPr>
            <w:tcW w:w="2749" w:type="dxa"/>
          </w:tcPr>
          <w:p w14:paraId="67F447F4" w14:textId="77777777" w:rsidR="00AD3BE2" w:rsidRPr="00AD3BE2" w:rsidRDefault="00AD3BE2" w:rsidP="0089046B">
            <w:pPr>
              <w:pStyle w:val="TextoTablas"/>
              <w:rPr>
                <w:szCs w:val="24"/>
              </w:rPr>
            </w:pPr>
            <w:r w:rsidRPr="00AD3BE2">
              <w:rPr>
                <w:szCs w:val="24"/>
              </w:rPr>
              <w:t>Trabajador independiente con contrato.</w:t>
            </w:r>
          </w:p>
        </w:tc>
        <w:tc>
          <w:tcPr>
            <w:tcW w:w="2537" w:type="dxa"/>
          </w:tcPr>
          <w:p w14:paraId="2179419F" w14:textId="77777777" w:rsidR="00AD3BE2" w:rsidRPr="00AD3BE2" w:rsidRDefault="00AD3BE2" w:rsidP="0089046B">
            <w:pPr>
              <w:pStyle w:val="TextoTablas"/>
              <w:rPr>
                <w:szCs w:val="24"/>
              </w:rPr>
            </w:pPr>
            <w:r w:rsidRPr="00AD3BE2">
              <w:rPr>
                <w:szCs w:val="24"/>
              </w:rPr>
              <w:t>0 % (no hay empleador).</w:t>
            </w:r>
          </w:p>
        </w:tc>
        <w:tc>
          <w:tcPr>
            <w:tcW w:w="4632" w:type="dxa"/>
          </w:tcPr>
          <w:p w14:paraId="43D72C68" w14:textId="77777777" w:rsidR="00AD3BE2" w:rsidRPr="00AD3BE2" w:rsidRDefault="00AD3BE2" w:rsidP="0089046B">
            <w:pPr>
              <w:pStyle w:val="TextoTablas"/>
              <w:rPr>
                <w:szCs w:val="24"/>
              </w:rPr>
            </w:pPr>
            <w:r w:rsidRPr="00AD3BE2">
              <w:rPr>
                <w:szCs w:val="24"/>
              </w:rPr>
              <w:t>12,5 % sobre IBC (40 % honorarios).</w:t>
            </w:r>
          </w:p>
        </w:tc>
      </w:tr>
      <w:tr w:rsidR="00AD3BE2" w:rsidRPr="00AD3BE2" w14:paraId="1C25CA48" w14:textId="77777777" w:rsidTr="008C7BE2">
        <w:trPr>
          <w:cnfStyle w:val="000000100000" w:firstRow="0" w:lastRow="0" w:firstColumn="0" w:lastColumn="0" w:oddVBand="0" w:evenVBand="0" w:oddHBand="1" w:evenHBand="0" w:firstRowFirstColumn="0" w:firstRowLastColumn="0" w:lastRowFirstColumn="0" w:lastRowLastColumn="0"/>
          <w:trHeight w:val="795"/>
        </w:trPr>
        <w:tc>
          <w:tcPr>
            <w:tcW w:w="2749" w:type="dxa"/>
          </w:tcPr>
          <w:p w14:paraId="1DFF1FDA" w14:textId="77777777" w:rsidR="00AD3BE2" w:rsidRPr="00AD3BE2" w:rsidRDefault="00AD3BE2" w:rsidP="0089046B">
            <w:pPr>
              <w:pStyle w:val="TextoTablas"/>
              <w:rPr>
                <w:szCs w:val="24"/>
              </w:rPr>
            </w:pPr>
            <w:r w:rsidRPr="00AD3BE2">
              <w:rPr>
                <w:szCs w:val="24"/>
              </w:rPr>
              <w:t>Pensionado activo (sin trabajar).</w:t>
            </w:r>
          </w:p>
        </w:tc>
        <w:tc>
          <w:tcPr>
            <w:tcW w:w="2537" w:type="dxa"/>
          </w:tcPr>
          <w:p w14:paraId="5F75BEE4" w14:textId="77777777" w:rsidR="00AD3BE2" w:rsidRPr="00AD3BE2" w:rsidRDefault="00AD3BE2" w:rsidP="0089046B">
            <w:pPr>
              <w:pStyle w:val="TextoTablas"/>
              <w:rPr>
                <w:szCs w:val="24"/>
              </w:rPr>
            </w:pPr>
            <w:r w:rsidRPr="00AD3BE2">
              <w:rPr>
                <w:szCs w:val="24"/>
              </w:rPr>
              <w:t>0 %.</w:t>
            </w:r>
          </w:p>
        </w:tc>
        <w:tc>
          <w:tcPr>
            <w:tcW w:w="4632" w:type="dxa"/>
          </w:tcPr>
          <w:p w14:paraId="432922B8" w14:textId="77777777" w:rsidR="00AD3BE2" w:rsidRPr="00AD3BE2" w:rsidRDefault="00AD3BE2" w:rsidP="0089046B">
            <w:pPr>
              <w:pStyle w:val="TextoTablas"/>
              <w:rPr>
                <w:szCs w:val="24"/>
              </w:rPr>
            </w:pPr>
            <w:r w:rsidRPr="00AD3BE2">
              <w:rPr>
                <w:szCs w:val="24"/>
              </w:rPr>
              <w:t>12 % sobre mesada pensional.</w:t>
            </w:r>
          </w:p>
        </w:tc>
      </w:tr>
      <w:tr w:rsidR="00AD3BE2" w:rsidRPr="00AD3BE2" w14:paraId="21A72E27" w14:textId="77777777" w:rsidTr="008C7BE2">
        <w:trPr>
          <w:trHeight w:val="795"/>
        </w:trPr>
        <w:tc>
          <w:tcPr>
            <w:tcW w:w="2749" w:type="dxa"/>
          </w:tcPr>
          <w:p w14:paraId="70CDF309" w14:textId="77777777" w:rsidR="00AD3BE2" w:rsidRPr="00AD3BE2" w:rsidRDefault="00AD3BE2" w:rsidP="0089046B">
            <w:pPr>
              <w:pStyle w:val="TextoTablas"/>
              <w:rPr>
                <w:szCs w:val="24"/>
              </w:rPr>
            </w:pPr>
            <w:r w:rsidRPr="00AD3BE2">
              <w:rPr>
                <w:szCs w:val="24"/>
              </w:rPr>
              <w:t>Pensionado que trabaja simultáneamente.</w:t>
            </w:r>
          </w:p>
        </w:tc>
        <w:tc>
          <w:tcPr>
            <w:tcW w:w="2537" w:type="dxa"/>
          </w:tcPr>
          <w:p w14:paraId="27F19A08" w14:textId="77777777" w:rsidR="00AD3BE2" w:rsidRPr="00AD3BE2" w:rsidRDefault="00AD3BE2" w:rsidP="0089046B">
            <w:pPr>
              <w:pStyle w:val="TextoTablas"/>
              <w:rPr>
                <w:szCs w:val="24"/>
              </w:rPr>
            </w:pPr>
            <w:r w:rsidRPr="00AD3BE2">
              <w:rPr>
                <w:szCs w:val="24"/>
              </w:rPr>
              <w:t>8,5 % sobre salario.</w:t>
            </w:r>
          </w:p>
        </w:tc>
        <w:tc>
          <w:tcPr>
            <w:tcW w:w="4632" w:type="dxa"/>
          </w:tcPr>
          <w:p w14:paraId="7AAEDED3" w14:textId="77777777" w:rsidR="00AD3BE2" w:rsidRPr="00AD3BE2" w:rsidRDefault="00AD3BE2" w:rsidP="0089046B">
            <w:pPr>
              <w:pStyle w:val="TextoTablas"/>
              <w:rPr>
                <w:szCs w:val="24"/>
              </w:rPr>
            </w:pPr>
            <w:r w:rsidRPr="00AD3BE2">
              <w:rPr>
                <w:szCs w:val="24"/>
              </w:rPr>
              <w:t>4 % sobre salario + cotización sobre pensión.</w:t>
            </w:r>
          </w:p>
        </w:tc>
      </w:tr>
      <w:tr w:rsidR="00AD3BE2" w:rsidRPr="00AD3BE2" w14:paraId="1F18B9B0" w14:textId="77777777" w:rsidTr="008C7BE2">
        <w:trPr>
          <w:cnfStyle w:val="000000100000" w:firstRow="0" w:lastRow="0" w:firstColumn="0" w:lastColumn="0" w:oddVBand="0" w:evenVBand="0" w:oddHBand="1" w:evenHBand="0" w:firstRowFirstColumn="0" w:firstRowLastColumn="0" w:lastRowFirstColumn="0" w:lastRowLastColumn="0"/>
          <w:trHeight w:val="795"/>
        </w:trPr>
        <w:tc>
          <w:tcPr>
            <w:tcW w:w="2749" w:type="dxa"/>
          </w:tcPr>
          <w:p w14:paraId="25A25E6B" w14:textId="77777777" w:rsidR="00AD3BE2" w:rsidRPr="00AD3BE2" w:rsidRDefault="00AD3BE2" w:rsidP="0089046B">
            <w:pPr>
              <w:pStyle w:val="TextoTablas"/>
              <w:rPr>
                <w:szCs w:val="24"/>
              </w:rPr>
            </w:pPr>
            <w:r w:rsidRPr="00AD3BE2">
              <w:rPr>
                <w:szCs w:val="24"/>
              </w:rPr>
              <w:t>Aprendiz (fase productiva).</w:t>
            </w:r>
          </w:p>
        </w:tc>
        <w:tc>
          <w:tcPr>
            <w:tcW w:w="2537" w:type="dxa"/>
          </w:tcPr>
          <w:p w14:paraId="610CF6F3" w14:textId="77777777" w:rsidR="00AD3BE2" w:rsidRPr="00AD3BE2" w:rsidRDefault="00AD3BE2" w:rsidP="0089046B">
            <w:pPr>
              <w:pStyle w:val="TextoTablas"/>
              <w:rPr>
                <w:szCs w:val="24"/>
              </w:rPr>
            </w:pPr>
            <w:r w:rsidRPr="00AD3BE2">
              <w:rPr>
                <w:szCs w:val="24"/>
              </w:rPr>
              <w:t>8,5 % sobre apoyo de sostenimiento.</w:t>
            </w:r>
          </w:p>
        </w:tc>
        <w:tc>
          <w:tcPr>
            <w:tcW w:w="4632" w:type="dxa"/>
          </w:tcPr>
          <w:p w14:paraId="496ABE70" w14:textId="77777777" w:rsidR="00AD3BE2" w:rsidRPr="00AD3BE2" w:rsidRDefault="00AD3BE2" w:rsidP="0089046B">
            <w:pPr>
              <w:pStyle w:val="TextoTablas"/>
              <w:rPr>
                <w:szCs w:val="24"/>
              </w:rPr>
            </w:pPr>
            <w:r w:rsidRPr="00AD3BE2">
              <w:rPr>
                <w:szCs w:val="24"/>
              </w:rPr>
              <w:t>4 % sobre apoyo de sostenimiento.</w:t>
            </w:r>
          </w:p>
        </w:tc>
      </w:tr>
    </w:tbl>
    <w:p w14:paraId="5093F745" w14:textId="2B27C197" w:rsidR="00AD3BE2" w:rsidRDefault="00AD3BE2" w:rsidP="00AD3BE2">
      <w:pPr>
        <w:rPr>
          <w:lang w:val="es-419" w:eastAsia="es-CO"/>
        </w:rPr>
      </w:pPr>
      <w:r w:rsidRPr="00AD3BE2">
        <w:rPr>
          <w:lang w:val="es-419" w:eastAsia="es-CO"/>
        </w:rPr>
        <w:lastRenderedPageBreak/>
        <w:t>Establecidos los porcentajes de cotización al sistema de salud, el proceso de liquidación continúa con el cálculo de los aportes al Sistema General de Pensiones, que comparte la misma base de cotización, pero tiene una estructura de distribución propia y, para los trabajadores de ingresos más altos, un aporte adicional destinado a la solidaridad del sistema.</w:t>
      </w:r>
    </w:p>
    <w:p w14:paraId="2F3A8D95" w14:textId="77777777" w:rsidR="0089046B" w:rsidRPr="00AD3BE2" w:rsidRDefault="0089046B" w:rsidP="00AD3BE2">
      <w:pPr>
        <w:rPr>
          <w:lang w:val="es-419" w:eastAsia="es-CO"/>
        </w:rPr>
      </w:pPr>
    </w:p>
    <w:p w14:paraId="16BBE390" w14:textId="456E9672" w:rsidR="00831C29" w:rsidRDefault="00512463" w:rsidP="00831C29">
      <w:pPr>
        <w:pStyle w:val="Ttulo2"/>
      </w:pPr>
      <w:bookmarkStart w:id="10" w:name="_Toc235611011"/>
      <w:r w:rsidRPr="00512463">
        <w:t>Regímenes pensionales: RPM y RAIS</w:t>
      </w:r>
      <w:bookmarkEnd w:id="10"/>
    </w:p>
    <w:p w14:paraId="23E61A1D" w14:textId="77777777" w:rsidR="00AD3BE2" w:rsidRPr="00AD3BE2" w:rsidRDefault="00AD3BE2" w:rsidP="00AD3BE2">
      <w:pPr>
        <w:rPr>
          <w:lang w:val="es-419" w:eastAsia="es-CO"/>
        </w:rPr>
      </w:pPr>
      <w:r w:rsidRPr="00AD3BE2">
        <w:rPr>
          <w:lang w:val="es-419" w:eastAsia="es-CO"/>
        </w:rPr>
        <w:t xml:space="preserve">La cotización al Sistema General de Pensiones es del 16 % del IBC, distribuida en un 12 % a cargo del empleador y un 4 % a cargo del trabajador. El sistema colombiano ofrece dos regímenes entre los cuales el trabajador elige al momento de vincularse: el Régimen de Prima Media con Prestación Definida (RPM), administrado por Colpensiones, en el que los aportes van a un fondo común y la pensión es pagada por el Estado al cumplir los requisitos de edad y semanas cotizadas; y el Régimen de Ahorro Individual con Solidaridad (RAIS), administrado por las AFP privadas (Protección, Porvenir, Colfondos, </w:t>
      </w:r>
      <w:proofErr w:type="spellStart"/>
      <w:r w:rsidRPr="00AD3BE2">
        <w:rPr>
          <w:lang w:val="es-419" w:eastAsia="es-CO"/>
        </w:rPr>
        <w:t>Skandia</w:t>
      </w:r>
      <w:proofErr w:type="spellEnd"/>
      <w:r w:rsidRPr="00AD3BE2">
        <w:rPr>
          <w:lang w:val="es-419" w:eastAsia="es-CO"/>
        </w:rPr>
        <w:t xml:space="preserve">), en el que cada afiliado acumula su propio capital en una cuenta individual y el valor de la pensión futura depende del monto acumulado. </w:t>
      </w:r>
    </w:p>
    <w:p w14:paraId="4D84A02D" w14:textId="2BF02769" w:rsidR="00AD3BE2" w:rsidRPr="00AD3BE2" w:rsidRDefault="00AD3BE2" w:rsidP="00AD3BE2">
      <w:pPr>
        <w:rPr>
          <w:lang w:val="es-419" w:eastAsia="es-CO"/>
        </w:rPr>
      </w:pPr>
      <w:r w:rsidRPr="00AD3BE2">
        <w:rPr>
          <w:lang w:val="es-419" w:eastAsia="es-CO"/>
        </w:rPr>
        <w:t>Independientemente del régimen elegido, los porcentajes de cotización son idénticos</w:t>
      </w:r>
      <w:r w:rsidR="005751B9">
        <w:rPr>
          <w:lang w:val="es-419" w:eastAsia="es-CO"/>
        </w:rPr>
        <w:t>;</w:t>
      </w:r>
      <w:r w:rsidRPr="00AD3BE2">
        <w:rPr>
          <w:lang w:val="es-419" w:eastAsia="es-CO"/>
        </w:rPr>
        <w:t xml:space="preserve"> la diferencia no está en cuánto se cotiza</w:t>
      </w:r>
      <w:r w:rsidR="005751B9">
        <w:rPr>
          <w:lang w:val="es-419" w:eastAsia="es-CO"/>
        </w:rPr>
        <w:t>,</w:t>
      </w:r>
      <w:r w:rsidRPr="00AD3BE2">
        <w:rPr>
          <w:lang w:val="es-419" w:eastAsia="es-CO"/>
        </w:rPr>
        <w:t xml:space="preserve"> sino en cómo se administran y acumulan los recursos para generar la futura pensión del trabajador.</w:t>
      </w:r>
    </w:p>
    <w:p w14:paraId="3C9DE632" w14:textId="77777777" w:rsidR="00AD3BE2" w:rsidRPr="00AD3BE2" w:rsidRDefault="00AD3BE2" w:rsidP="00AD3BE2">
      <w:pPr>
        <w:rPr>
          <w:lang w:val="es-419" w:eastAsia="es-CO"/>
        </w:rPr>
      </w:pPr>
      <w:r w:rsidRPr="00AD3BE2">
        <w:rPr>
          <w:lang w:val="es-419" w:eastAsia="es-CO"/>
        </w:rPr>
        <w:t xml:space="preserve">Para los trabajadores con IBC superior a 4 SMLMV, se genera un aporte adicional al Fondo de Solidaridad Pensional (FSP), que tiene como propósito subsidiar las pensiones de los trabajadores de menores ingresos que no alcanzan a cumplir los requisitos para pensionarse. Este aporte adicional es del 1 % del IBC para los </w:t>
      </w:r>
      <w:r w:rsidRPr="00AD3BE2">
        <w:rPr>
          <w:lang w:val="es-419" w:eastAsia="es-CO"/>
        </w:rPr>
        <w:lastRenderedPageBreak/>
        <w:t>trabajadores con IBC entre 4 y 16 SMLMV, y puede incrementarse progresivamente para trabajadores con IBC superior a 16 SMLMV, llegando hasta el 2 % para IBC superiores a 20 SMLMV. Este aporte es asumido íntegramente por el trabajador y se descuenta de su salario.</w:t>
      </w:r>
    </w:p>
    <w:p w14:paraId="1094E448" w14:textId="20868C23" w:rsidR="00AD3BE2" w:rsidRPr="00AD3BE2" w:rsidRDefault="00AD3BE2" w:rsidP="00AD3BE2">
      <w:pPr>
        <w:rPr>
          <w:lang w:val="es-419" w:eastAsia="es-CO"/>
        </w:rPr>
      </w:pPr>
      <w:r w:rsidRPr="00AD3BE2">
        <w:rPr>
          <w:lang w:val="es-419" w:eastAsia="es-CO"/>
        </w:rPr>
        <w:t>Para los trabajadores independientes, la cotización a pensión es del 16 % sobre el IBC (40 % de los honorarios), y el 100 % es asumido por el contratista</w:t>
      </w:r>
      <w:r w:rsidR="005751B9">
        <w:rPr>
          <w:lang w:val="es-419" w:eastAsia="es-CO"/>
        </w:rPr>
        <w:t>,</w:t>
      </w:r>
      <w:r w:rsidRPr="00AD3BE2">
        <w:rPr>
          <w:lang w:val="es-419" w:eastAsia="es-CO"/>
        </w:rPr>
        <w:t xml:space="preserve"> pues no existe empleador. Este porcentaje puede resultar significativo para contratistas con honorarios medios</w:t>
      </w:r>
      <w:r w:rsidR="005751B9">
        <w:rPr>
          <w:lang w:val="es-419" w:eastAsia="es-CO"/>
        </w:rPr>
        <w:t>;</w:t>
      </w:r>
      <w:r w:rsidRPr="00AD3BE2">
        <w:rPr>
          <w:lang w:val="es-419" w:eastAsia="es-CO"/>
        </w:rPr>
        <w:t xml:space="preserve"> si los honorarios mensuales son de $5.000.000, el IBC es $2.000.000 y el aporte a pensión es $2.000.000 × 16 % = $320.000 mensuales, lo que representa el 6,4 % de los honorarios brutos. Esta carga debe considerarse en la negociación del valor de los contratos.</w:t>
      </w:r>
    </w:p>
    <w:p w14:paraId="3B066903" w14:textId="77777777" w:rsidR="00AD3BE2" w:rsidRPr="00AD3BE2" w:rsidRDefault="00AD3BE2" w:rsidP="00AD3BE2">
      <w:pPr>
        <w:rPr>
          <w:lang w:val="es-419" w:eastAsia="es-CO"/>
        </w:rPr>
      </w:pPr>
      <w:r w:rsidRPr="00AD3BE2">
        <w:rPr>
          <w:lang w:val="es-419" w:eastAsia="es-CO"/>
        </w:rPr>
        <w:t>Una situación especial en materia pensional es la del trabajador que tiene semanas cotizadas en ambos regímenes, RPM y RAIS, como consecuencia de traslados realizados a lo largo de su vida laboral. Para gestionar correctamente esta situación, es necesario tener en cuenta los siguientes aspectos:</w:t>
      </w:r>
    </w:p>
    <w:p w14:paraId="7FF75D2C" w14:textId="19A5290B" w:rsidR="00AD3BE2" w:rsidRPr="00AD3BE2" w:rsidRDefault="00AD3BE2" w:rsidP="00F65317">
      <w:pPr>
        <w:pStyle w:val="Prrafodelista"/>
        <w:numPr>
          <w:ilvl w:val="0"/>
          <w:numId w:val="15"/>
        </w:numPr>
        <w:rPr>
          <w:lang w:val="es-419" w:eastAsia="es-CO"/>
        </w:rPr>
      </w:pPr>
      <w:r w:rsidRPr="00AD3BE2">
        <w:rPr>
          <w:b/>
          <w:bCs/>
          <w:lang w:val="es-419" w:eastAsia="es-CO"/>
        </w:rPr>
        <w:t>Totalización de semanas:</w:t>
      </w:r>
      <w:r w:rsidRPr="00AD3BE2">
        <w:rPr>
          <w:lang w:val="es-419" w:eastAsia="es-CO"/>
        </w:rPr>
        <w:t xml:space="preserve"> al momento de cumplir los requisitos de pensión, el trabajador puede solicitar la suma de todas las semanas cotizadas en ambos regímenes, independientemente de cuándo y en cuál de los dos las haya aportado.</w:t>
      </w:r>
    </w:p>
    <w:p w14:paraId="4FBE4CF5" w14:textId="121DD1F7" w:rsidR="00AD3BE2" w:rsidRPr="00AD3BE2" w:rsidRDefault="00AD3BE2" w:rsidP="00F65317">
      <w:pPr>
        <w:pStyle w:val="Prrafodelista"/>
        <w:numPr>
          <w:ilvl w:val="0"/>
          <w:numId w:val="15"/>
        </w:numPr>
        <w:rPr>
          <w:lang w:val="es-419" w:eastAsia="es-CO"/>
        </w:rPr>
      </w:pPr>
      <w:r w:rsidRPr="00AD3BE2">
        <w:rPr>
          <w:b/>
          <w:bCs/>
          <w:lang w:val="es-419" w:eastAsia="es-CO"/>
        </w:rPr>
        <w:t>Régimen de afiliación vigente:</w:t>
      </w:r>
      <w:r w:rsidRPr="00AD3BE2">
        <w:rPr>
          <w:lang w:val="es-419" w:eastAsia="es-CO"/>
        </w:rPr>
        <w:t xml:space="preserve"> la totalización se aplica en el régimen en que el trabajador se encuentre afiliado al momento de solicitar la pensión, siempre que se cumplan las condiciones establecidas por la ley.</w:t>
      </w:r>
    </w:p>
    <w:p w14:paraId="529B231A" w14:textId="543A25E0" w:rsidR="00AD3BE2" w:rsidRPr="00AD3BE2" w:rsidRDefault="00AD3BE2" w:rsidP="00F65317">
      <w:pPr>
        <w:pStyle w:val="Prrafodelista"/>
        <w:numPr>
          <w:ilvl w:val="0"/>
          <w:numId w:val="15"/>
        </w:numPr>
        <w:rPr>
          <w:lang w:val="es-419" w:eastAsia="es-CO"/>
        </w:rPr>
      </w:pPr>
      <w:r w:rsidRPr="00AD3BE2">
        <w:rPr>
          <w:b/>
          <w:bCs/>
          <w:lang w:val="es-419" w:eastAsia="es-CO"/>
        </w:rPr>
        <w:lastRenderedPageBreak/>
        <w:t>Impacto en la liquidación de nómina:</w:t>
      </w:r>
      <w:r w:rsidRPr="00AD3BE2">
        <w:rPr>
          <w:lang w:val="es-419" w:eastAsia="es-CO"/>
        </w:rPr>
        <w:t xml:space="preserve"> esta situación no afecta directamente el cálculo ni el pago de los aportes mensuales, pues los porcentajes y la base de cotización son idénticos en los dos regímenes.</w:t>
      </w:r>
    </w:p>
    <w:p w14:paraId="249E7CF4" w14:textId="6F1E5285" w:rsidR="00AD3BE2" w:rsidRPr="00AD3BE2" w:rsidRDefault="00AD3BE2" w:rsidP="00F65317">
      <w:pPr>
        <w:pStyle w:val="Prrafodelista"/>
        <w:numPr>
          <w:ilvl w:val="0"/>
          <w:numId w:val="15"/>
        </w:numPr>
        <w:rPr>
          <w:lang w:val="es-419" w:eastAsia="es-CO"/>
        </w:rPr>
      </w:pPr>
      <w:r w:rsidRPr="00AD3BE2">
        <w:rPr>
          <w:b/>
          <w:bCs/>
          <w:lang w:val="es-419" w:eastAsia="es-CO"/>
        </w:rPr>
        <w:t>Orientación al trabajador:</w:t>
      </w:r>
      <w:r w:rsidRPr="00AD3BE2">
        <w:rPr>
          <w:lang w:val="es-419" w:eastAsia="es-CO"/>
        </w:rPr>
        <w:t xml:space="preserve"> aunque el profesional de nómina no define la estrategia pensional del trabajador, debe estar preparado para orientar las consultas que se generen y remitir al trabajador a las entidades competentes cuando la situación lo requiera.</w:t>
      </w:r>
    </w:p>
    <w:p w14:paraId="6F2C74AE" w14:textId="77777777" w:rsidR="00AD3BE2" w:rsidRPr="00AD3BE2" w:rsidRDefault="00AD3BE2" w:rsidP="00AD3BE2">
      <w:pPr>
        <w:rPr>
          <w:lang w:val="es-419" w:eastAsia="es-CO"/>
        </w:rPr>
      </w:pPr>
      <w:r w:rsidRPr="00AD3BE2">
        <w:rPr>
          <w:lang w:val="es-419" w:eastAsia="es-CO"/>
        </w:rPr>
        <w:t>El conocimiento de estas particularidades del sistema pensional complementa la competencia técnica del profesional de nómina y le permite acompañar al trabajador con criterio ante situaciones que, aunque no afectan la liquidación mensual, tienen consecuencias significativas en el largo plazo.</w:t>
      </w:r>
    </w:p>
    <w:p w14:paraId="17852176" w14:textId="77777777" w:rsidR="00AD3BE2" w:rsidRPr="00AD3BE2" w:rsidRDefault="00AD3BE2" w:rsidP="00AD3BE2">
      <w:pPr>
        <w:rPr>
          <w:lang w:val="es-419" w:eastAsia="es-CO"/>
        </w:rPr>
      </w:pPr>
      <w:r w:rsidRPr="00AD3BE2">
        <w:rPr>
          <w:lang w:val="es-419" w:eastAsia="es-CO"/>
        </w:rPr>
        <w:t>La siguiente tabla presenta la escala progresiva de aportes al Sistema General de Pensiones y al Fondo de Solidaridad Pensional (FSP) según el rango del IBC del trabajador. Su consulta permite identificar con precisión el porcentaje total de cotización a pensión que corresponde a cada trabajador según su nivel de ingresos, así como el momento en que se activa el aporte adicional de solidaridad y el porcentaje que se incrementa a medida que aumenta el IBC.</w:t>
      </w:r>
    </w:p>
    <w:p w14:paraId="3E8E68AF" w14:textId="0014920C" w:rsidR="00AD3BE2" w:rsidRDefault="00AD3BE2" w:rsidP="0089046B">
      <w:pPr>
        <w:pStyle w:val="Tabla"/>
        <w:rPr>
          <w:lang w:val="es-419" w:eastAsia="es-CO"/>
        </w:rPr>
      </w:pPr>
      <w:r w:rsidRPr="00AD3BE2">
        <w:rPr>
          <w:lang w:val="es-419" w:eastAsia="es-CO"/>
        </w:rPr>
        <w:t xml:space="preserve">Aportes al Sistema </w:t>
      </w:r>
      <w:r w:rsidR="004475E3">
        <w:rPr>
          <w:lang w:val="es-419" w:eastAsia="es-CO"/>
        </w:rPr>
        <w:t>G</w:t>
      </w:r>
      <w:r w:rsidRPr="00AD3BE2">
        <w:rPr>
          <w:lang w:val="es-419" w:eastAsia="es-CO"/>
        </w:rPr>
        <w:t xml:space="preserve">eneral de </w:t>
      </w:r>
      <w:r w:rsidR="004475E3">
        <w:rPr>
          <w:lang w:val="es-419" w:eastAsia="es-CO"/>
        </w:rPr>
        <w:t>P</w:t>
      </w:r>
      <w:r w:rsidRPr="00AD3BE2">
        <w:rPr>
          <w:lang w:val="es-419" w:eastAsia="es-CO"/>
        </w:rPr>
        <w:t xml:space="preserve">ensiones y al Fondo de </w:t>
      </w:r>
      <w:r w:rsidR="004475E3">
        <w:rPr>
          <w:lang w:val="es-419" w:eastAsia="es-CO"/>
        </w:rPr>
        <w:t>S</w:t>
      </w:r>
      <w:r w:rsidRPr="00AD3BE2">
        <w:rPr>
          <w:lang w:val="es-419" w:eastAsia="es-CO"/>
        </w:rPr>
        <w:t>olidaridad</w:t>
      </w:r>
    </w:p>
    <w:tbl>
      <w:tblPr>
        <w:tblStyle w:val="SENA"/>
        <w:tblW w:w="9931" w:type="dxa"/>
        <w:tblLayout w:type="fixed"/>
        <w:tblLook w:val="0020" w:firstRow="1" w:lastRow="0" w:firstColumn="0" w:lastColumn="0" w:noHBand="0" w:noVBand="0"/>
      </w:tblPr>
      <w:tblGrid>
        <w:gridCol w:w="3023"/>
        <w:gridCol w:w="6908"/>
      </w:tblGrid>
      <w:tr w:rsidR="008456E8" w:rsidRPr="008456E8" w14:paraId="07557387" w14:textId="77777777" w:rsidTr="008C7BE2">
        <w:trPr>
          <w:cnfStyle w:val="100000000000" w:firstRow="1" w:lastRow="0" w:firstColumn="0" w:lastColumn="0" w:oddVBand="0" w:evenVBand="0" w:oddHBand="0" w:evenHBand="0" w:firstRowFirstColumn="0" w:firstRowLastColumn="0" w:lastRowFirstColumn="0" w:lastRowLastColumn="0"/>
          <w:trHeight w:val="559"/>
          <w:tblHeader/>
        </w:trPr>
        <w:tc>
          <w:tcPr>
            <w:tcW w:w="3023" w:type="dxa"/>
          </w:tcPr>
          <w:p w14:paraId="2113FC14" w14:textId="77777777" w:rsidR="008456E8" w:rsidRPr="008C7BE2" w:rsidRDefault="008456E8" w:rsidP="008C7BE2">
            <w:pPr>
              <w:pStyle w:val="TextoTablas"/>
            </w:pPr>
            <w:r w:rsidRPr="008C7BE2">
              <w:t>Rango de IBC</w:t>
            </w:r>
          </w:p>
        </w:tc>
        <w:tc>
          <w:tcPr>
            <w:tcW w:w="6908" w:type="dxa"/>
          </w:tcPr>
          <w:p w14:paraId="16BA622F" w14:textId="77777777" w:rsidR="008456E8" w:rsidRPr="008C7BE2" w:rsidRDefault="008456E8" w:rsidP="008C7BE2">
            <w:pPr>
              <w:pStyle w:val="TextoTablas"/>
            </w:pPr>
            <w:r w:rsidRPr="008C7BE2">
              <w:t>Aporte total y distribución</w:t>
            </w:r>
          </w:p>
        </w:tc>
      </w:tr>
      <w:tr w:rsidR="008456E8" w:rsidRPr="008456E8" w14:paraId="638DE76C" w14:textId="77777777" w:rsidTr="008C7BE2">
        <w:trPr>
          <w:cnfStyle w:val="000000100000" w:firstRow="0" w:lastRow="0" w:firstColumn="0" w:lastColumn="0" w:oddVBand="0" w:evenVBand="0" w:oddHBand="1" w:evenHBand="0" w:firstRowFirstColumn="0" w:firstRowLastColumn="0" w:lastRowFirstColumn="0" w:lastRowLastColumn="0"/>
          <w:trHeight w:val="681"/>
        </w:trPr>
        <w:tc>
          <w:tcPr>
            <w:tcW w:w="3023" w:type="dxa"/>
          </w:tcPr>
          <w:p w14:paraId="743DBC56" w14:textId="77777777" w:rsidR="008456E8" w:rsidRPr="008456E8" w:rsidRDefault="008456E8" w:rsidP="0089046B">
            <w:pPr>
              <w:pStyle w:val="TextoTablas"/>
              <w:rPr>
                <w:szCs w:val="24"/>
              </w:rPr>
            </w:pPr>
            <w:r w:rsidRPr="008456E8">
              <w:rPr>
                <w:szCs w:val="24"/>
              </w:rPr>
              <w:t>Hasta 4 SMLMV.</w:t>
            </w:r>
          </w:p>
        </w:tc>
        <w:tc>
          <w:tcPr>
            <w:tcW w:w="6908" w:type="dxa"/>
          </w:tcPr>
          <w:p w14:paraId="7F6F1537" w14:textId="77777777" w:rsidR="008456E8" w:rsidRPr="008456E8" w:rsidRDefault="008456E8" w:rsidP="0089046B">
            <w:pPr>
              <w:pStyle w:val="TextoTablas"/>
              <w:rPr>
                <w:szCs w:val="24"/>
              </w:rPr>
            </w:pPr>
            <w:r w:rsidRPr="008456E8">
              <w:rPr>
                <w:szCs w:val="24"/>
              </w:rPr>
              <w:t>16 % del IBC: 12 % empleador + 4 % trabajador. Sin aporte adicional al FSP.</w:t>
            </w:r>
          </w:p>
        </w:tc>
      </w:tr>
      <w:tr w:rsidR="008456E8" w:rsidRPr="008456E8" w14:paraId="1F1D2FB7" w14:textId="77777777" w:rsidTr="008C7BE2">
        <w:trPr>
          <w:trHeight w:val="543"/>
        </w:trPr>
        <w:tc>
          <w:tcPr>
            <w:tcW w:w="3023" w:type="dxa"/>
          </w:tcPr>
          <w:p w14:paraId="55F41198" w14:textId="77777777" w:rsidR="008456E8" w:rsidRPr="008456E8" w:rsidRDefault="008456E8" w:rsidP="0089046B">
            <w:pPr>
              <w:pStyle w:val="TextoTablas"/>
              <w:rPr>
                <w:szCs w:val="24"/>
              </w:rPr>
            </w:pPr>
            <w:r w:rsidRPr="008456E8">
              <w:rPr>
                <w:szCs w:val="24"/>
              </w:rPr>
              <w:t>Entre 4 y 16 SMLMV.</w:t>
            </w:r>
          </w:p>
        </w:tc>
        <w:tc>
          <w:tcPr>
            <w:tcW w:w="6908" w:type="dxa"/>
          </w:tcPr>
          <w:p w14:paraId="0F53DBA0" w14:textId="30337BAD" w:rsidR="008456E8" w:rsidRPr="008456E8" w:rsidRDefault="008456E8" w:rsidP="0089046B">
            <w:pPr>
              <w:pStyle w:val="TextoTablas"/>
              <w:rPr>
                <w:szCs w:val="24"/>
              </w:rPr>
            </w:pPr>
            <w:r w:rsidRPr="008456E8">
              <w:rPr>
                <w:szCs w:val="24"/>
              </w:rPr>
              <w:t>16 % del IBC + 1</w:t>
            </w:r>
            <w:r w:rsidR="004475E3">
              <w:rPr>
                <w:szCs w:val="24"/>
              </w:rPr>
              <w:t xml:space="preserve"> </w:t>
            </w:r>
            <w:r w:rsidRPr="008456E8">
              <w:rPr>
                <w:szCs w:val="24"/>
              </w:rPr>
              <w:t>% adicional del trabajador al FSP. Total, trabajador: 5 %.</w:t>
            </w:r>
          </w:p>
        </w:tc>
      </w:tr>
      <w:tr w:rsidR="008456E8" w:rsidRPr="008456E8" w14:paraId="3CBFD7BC" w14:textId="77777777" w:rsidTr="008C7BE2">
        <w:trPr>
          <w:cnfStyle w:val="000000100000" w:firstRow="0" w:lastRow="0" w:firstColumn="0" w:lastColumn="0" w:oddVBand="0" w:evenVBand="0" w:oddHBand="1" w:evenHBand="0" w:firstRowFirstColumn="0" w:firstRowLastColumn="0" w:lastRowFirstColumn="0" w:lastRowLastColumn="0"/>
          <w:trHeight w:val="684"/>
        </w:trPr>
        <w:tc>
          <w:tcPr>
            <w:tcW w:w="3023" w:type="dxa"/>
          </w:tcPr>
          <w:p w14:paraId="3DBC47DD" w14:textId="77777777" w:rsidR="008456E8" w:rsidRPr="008456E8" w:rsidRDefault="008456E8" w:rsidP="0089046B">
            <w:pPr>
              <w:pStyle w:val="TextoTablas"/>
              <w:rPr>
                <w:szCs w:val="24"/>
              </w:rPr>
            </w:pPr>
            <w:r w:rsidRPr="008456E8">
              <w:rPr>
                <w:szCs w:val="24"/>
              </w:rPr>
              <w:lastRenderedPageBreak/>
              <w:t>Entre 16 y 17 SMLMV.</w:t>
            </w:r>
          </w:p>
        </w:tc>
        <w:tc>
          <w:tcPr>
            <w:tcW w:w="6908" w:type="dxa"/>
          </w:tcPr>
          <w:p w14:paraId="7B1DAE97" w14:textId="421C60DC" w:rsidR="008456E8" w:rsidRPr="008456E8" w:rsidRDefault="008456E8" w:rsidP="0089046B">
            <w:pPr>
              <w:pStyle w:val="TextoTablas"/>
              <w:rPr>
                <w:szCs w:val="24"/>
              </w:rPr>
            </w:pPr>
            <w:r w:rsidRPr="008456E8">
              <w:rPr>
                <w:szCs w:val="24"/>
              </w:rPr>
              <w:t>16 % del IBC + 1,2</w:t>
            </w:r>
            <w:r w:rsidR="004475E3">
              <w:rPr>
                <w:szCs w:val="24"/>
              </w:rPr>
              <w:t xml:space="preserve"> </w:t>
            </w:r>
            <w:r w:rsidRPr="008456E8">
              <w:rPr>
                <w:szCs w:val="24"/>
              </w:rPr>
              <w:t>% adicional del trabajador al FSP.</w:t>
            </w:r>
          </w:p>
        </w:tc>
      </w:tr>
      <w:tr w:rsidR="008456E8" w:rsidRPr="008456E8" w14:paraId="78FBF8B7" w14:textId="77777777" w:rsidTr="008C7BE2">
        <w:trPr>
          <w:trHeight w:val="708"/>
        </w:trPr>
        <w:tc>
          <w:tcPr>
            <w:tcW w:w="3023" w:type="dxa"/>
          </w:tcPr>
          <w:p w14:paraId="26C40AF6" w14:textId="77777777" w:rsidR="008456E8" w:rsidRPr="008456E8" w:rsidRDefault="008456E8" w:rsidP="0089046B">
            <w:pPr>
              <w:pStyle w:val="TextoTablas"/>
              <w:rPr>
                <w:szCs w:val="24"/>
              </w:rPr>
            </w:pPr>
            <w:r w:rsidRPr="008456E8">
              <w:rPr>
                <w:szCs w:val="24"/>
              </w:rPr>
              <w:t>Entre 17 y 18 SMLMV.</w:t>
            </w:r>
          </w:p>
        </w:tc>
        <w:tc>
          <w:tcPr>
            <w:tcW w:w="6908" w:type="dxa"/>
          </w:tcPr>
          <w:p w14:paraId="49E533AB" w14:textId="77777777" w:rsidR="008456E8" w:rsidRPr="008456E8" w:rsidRDefault="008456E8" w:rsidP="0089046B">
            <w:pPr>
              <w:pStyle w:val="TextoTablas"/>
              <w:rPr>
                <w:szCs w:val="24"/>
              </w:rPr>
            </w:pPr>
            <w:r w:rsidRPr="008456E8">
              <w:rPr>
                <w:szCs w:val="24"/>
              </w:rPr>
              <w:t>16 % del IBC + 1,4 % adicional del trabajador al FSP.</w:t>
            </w:r>
          </w:p>
        </w:tc>
      </w:tr>
      <w:tr w:rsidR="008456E8" w:rsidRPr="008456E8" w14:paraId="7BD0FA2C" w14:textId="77777777" w:rsidTr="008C7BE2">
        <w:trPr>
          <w:cnfStyle w:val="000000100000" w:firstRow="0" w:lastRow="0" w:firstColumn="0" w:lastColumn="0" w:oddVBand="0" w:evenVBand="0" w:oddHBand="1" w:evenHBand="0" w:firstRowFirstColumn="0" w:firstRowLastColumn="0" w:lastRowFirstColumn="0" w:lastRowLastColumn="0"/>
          <w:trHeight w:val="689"/>
        </w:trPr>
        <w:tc>
          <w:tcPr>
            <w:tcW w:w="3023" w:type="dxa"/>
          </w:tcPr>
          <w:p w14:paraId="75817D43" w14:textId="77777777" w:rsidR="008456E8" w:rsidRPr="008456E8" w:rsidRDefault="008456E8" w:rsidP="0089046B">
            <w:pPr>
              <w:pStyle w:val="TextoTablas"/>
              <w:rPr>
                <w:szCs w:val="24"/>
              </w:rPr>
            </w:pPr>
            <w:r w:rsidRPr="008456E8">
              <w:rPr>
                <w:szCs w:val="24"/>
              </w:rPr>
              <w:t>Entre 18 y 19 SMLMV.</w:t>
            </w:r>
          </w:p>
        </w:tc>
        <w:tc>
          <w:tcPr>
            <w:tcW w:w="6908" w:type="dxa"/>
          </w:tcPr>
          <w:p w14:paraId="03AF6C0E" w14:textId="55BCA433" w:rsidR="008456E8" w:rsidRPr="008456E8" w:rsidRDefault="008456E8" w:rsidP="0089046B">
            <w:pPr>
              <w:pStyle w:val="TextoTablas"/>
              <w:rPr>
                <w:szCs w:val="24"/>
              </w:rPr>
            </w:pPr>
            <w:r w:rsidRPr="008456E8">
              <w:rPr>
                <w:szCs w:val="24"/>
              </w:rPr>
              <w:t>16 % del IBC + 1,6</w:t>
            </w:r>
            <w:r w:rsidR="004475E3">
              <w:rPr>
                <w:szCs w:val="24"/>
              </w:rPr>
              <w:t xml:space="preserve"> </w:t>
            </w:r>
            <w:r w:rsidRPr="008456E8">
              <w:rPr>
                <w:szCs w:val="24"/>
              </w:rPr>
              <w:t>% adicional del trabajador al FSP.</w:t>
            </w:r>
          </w:p>
        </w:tc>
      </w:tr>
      <w:tr w:rsidR="008456E8" w:rsidRPr="008456E8" w14:paraId="656C7F39" w14:textId="77777777" w:rsidTr="008C7BE2">
        <w:trPr>
          <w:trHeight w:val="699"/>
        </w:trPr>
        <w:tc>
          <w:tcPr>
            <w:tcW w:w="3023" w:type="dxa"/>
          </w:tcPr>
          <w:p w14:paraId="1B1A66D1" w14:textId="77777777" w:rsidR="008456E8" w:rsidRPr="008456E8" w:rsidRDefault="008456E8" w:rsidP="0089046B">
            <w:pPr>
              <w:pStyle w:val="TextoTablas"/>
              <w:rPr>
                <w:szCs w:val="24"/>
              </w:rPr>
            </w:pPr>
            <w:r w:rsidRPr="008456E8">
              <w:rPr>
                <w:szCs w:val="24"/>
              </w:rPr>
              <w:t>Entre 19 y 20 SMLMV.</w:t>
            </w:r>
          </w:p>
        </w:tc>
        <w:tc>
          <w:tcPr>
            <w:tcW w:w="6908" w:type="dxa"/>
          </w:tcPr>
          <w:p w14:paraId="5EE72B14" w14:textId="40F40EEC" w:rsidR="008456E8" w:rsidRPr="008456E8" w:rsidRDefault="008456E8" w:rsidP="0089046B">
            <w:pPr>
              <w:pStyle w:val="TextoTablas"/>
              <w:rPr>
                <w:szCs w:val="24"/>
              </w:rPr>
            </w:pPr>
            <w:r w:rsidRPr="008456E8">
              <w:rPr>
                <w:szCs w:val="24"/>
              </w:rPr>
              <w:t>16 % del IBC + 1,8</w:t>
            </w:r>
            <w:r w:rsidR="004475E3">
              <w:rPr>
                <w:szCs w:val="24"/>
              </w:rPr>
              <w:t xml:space="preserve"> </w:t>
            </w:r>
            <w:r w:rsidRPr="008456E8">
              <w:rPr>
                <w:szCs w:val="24"/>
              </w:rPr>
              <w:t>% adicional del trabajador al FSP.</w:t>
            </w:r>
          </w:p>
        </w:tc>
      </w:tr>
      <w:tr w:rsidR="008456E8" w:rsidRPr="008456E8" w14:paraId="0AB36F65" w14:textId="77777777" w:rsidTr="008C7BE2">
        <w:trPr>
          <w:cnfStyle w:val="000000100000" w:firstRow="0" w:lastRow="0" w:firstColumn="0" w:lastColumn="0" w:oddVBand="0" w:evenVBand="0" w:oddHBand="1" w:evenHBand="0" w:firstRowFirstColumn="0" w:firstRowLastColumn="0" w:lastRowFirstColumn="0" w:lastRowLastColumn="0"/>
          <w:trHeight w:val="695"/>
        </w:trPr>
        <w:tc>
          <w:tcPr>
            <w:tcW w:w="3023" w:type="dxa"/>
          </w:tcPr>
          <w:p w14:paraId="0E598933" w14:textId="77777777" w:rsidR="008456E8" w:rsidRPr="008456E8" w:rsidRDefault="008456E8" w:rsidP="0089046B">
            <w:pPr>
              <w:pStyle w:val="TextoTablas"/>
              <w:rPr>
                <w:szCs w:val="24"/>
              </w:rPr>
            </w:pPr>
            <w:r w:rsidRPr="008456E8">
              <w:rPr>
                <w:szCs w:val="24"/>
              </w:rPr>
              <w:t>Más de 20 SMLMV.</w:t>
            </w:r>
          </w:p>
        </w:tc>
        <w:tc>
          <w:tcPr>
            <w:tcW w:w="6908" w:type="dxa"/>
          </w:tcPr>
          <w:p w14:paraId="1BF114B0" w14:textId="77777777" w:rsidR="008456E8" w:rsidRPr="008456E8" w:rsidRDefault="008456E8" w:rsidP="0089046B">
            <w:pPr>
              <w:pStyle w:val="TextoTablas"/>
              <w:rPr>
                <w:szCs w:val="24"/>
              </w:rPr>
            </w:pPr>
            <w:r w:rsidRPr="008456E8">
              <w:rPr>
                <w:szCs w:val="24"/>
              </w:rPr>
              <w:t>16 % del IBC + 2 % adicional del trabajador al FSP. Total, trabajador: 6 %.</w:t>
            </w:r>
          </w:p>
        </w:tc>
      </w:tr>
    </w:tbl>
    <w:p w14:paraId="3EFE3EBF" w14:textId="77777777" w:rsidR="0089046B" w:rsidRDefault="0089046B" w:rsidP="00AD3BE2">
      <w:pPr>
        <w:rPr>
          <w:lang w:val="es-419" w:eastAsia="es-CO"/>
        </w:rPr>
      </w:pPr>
    </w:p>
    <w:p w14:paraId="69774EB9" w14:textId="3AB9EB98" w:rsidR="008456E8" w:rsidRDefault="008456E8" w:rsidP="00AD3BE2">
      <w:pPr>
        <w:rPr>
          <w:lang w:val="es-419" w:eastAsia="es-CO"/>
        </w:rPr>
      </w:pPr>
      <w:r w:rsidRPr="008456E8">
        <w:rPr>
          <w:lang w:val="es-419" w:eastAsia="es-CO"/>
        </w:rPr>
        <w:t>A diferencia de los sistemas de salud y pensiones, cuya cotización se distribuye entre el empleador y el trabajador, el Sistema General de Riesgos Laborales establece un porcentaje que recae íntegramente en el empleador y que varía según la actividad económica de la empresa, lo que exige un conocimiento preciso de la clasificación de riesgos vigente.</w:t>
      </w:r>
    </w:p>
    <w:p w14:paraId="099007A1" w14:textId="77777777" w:rsidR="0089046B" w:rsidRDefault="0089046B" w:rsidP="00AD3BE2">
      <w:pPr>
        <w:rPr>
          <w:lang w:val="es-419" w:eastAsia="es-CO"/>
        </w:rPr>
      </w:pPr>
    </w:p>
    <w:p w14:paraId="7F41B477" w14:textId="11F7B59E" w:rsidR="00512463" w:rsidRDefault="00512463" w:rsidP="00512463">
      <w:pPr>
        <w:pStyle w:val="Ttulo2"/>
      </w:pPr>
      <w:bookmarkStart w:id="11" w:name="_Toc235611012"/>
      <w:r w:rsidRPr="00512463">
        <w:t>Sistema General de Riesgos Laborales</w:t>
      </w:r>
      <w:bookmarkEnd w:id="11"/>
    </w:p>
    <w:p w14:paraId="5BFF78C8" w14:textId="77777777" w:rsidR="008456E8" w:rsidRPr="008456E8" w:rsidRDefault="008456E8" w:rsidP="008456E8">
      <w:pPr>
        <w:rPr>
          <w:lang w:val="es-419" w:eastAsia="es-CO"/>
        </w:rPr>
      </w:pPr>
      <w:r w:rsidRPr="008456E8">
        <w:rPr>
          <w:lang w:val="es-419" w:eastAsia="es-CO"/>
        </w:rPr>
        <w:t>El Sistema General de Riesgos Laborales (SGRL) protege al trabajador frente a los accidentes de trabajo y las enfermedades laborales que puedan presentarse por causa o con ocasión de la actividad que desarrolla. A diferencia de la salud y la pensión, su cotización está a cargo del empleador y no se descuenta del salario del trabajador. Esta obligación exige identificar correctamente la actividad económica de la empresa, la clase de riesgo y la tarifa aplicable en la liquidación de aportes.</w:t>
      </w:r>
    </w:p>
    <w:p w14:paraId="72C9761B" w14:textId="77777777" w:rsidR="008456E8" w:rsidRPr="008456E8" w:rsidRDefault="008456E8" w:rsidP="008456E8">
      <w:pPr>
        <w:rPr>
          <w:lang w:val="es-419" w:eastAsia="es-CO"/>
        </w:rPr>
      </w:pPr>
      <w:r w:rsidRPr="008456E8">
        <w:rPr>
          <w:lang w:val="es-419" w:eastAsia="es-CO"/>
        </w:rPr>
        <w:lastRenderedPageBreak/>
        <w:t>La clasificación de riesgos laborales se determina con base en la actividad económica registrada y en la exposición a peligros propios del trabajo. Para ello, debe consultarse la tabla vigente adoptada por el Decreto 768 de 2022, norma que actualizó la clasificación de actividades económicas del SGRL y derogó el Decreto 1607 de 2002. Esta precisión es importante, porque una clasificación incorrecta puede generar aportes mal liquidados, inconsistencias en la PILA y posibles requerimientos de las entidades de control.</w:t>
      </w:r>
    </w:p>
    <w:p w14:paraId="35C4E7C4" w14:textId="77777777" w:rsidR="008456E8" w:rsidRPr="008456E8" w:rsidRDefault="008456E8" w:rsidP="008456E8">
      <w:pPr>
        <w:rPr>
          <w:lang w:val="es-419" w:eastAsia="es-CO"/>
        </w:rPr>
      </w:pPr>
      <w:r w:rsidRPr="008456E8">
        <w:rPr>
          <w:lang w:val="es-419" w:eastAsia="es-CO"/>
        </w:rPr>
        <w:t>Para comprender la cotización al Sistema General de Riesgos Laborales, es necesario tener en cuenta tres aspectos básicos:</w:t>
      </w:r>
    </w:p>
    <w:p w14:paraId="5DFC0AB7" w14:textId="330CC91D" w:rsidR="008456E8" w:rsidRPr="008456E8" w:rsidRDefault="008456E8" w:rsidP="00F65317">
      <w:pPr>
        <w:pStyle w:val="Prrafodelista"/>
        <w:numPr>
          <w:ilvl w:val="0"/>
          <w:numId w:val="16"/>
        </w:numPr>
        <w:rPr>
          <w:lang w:val="es-419" w:eastAsia="es-CO"/>
        </w:rPr>
      </w:pPr>
      <w:r w:rsidRPr="008456E8">
        <w:rPr>
          <w:b/>
          <w:bCs/>
          <w:lang w:val="es-419" w:eastAsia="es-CO"/>
        </w:rPr>
        <w:t>Actividad económica:</w:t>
      </w:r>
      <w:r w:rsidRPr="008456E8">
        <w:rPr>
          <w:lang w:val="es-419" w:eastAsia="es-CO"/>
        </w:rPr>
        <w:t xml:space="preserve"> corresponde a la labor principal que desarrolla la empresa y sirve como punto de partida para definir la clase de riesgo aplicable. </w:t>
      </w:r>
    </w:p>
    <w:p w14:paraId="2933F762" w14:textId="6F9A684E" w:rsidR="008456E8" w:rsidRPr="008456E8" w:rsidRDefault="008456E8" w:rsidP="00F65317">
      <w:pPr>
        <w:pStyle w:val="Prrafodelista"/>
        <w:numPr>
          <w:ilvl w:val="0"/>
          <w:numId w:val="16"/>
        </w:numPr>
        <w:rPr>
          <w:lang w:val="es-419" w:eastAsia="es-CO"/>
        </w:rPr>
      </w:pPr>
      <w:r w:rsidRPr="008456E8">
        <w:rPr>
          <w:b/>
          <w:bCs/>
          <w:lang w:val="es-419" w:eastAsia="es-CO"/>
        </w:rPr>
        <w:t>Clase de riesgo:</w:t>
      </w:r>
      <w:r w:rsidRPr="008456E8">
        <w:rPr>
          <w:lang w:val="es-419" w:eastAsia="es-CO"/>
        </w:rPr>
        <w:t xml:space="preserve"> identifica el nivel de exposición del trabajador a peligros laborales. Se organiza en cinco clases, desde riesgo mínimo hasta riesgo máximo. </w:t>
      </w:r>
    </w:p>
    <w:p w14:paraId="49A62977" w14:textId="19555B66" w:rsidR="008456E8" w:rsidRPr="008456E8" w:rsidRDefault="008456E8" w:rsidP="00F65317">
      <w:pPr>
        <w:pStyle w:val="Prrafodelista"/>
        <w:numPr>
          <w:ilvl w:val="0"/>
          <w:numId w:val="16"/>
        </w:numPr>
        <w:rPr>
          <w:lang w:val="es-419" w:eastAsia="es-CO"/>
        </w:rPr>
      </w:pPr>
      <w:r w:rsidRPr="008456E8">
        <w:rPr>
          <w:b/>
          <w:bCs/>
          <w:lang w:val="es-419" w:eastAsia="es-CO"/>
        </w:rPr>
        <w:t>Tarifa de cotización:</w:t>
      </w:r>
      <w:r w:rsidRPr="008456E8">
        <w:rPr>
          <w:lang w:val="es-419" w:eastAsia="es-CO"/>
        </w:rPr>
        <w:t xml:space="preserve"> es el porcentaje que se aplica sobre el Ingreso Base de Cotización (IBC) del trabajador para calcular el aporte a riesgos laborales. </w:t>
      </w:r>
    </w:p>
    <w:p w14:paraId="0691A349" w14:textId="77777777" w:rsidR="008456E8" w:rsidRPr="008456E8" w:rsidRDefault="008456E8" w:rsidP="008456E8">
      <w:pPr>
        <w:rPr>
          <w:lang w:val="es-419" w:eastAsia="es-CO"/>
        </w:rPr>
      </w:pPr>
      <w:r w:rsidRPr="008456E8">
        <w:rPr>
          <w:lang w:val="es-419" w:eastAsia="es-CO"/>
        </w:rPr>
        <w:t>Estos tres aspectos permiten liquidar el aporte de manera coherente con la actividad real de la empresa y con las condiciones de exposición del trabajador. Por ello, el profesional de nómina debe verificar que la clase de riesgo registrada en la Administradora de Riesgos Laborales (ARL) corresponda a la actividad económica vigente y a los centros de trabajo reportados.</w:t>
      </w:r>
    </w:p>
    <w:p w14:paraId="66FF252B" w14:textId="03307F71" w:rsidR="008456E8" w:rsidRDefault="008456E8" w:rsidP="008456E8">
      <w:pPr>
        <w:rPr>
          <w:lang w:val="es-419" w:eastAsia="es-CO"/>
        </w:rPr>
      </w:pPr>
      <w:r w:rsidRPr="008456E8">
        <w:rPr>
          <w:lang w:val="es-419" w:eastAsia="es-CO"/>
        </w:rPr>
        <w:lastRenderedPageBreak/>
        <w:t>Las empresas con más de un centro de trabajo pueden tener diferentes clases de riesgo cuando exista una diferenciación clara en la actividad desarrollada, las instalaciones y la exposición a peligros. Esta posibilidad permite reconocer que no todos los trabajadores enfrentan el mismo nivel de riesgo, especialmente en organizaciones que combinan actividades administrativas, operativas, logísticas o productivas.</w:t>
      </w:r>
    </w:p>
    <w:p w14:paraId="7695D436" w14:textId="5F551A5D" w:rsidR="008456E8" w:rsidRDefault="008456E8" w:rsidP="008456E8">
      <w:pPr>
        <w:rPr>
          <w:lang w:val="es-419" w:eastAsia="es-CO"/>
        </w:rPr>
      </w:pPr>
      <w:r w:rsidRPr="008456E8">
        <w:rPr>
          <w:lang w:val="es-419" w:eastAsia="es-CO"/>
        </w:rPr>
        <w:t>La cotización al SGRL depende de la actividad económica, la clase de riesgo y el IBC del trabajador; por ello, su correcta clasificación evita errores en la liquidación de aportes y fortalece la prevención laboral.</w:t>
      </w:r>
    </w:p>
    <w:p w14:paraId="5B62D94F" w14:textId="77777777" w:rsidR="008456E8" w:rsidRPr="008456E8" w:rsidRDefault="008456E8" w:rsidP="008456E8">
      <w:pPr>
        <w:rPr>
          <w:lang w:val="es-419" w:eastAsia="es-CO"/>
        </w:rPr>
      </w:pPr>
      <w:r w:rsidRPr="008456E8">
        <w:rPr>
          <w:lang w:val="es-419" w:eastAsia="es-CO"/>
        </w:rPr>
        <w:t>En la siguiente tabla se presenta la clasificación general de los riesgos laborales y las tarifas iniciales de cotización aplicables según el nivel de exposición. Esta información facilita la consulta, la comparación y la identificación de la clase de riesgo que debe verificarse antes de liquidar los aportes en la planilla.</w:t>
      </w:r>
    </w:p>
    <w:p w14:paraId="5EE15E17" w14:textId="78A3A2E7" w:rsidR="008456E8" w:rsidRDefault="008456E8" w:rsidP="0089046B">
      <w:pPr>
        <w:pStyle w:val="Tabla"/>
        <w:rPr>
          <w:lang w:val="es-419" w:eastAsia="es-CO"/>
        </w:rPr>
      </w:pPr>
      <w:r w:rsidRPr="008456E8">
        <w:rPr>
          <w:lang w:val="es-419" w:eastAsia="es-CO"/>
        </w:rPr>
        <w:t>Clasificación de riesgos laborales y tarifas de cotización</w:t>
      </w:r>
    </w:p>
    <w:tbl>
      <w:tblPr>
        <w:tblStyle w:val="SENA"/>
        <w:tblW w:w="9971" w:type="dxa"/>
        <w:tblLayout w:type="fixed"/>
        <w:tblLook w:val="0020" w:firstRow="1" w:lastRow="0" w:firstColumn="0" w:lastColumn="0" w:noHBand="0" w:noVBand="0"/>
      </w:tblPr>
      <w:tblGrid>
        <w:gridCol w:w="2556"/>
        <w:gridCol w:w="3196"/>
        <w:gridCol w:w="4219"/>
      </w:tblGrid>
      <w:tr w:rsidR="008456E8" w:rsidRPr="008C7BE2" w14:paraId="45292C6E" w14:textId="77777777" w:rsidTr="008C7BE2">
        <w:trPr>
          <w:cnfStyle w:val="100000000000" w:firstRow="1" w:lastRow="0" w:firstColumn="0" w:lastColumn="0" w:oddVBand="0" w:evenVBand="0" w:oddHBand="0" w:evenHBand="0" w:firstRowFirstColumn="0" w:firstRowLastColumn="0" w:lastRowFirstColumn="0" w:lastRowLastColumn="0"/>
          <w:trHeight w:val="604"/>
          <w:tblHeader/>
        </w:trPr>
        <w:tc>
          <w:tcPr>
            <w:tcW w:w="2556" w:type="dxa"/>
          </w:tcPr>
          <w:p w14:paraId="0447571B" w14:textId="77777777" w:rsidR="008456E8" w:rsidRPr="008C7BE2" w:rsidRDefault="008456E8" w:rsidP="008C7BE2">
            <w:pPr>
              <w:pStyle w:val="TextoTablas"/>
            </w:pPr>
            <w:r w:rsidRPr="008C7BE2">
              <w:t>Clase de riesgo</w:t>
            </w:r>
          </w:p>
        </w:tc>
        <w:tc>
          <w:tcPr>
            <w:tcW w:w="3196" w:type="dxa"/>
          </w:tcPr>
          <w:p w14:paraId="3FE56466" w14:textId="77777777" w:rsidR="008456E8" w:rsidRPr="008C7BE2" w:rsidRDefault="008456E8" w:rsidP="008C7BE2">
            <w:pPr>
              <w:pStyle w:val="TextoTablas"/>
            </w:pPr>
            <w:r w:rsidRPr="008C7BE2">
              <w:t>Tarifa de cotización</w:t>
            </w:r>
          </w:p>
        </w:tc>
        <w:tc>
          <w:tcPr>
            <w:tcW w:w="4219" w:type="dxa"/>
          </w:tcPr>
          <w:p w14:paraId="5E4982BB" w14:textId="77777777" w:rsidR="008456E8" w:rsidRPr="008C7BE2" w:rsidRDefault="008456E8" w:rsidP="008C7BE2">
            <w:pPr>
              <w:pStyle w:val="TextoTablas"/>
            </w:pPr>
            <w:r w:rsidRPr="008C7BE2">
              <w:t>Ejemplos de actividades</w:t>
            </w:r>
          </w:p>
        </w:tc>
      </w:tr>
      <w:tr w:rsidR="008456E8" w:rsidRPr="008C7BE2" w14:paraId="3E727E3A" w14:textId="77777777" w:rsidTr="008C7BE2">
        <w:trPr>
          <w:cnfStyle w:val="000000100000" w:firstRow="0" w:lastRow="0" w:firstColumn="0" w:lastColumn="0" w:oddVBand="0" w:evenVBand="0" w:oddHBand="1" w:evenHBand="0" w:firstRowFirstColumn="0" w:firstRowLastColumn="0" w:lastRowFirstColumn="0" w:lastRowLastColumn="0"/>
          <w:trHeight w:val="906"/>
        </w:trPr>
        <w:tc>
          <w:tcPr>
            <w:tcW w:w="2556" w:type="dxa"/>
          </w:tcPr>
          <w:p w14:paraId="579A5266" w14:textId="77777777" w:rsidR="008456E8" w:rsidRPr="008C7BE2" w:rsidRDefault="008456E8" w:rsidP="008C7BE2">
            <w:pPr>
              <w:pStyle w:val="TextoTablas"/>
            </w:pPr>
            <w:r w:rsidRPr="008C7BE2">
              <w:t>Clase I — Riesgo mínimo.</w:t>
            </w:r>
          </w:p>
        </w:tc>
        <w:tc>
          <w:tcPr>
            <w:tcW w:w="3196" w:type="dxa"/>
          </w:tcPr>
          <w:p w14:paraId="5657F61C" w14:textId="77777777" w:rsidR="008456E8" w:rsidRPr="008C7BE2" w:rsidRDefault="008456E8" w:rsidP="008C7BE2">
            <w:pPr>
              <w:pStyle w:val="TextoTablas"/>
            </w:pPr>
            <w:r w:rsidRPr="008C7BE2">
              <w:t>0,522 %</w:t>
            </w:r>
          </w:p>
        </w:tc>
        <w:tc>
          <w:tcPr>
            <w:tcW w:w="4219" w:type="dxa"/>
          </w:tcPr>
          <w:p w14:paraId="07896EF6" w14:textId="77777777" w:rsidR="008456E8" w:rsidRPr="008C7BE2" w:rsidRDefault="008456E8" w:rsidP="008C7BE2">
            <w:pPr>
              <w:pStyle w:val="TextoTablas"/>
            </w:pPr>
            <w:r w:rsidRPr="008C7BE2">
              <w:t>Oficinas, bancos, seguros, colegios, consultorios médicos.</w:t>
            </w:r>
          </w:p>
        </w:tc>
      </w:tr>
      <w:tr w:rsidR="008456E8" w:rsidRPr="008C7BE2" w14:paraId="3CD48D9C" w14:textId="77777777" w:rsidTr="008C7BE2">
        <w:trPr>
          <w:trHeight w:val="921"/>
        </w:trPr>
        <w:tc>
          <w:tcPr>
            <w:tcW w:w="2556" w:type="dxa"/>
          </w:tcPr>
          <w:p w14:paraId="49614D03" w14:textId="77777777" w:rsidR="008456E8" w:rsidRPr="008C7BE2" w:rsidRDefault="008456E8" w:rsidP="008C7BE2">
            <w:pPr>
              <w:pStyle w:val="TextoTablas"/>
            </w:pPr>
            <w:r w:rsidRPr="008C7BE2">
              <w:t>Clase II — Riesgo bajo.</w:t>
            </w:r>
          </w:p>
        </w:tc>
        <w:tc>
          <w:tcPr>
            <w:tcW w:w="3196" w:type="dxa"/>
          </w:tcPr>
          <w:p w14:paraId="34D4530B" w14:textId="77777777" w:rsidR="008456E8" w:rsidRPr="008C7BE2" w:rsidRDefault="008456E8" w:rsidP="008C7BE2">
            <w:pPr>
              <w:pStyle w:val="TextoTablas"/>
            </w:pPr>
            <w:r w:rsidRPr="008C7BE2">
              <w:t>Hasta 1,044 %</w:t>
            </w:r>
          </w:p>
        </w:tc>
        <w:tc>
          <w:tcPr>
            <w:tcW w:w="4219" w:type="dxa"/>
          </w:tcPr>
          <w:p w14:paraId="50829680" w14:textId="77777777" w:rsidR="008456E8" w:rsidRPr="008C7BE2" w:rsidRDefault="008456E8" w:rsidP="008C7BE2">
            <w:pPr>
              <w:pStyle w:val="TextoTablas"/>
            </w:pPr>
            <w:r w:rsidRPr="008C7BE2">
              <w:t>Comercio al detal, hoteles, restaurantes, manufactura ligera.</w:t>
            </w:r>
          </w:p>
        </w:tc>
      </w:tr>
      <w:tr w:rsidR="008456E8" w:rsidRPr="008C7BE2" w14:paraId="6D349784" w14:textId="77777777" w:rsidTr="008C7BE2">
        <w:trPr>
          <w:cnfStyle w:val="000000100000" w:firstRow="0" w:lastRow="0" w:firstColumn="0" w:lastColumn="0" w:oddVBand="0" w:evenVBand="0" w:oddHBand="1" w:evenHBand="0" w:firstRowFirstColumn="0" w:firstRowLastColumn="0" w:lastRowFirstColumn="0" w:lastRowLastColumn="0"/>
          <w:trHeight w:val="906"/>
        </w:trPr>
        <w:tc>
          <w:tcPr>
            <w:tcW w:w="2556" w:type="dxa"/>
          </w:tcPr>
          <w:p w14:paraId="41495CBC" w14:textId="77777777" w:rsidR="008456E8" w:rsidRPr="008C7BE2" w:rsidRDefault="008456E8" w:rsidP="008C7BE2">
            <w:pPr>
              <w:pStyle w:val="TextoTablas"/>
            </w:pPr>
            <w:r w:rsidRPr="008C7BE2">
              <w:t>Clase III — Riesgo medio.</w:t>
            </w:r>
          </w:p>
        </w:tc>
        <w:tc>
          <w:tcPr>
            <w:tcW w:w="3196" w:type="dxa"/>
          </w:tcPr>
          <w:p w14:paraId="36776194" w14:textId="77777777" w:rsidR="008456E8" w:rsidRPr="008C7BE2" w:rsidRDefault="008456E8" w:rsidP="008C7BE2">
            <w:pPr>
              <w:pStyle w:val="TextoTablas"/>
            </w:pPr>
            <w:r w:rsidRPr="008C7BE2">
              <w:t>Hasta 2,436 %</w:t>
            </w:r>
          </w:p>
        </w:tc>
        <w:tc>
          <w:tcPr>
            <w:tcW w:w="4219" w:type="dxa"/>
          </w:tcPr>
          <w:p w14:paraId="1CE736F8" w14:textId="77777777" w:rsidR="008456E8" w:rsidRPr="008C7BE2" w:rsidRDefault="008456E8" w:rsidP="008C7BE2">
            <w:pPr>
              <w:pStyle w:val="TextoTablas"/>
            </w:pPr>
            <w:r w:rsidRPr="008C7BE2">
              <w:t>Industrias manufactureras, transporte, construcción liviana.</w:t>
            </w:r>
          </w:p>
        </w:tc>
      </w:tr>
      <w:tr w:rsidR="008456E8" w:rsidRPr="008C7BE2" w14:paraId="67C5256B" w14:textId="77777777" w:rsidTr="008C7BE2">
        <w:trPr>
          <w:trHeight w:val="906"/>
        </w:trPr>
        <w:tc>
          <w:tcPr>
            <w:tcW w:w="2556" w:type="dxa"/>
          </w:tcPr>
          <w:p w14:paraId="15A5917A" w14:textId="77777777" w:rsidR="008456E8" w:rsidRPr="008C7BE2" w:rsidRDefault="008456E8" w:rsidP="008C7BE2">
            <w:pPr>
              <w:pStyle w:val="TextoTablas"/>
            </w:pPr>
            <w:r w:rsidRPr="008C7BE2">
              <w:t>Clase IV — Riesgo alto.</w:t>
            </w:r>
          </w:p>
        </w:tc>
        <w:tc>
          <w:tcPr>
            <w:tcW w:w="3196" w:type="dxa"/>
          </w:tcPr>
          <w:p w14:paraId="0BCAA5CD" w14:textId="77777777" w:rsidR="008456E8" w:rsidRPr="008C7BE2" w:rsidRDefault="008456E8" w:rsidP="008C7BE2">
            <w:pPr>
              <w:pStyle w:val="TextoTablas"/>
            </w:pPr>
            <w:r w:rsidRPr="008C7BE2">
              <w:t>Hasta 4,350 %</w:t>
            </w:r>
          </w:p>
        </w:tc>
        <w:tc>
          <w:tcPr>
            <w:tcW w:w="4219" w:type="dxa"/>
          </w:tcPr>
          <w:p w14:paraId="784770F3" w14:textId="77777777" w:rsidR="008456E8" w:rsidRPr="008C7BE2" w:rsidRDefault="008456E8" w:rsidP="008C7BE2">
            <w:pPr>
              <w:pStyle w:val="TextoTablas"/>
            </w:pPr>
            <w:r w:rsidRPr="008C7BE2">
              <w:t>Industria química, minería superficial, transporte de carga.</w:t>
            </w:r>
          </w:p>
        </w:tc>
      </w:tr>
      <w:tr w:rsidR="008456E8" w:rsidRPr="008C7BE2" w14:paraId="05CD8E32" w14:textId="77777777" w:rsidTr="008C7BE2">
        <w:trPr>
          <w:cnfStyle w:val="000000100000" w:firstRow="0" w:lastRow="0" w:firstColumn="0" w:lastColumn="0" w:oddVBand="0" w:evenVBand="0" w:oddHBand="1" w:evenHBand="0" w:firstRowFirstColumn="0" w:firstRowLastColumn="0" w:lastRowFirstColumn="0" w:lastRowLastColumn="0"/>
          <w:trHeight w:val="921"/>
        </w:trPr>
        <w:tc>
          <w:tcPr>
            <w:tcW w:w="2556" w:type="dxa"/>
          </w:tcPr>
          <w:p w14:paraId="11395F8D" w14:textId="77777777" w:rsidR="008456E8" w:rsidRPr="008C7BE2" w:rsidRDefault="008456E8" w:rsidP="008C7BE2">
            <w:pPr>
              <w:pStyle w:val="TextoTablas"/>
            </w:pPr>
            <w:r w:rsidRPr="008C7BE2">
              <w:lastRenderedPageBreak/>
              <w:t>Clase V — Riesgo máximo.</w:t>
            </w:r>
          </w:p>
        </w:tc>
        <w:tc>
          <w:tcPr>
            <w:tcW w:w="3196" w:type="dxa"/>
          </w:tcPr>
          <w:p w14:paraId="61136A5B" w14:textId="77777777" w:rsidR="008456E8" w:rsidRPr="008C7BE2" w:rsidRDefault="008456E8" w:rsidP="008C7BE2">
            <w:pPr>
              <w:pStyle w:val="TextoTablas"/>
            </w:pPr>
            <w:r w:rsidRPr="008C7BE2">
              <w:t>Hasta 6,960 %</w:t>
            </w:r>
          </w:p>
        </w:tc>
        <w:tc>
          <w:tcPr>
            <w:tcW w:w="4219" w:type="dxa"/>
          </w:tcPr>
          <w:p w14:paraId="40E3FF7F" w14:textId="77777777" w:rsidR="008456E8" w:rsidRPr="008C7BE2" w:rsidRDefault="008456E8" w:rsidP="008C7BE2">
            <w:pPr>
              <w:pStyle w:val="TextoTablas"/>
            </w:pPr>
            <w:r w:rsidRPr="008C7BE2">
              <w:t>Minería subterránea, manejo de explosivos, construcción en altura.</w:t>
            </w:r>
          </w:p>
        </w:tc>
      </w:tr>
    </w:tbl>
    <w:p w14:paraId="0EFD270B" w14:textId="77777777" w:rsidR="00EC41F4" w:rsidRDefault="00EC41F4" w:rsidP="008456E8">
      <w:pPr>
        <w:rPr>
          <w:lang w:val="es-419" w:eastAsia="es-CO"/>
        </w:rPr>
      </w:pPr>
    </w:p>
    <w:p w14:paraId="20F9A491" w14:textId="408157B5" w:rsidR="008456E8" w:rsidRPr="008456E8" w:rsidRDefault="008456E8" w:rsidP="008456E8">
      <w:pPr>
        <w:rPr>
          <w:lang w:val="es-419" w:eastAsia="es-CO"/>
        </w:rPr>
      </w:pPr>
      <w:r w:rsidRPr="008456E8">
        <w:rPr>
          <w:lang w:val="es-419" w:eastAsia="es-CO"/>
        </w:rPr>
        <w:t>La tabla permite reconocer que la tarifa de riesgos laborales aumenta según el nivel de exposición de la actividad económica. Por esta razón, no basta con aplicar un porcentaje general</w:t>
      </w:r>
      <w:r w:rsidR="004475E3">
        <w:rPr>
          <w:lang w:val="es-419" w:eastAsia="es-CO"/>
        </w:rPr>
        <w:t>;</w:t>
      </w:r>
      <w:r w:rsidRPr="008456E8">
        <w:rPr>
          <w:lang w:val="es-419" w:eastAsia="es-CO"/>
        </w:rPr>
        <w:t xml:space="preserve"> es necesario revisar la clasificación asignada por la ARL, validar la actividad económica y confirmar si existen centros de trabajo con riesgos diferenciados.</w:t>
      </w:r>
    </w:p>
    <w:p w14:paraId="215D3F93" w14:textId="77777777" w:rsidR="008456E8" w:rsidRPr="008456E8" w:rsidRDefault="008456E8" w:rsidP="008456E8">
      <w:pPr>
        <w:rPr>
          <w:lang w:val="es-419" w:eastAsia="es-CO"/>
        </w:rPr>
      </w:pPr>
      <w:r w:rsidRPr="008456E8">
        <w:rPr>
          <w:lang w:val="es-419" w:eastAsia="es-CO"/>
        </w:rPr>
        <w:t>En la práctica, una empresa puede tener personal administrativo en clase I y personal operativo en una clase superior, siempre que la actividad, las instalaciones y la exposición al peligro estén claramente diferenciadas. Esta revisión favorece una liquidación más precisa y evita que la organización pague aportes inferiores o superiores a los que corresponden.</w:t>
      </w:r>
    </w:p>
    <w:p w14:paraId="3E283923" w14:textId="2BAE150E" w:rsidR="008456E8" w:rsidRPr="008456E8" w:rsidRDefault="008456E8" w:rsidP="008456E8">
      <w:pPr>
        <w:rPr>
          <w:lang w:val="es-419" w:eastAsia="es-CO"/>
        </w:rPr>
      </w:pPr>
      <w:r w:rsidRPr="008456E8">
        <w:rPr>
          <w:lang w:val="es-419" w:eastAsia="es-CO"/>
        </w:rPr>
        <w:t>Una vez identificados los aportes a salud, pensión y riesgos laborales, el proceso de liquidación continúa con los aportes parafiscales. Estos no se calculan sobre el riesgo de la actividad, sino sobre la nómina del empleador, y financian servicios asociados a las cajas de compensación familiar como el SENA y el ICBF.</w:t>
      </w:r>
    </w:p>
    <w:p w14:paraId="48344766" w14:textId="7763F185" w:rsidR="00512463" w:rsidRDefault="00512463" w:rsidP="00512463">
      <w:pPr>
        <w:pStyle w:val="Ttulo2"/>
      </w:pPr>
      <w:bookmarkStart w:id="12" w:name="_Toc235611013"/>
      <w:r w:rsidRPr="00512463">
        <w:t>Aportes parafiscales</w:t>
      </w:r>
      <w:bookmarkEnd w:id="12"/>
    </w:p>
    <w:p w14:paraId="2927165E" w14:textId="77777777" w:rsidR="008456E8" w:rsidRPr="008456E8" w:rsidRDefault="008456E8" w:rsidP="008456E8">
      <w:pPr>
        <w:rPr>
          <w:lang w:val="es-419" w:eastAsia="es-CO"/>
        </w:rPr>
      </w:pPr>
      <w:r w:rsidRPr="008456E8">
        <w:rPr>
          <w:lang w:val="es-419" w:eastAsia="es-CO"/>
        </w:rPr>
        <w:t>Los aportes parafiscales son contribuciones obligatorias a cargo del empleador, destinadas a financiar servicios sociales, educativos y de bienestar familiar. Estos aportes se liquidan sobre la nómina mensual de salarios y se pagan mediante la Planilla Integrada de Liquidación de Aportes (PILA), junto con los demás aportes al Sistema de Seguridad Social Integral.</w:t>
      </w:r>
    </w:p>
    <w:p w14:paraId="5B91ECA3" w14:textId="77777777" w:rsidR="008456E8" w:rsidRPr="008456E8" w:rsidRDefault="008456E8" w:rsidP="008456E8">
      <w:pPr>
        <w:rPr>
          <w:lang w:val="es-419" w:eastAsia="es-CO"/>
        </w:rPr>
      </w:pPr>
      <w:r w:rsidRPr="008456E8">
        <w:rPr>
          <w:lang w:val="es-419" w:eastAsia="es-CO"/>
        </w:rPr>
        <w:lastRenderedPageBreak/>
        <w:t>A diferencia de los aportes a salud, pensión y riesgos laborales, que se calculan sobre el Ingreso Base de Cotización (IBC) individual de cada trabajador, los aportes parafiscales tienen una base asociada a la nómina del empleador. Por esta razón, el profesional de nómina debe diferenciar la base de seguridad social y la base parafiscal antes de liquidar la planilla.</w:t>
      </w:r>
    </w:p>
    <w:p w14:paraId="083016EA" w14:textId="77777777" w:rsidR="008456E8" w:rsidRPr="008456E8" w:rsidRDefault="008456E8" w:rsidP="008456E8">
      <w:pPr>
        <w:rPr>
          <w:lang w:val="es-419" w:eastAsia="es-CO"/>
        </w:rPr>
      </w:pPr>
      <w:r w:rsidRPr="008456E8">
        <w:rPr>
          <w:lang w:val="es-419" w:eastAsia="es-CO"/>
        </w:rPr>
        <w:t>Para comprender su aplicación, se deben tener en cuenta los siguientes aportes:</w:t>
      </w:r>
    </w:p>
    <w:p w14:paraId="37EBBF7D" w14:textId="21BF9D8C" w:rsidR="008456E8" w:rsidRPr="008456E8" w:rsidRDefault="008456E8" w:rsidP="00F65317">
      <w:pPr>
        <w:pStyle w:val="Prrafodelista"/>
        <w:numPr>
          <w:ilvl w:val="0"/>
          <w:numId w:val="17"/>
        </w:numPr>
        <w:rPr>
          <w:lang w:val="es-419" w:eastAsia="es-CO"/>
        </w:rPr>
      </w:pPr>
      <w:r w:rsidRPr="008456E8">
        <w:rPr>
          <w:b/>
          <w:bCs/>
          <w:lang w:val="es-419" w:eastAsia="es-CO"/>
        </w:rPr>
        <w:t>Caja de Compensación Familiar:</w:t>
      </w:r>
      <w:r w:rsidRPr="008456E8">
        <w:rPr>
          <w:lang w:val="es-419" w:eastAsia="es-CO"/>
        </w:rPr>
        <w:t xml:space="preserve"> corresponde al 4 % de la nómina mensual de salarios. Este aporte es obligatorio para los empleadores con trabajadores vinculados mediante contrato laboral y financia servicios de bienestar, subsidio familiar, recreación, turismo, deporte, educación y programas sociales. </w:t>
      </w:r>
    </w:p>
    <w:p w14:paraId="6A1DE5E4" w14:textId="3FC8BFCD" w:rsidR="008456E8" w:rsidRPr="008456E8" w:rsidRDefault="008456E8" w:rsidP="00F65317">
      <w:pPr>
        <w:pStyle w:val="Prrafodelista"/>
        <w:numPr>
          <w:ilvl w:val="0"/>
          <w:numId w:val="17"/>
        </w:numPr>
        <w:rPr>
          <w:lang w:val="es-419" w:eastAsia="es-CO"/>
        </w:rPr>
      </w:pPr>
      <w:r w:rsidRPr="008456E8">
        <w:rPr>
          <w:b/>
          <w:bCs/>
          <w:lang w:val="es-419" w:eastAsia="es-CO"/>
        </w:rPr>
        <w:t>Servicio Nacional de Aprendizaje (SENA):</w:t>
      </w:r>
      <w:r w:rsidRPr="008456E8">
        <w:rPr>
          <w:lang w:val="es-419" w:eastAsia="es-CO"/>
        </w:rPr>
        <w:t xml:space="preserve"> corresponde al 2 % de la nómina mensual de salarios, cuando el empleador no se encuentra cobijado por una exoneración legal. Este aporte contribuye a financiar la formación profesional integral. </w:t>
      </w:r>
    </w:p>
    <w:p w14:paraId="1809409C" w14:textId="7F9081A3" w:rsidR="008456E8" w:rsidRPr="008456E8" w:rsidRDefault="008456E8" w:rsidP="00F65317">
      <w:pPr>
        <w:pStyle w:val="Prrafodelista"/>
        <w:numPr>
          <w:ilvl w:val="0"/>
          <w:numId w:val="17"/>
        </w:numPr>
        <w:rPr>
          <w:lang w:val="es-419" w:eastAsia="es-CO"/>
        </w:rPr>
      </w:pPr>
      <w:r w:rsidRPr="008456E8">
        <w:rPr>
          <w:b/>
          <w:bCs/>
          <w:lang w:val="es-419" w:eastAsia="es-CO"/>
        </w:rPr>
        <w:t>Instituto Colombiano de Bienestar Familiar (ICBF):</w:t>
      </w:r>
      <w:r w:rsidRPr="008456E8">
        <w:rPr>
          <w:lang w:val="es-419" w:eastAsia="es-CO"/>
        </w:rPr>
        <w:t xml:space="preserve"> corresponde al 3 % de la nómina mensual de salarios, cuando no aplica exoneración. Su finalidad es apoyar programas de atención, protección y bienestar dirigidos a la niñez, la adolescencia y las familias.</w:t>
      </w:r>
    </w:p>
    <w:p w14:paraId="50356AF5" w14:textId="3D0E9E2F" w:rsidR="008456E8" w:rsidRDefault="008456E8" w:rsidP="008456E8">
      <w:pPr>
        <w:rPr>
          <w:lang w:val="es-419" w:eastAsia="es-CO"/>
        </w:rPr>
      </w:pPr>
      <w:r w:rsidRPr="008456E8">
        <w:rPr>
          <w:lang w:val="es-419" w:eastAsia="es-CO"/>
        </w:rPr>
        <w:t>Estos aportes cumplen una función social dentro del sistema colombiano, pero no se aplican de manera idéntica en todos los casos. Por ello, antes de liquidarlos</w:t>
      </w:r>
      <w:r w:rsidR="004475E3">
        <w:rPr>
          <w:lang w:val="es-419" w:eastAsia="es-CO"/>
        </w:rPr>
        <w:t>,</w:t>
      </w:r>
      <w:r w:rsidRPr="008456E8">
        <w:rPr>
          <w:lang w:val="es-419" w:eastAsia="es-CO"/>
        </w:rPr>
        <w:t xml:space="preserve"> se debe revisar el tipo de empleador, la naturaleza del vínculo laboral, el valor devengado por cada trabajador y las exoneraciones vigentes.</w:t>
      </w:r>
    </w:p>
    <w:p w14:paraId="521622B0" w14:textId="24EAA400" w:rsidR="008456E8" w:rsidRDefault="008456E8" w:rsidP="008456E8">
      <w:pPr>
        <w:rPr>
          <w:lang w:val="es-419" w:eastAsia="es-CO"/>
        </w:rPr>
      </w:pPr>
      <w:r w:rsidRPr="008456E8">
        <w:rPr>
          <w:lang w:val="es-419" w:eastAsia="es-CO"/>
        </w:rPr>
        <w:lastRenderedPageBreak/>
        <w:t>La liquidación de parafiscales exige diferenciar la base de seguridad social y la base parafiscal, porque cada una responde a reglas y finalidades distintas dentro del sistema de aportes.</w:t>
      </w:r>
    </w:p>
    <w:p w14:paraId="5CF16D1A" w14:textId="77777777" w:rsidR="008456E8" w:rsidRPr="008456E8" w:rsidRDefault="008456E8" w:rsidP="008456E8">
      <w:pPr>
        <w:rPr>
          <w:b/>
          <w:bCs/>
          <w:lang w:val="es-419" w:eastAsia="es-CO"/>
        </w:rPr>
      </w:pPr>
      <w:r w:rsidRPr="008456E8">
        <w:rPr>
          <w:b/>
          <w:bCs/>
          <w:lang w:val="es-419" w:eastAsia="es-CO"/>
        </w:rPr>
        <w:t>Exoneración aplicable</w:t>
      </w:r>
    </w:p>
    <w:p w14:paraId="34F3706A" w14:textId="77777777" w:rsidR="008456E8" w:rsidRPr="008456E8" w:rsidRDefault="008456E8" w:rsidP="008456E8">
      <w:pPr>
        <w:rPr>
          <w:lang w:val="es-419" w:eastAsia="es-CO"/>
        </w:rPr>
      </w:pPr>
      <w:r w:rsidRPr="008456E8">
        <w:rPr>
          <w:lang w:val="es-419" w:eastAsia="es-CO"/>
        </w:rPr>
        <w:t>De acuerdo con el artículo 114-1 del Estatuto Tributario, los empleadores que cumplan las condiciones legales pueden estar exonerados del pago de aportes al SENA, al ICBF y de la cotización patronal a salud respecto de trabajadores que devenguen menos de 10 SMMLV. Esta exoneración no elimina el aporte a la Caja de Compensación Familiar, que se mantiene como obligación del empleador.</w:t>
      </w:r>
    </w:p>
    <w:p w14:paraId="111AF3FD" w14:textId="77777777" w:rsidR="008456E8" w:rsidRPr="008456E8" w:rsidRDefault="008456E8" w:rsidP="008456E8">
      <w:pPr>
        <w:rPr>
          <w:b/>
          <w:bCs/>
          <w:lang w:val="es-419" w:eastAsia="es-CO"/>
        </w:rPr>
      </w:pPr>
      <w:r w:rsidRPr="008456E8">
        <w:rPr>
          <w:b/>
          <w:bCs/>
          <w:lang w:val="es-419" w:eastAsia="es-CO"/>
        </w:rPr>
        <w:t>Ejemplo práctico de aportes parafiscales</w:t>
      </w:r>
    </w:p>
    <w:p w14:paraId="520EDE64" w14:textId="77777777" w:rsidR="008456E8" w:rsidRPr="008456E8" w:rsidRDefault="008456E8" w:rsidP="008456E8">
      <w:pPr>
        <w:rPr>
          <w:lang w:val="es-419" w:eastAsia="es-CO"/>
        </w:rPr>
      </w:pPr>
      <w:r w:rsidRPr="008456E8">
        <w:rPr>
          <w:lang w:val="es-419" w:eastAsia="es-CO"/>
        </w:rPr>
        <w:t>Una empresa tiene un trabajador con salario mensual de $2.000.000 y cumple las condiciones legales para aplicar la exoneración. En este caso, el empleador debe liquidar el 4 % correspondiente a la Caja de Compensación Familiar: $2.000.000 × 4 % = $80.000. Si la exoneración aplica, no liquida SENA, ICBF ni el aporte patronal a salud por ese trabajador. Si no aplica, debe calcular también el 2 % para SENA, el 3 % para ICBF y la parte patronal de salud.</w:t>
      </w:r>
    </w:p>
    <w:p w14:paraId="1F7685FC" w14:textId="77777777" w:rsidR="008456E8" w:rsidRPr="008456E8" w:rsidRDefault="008456E8" w:rsidP="008456E8">
      <w:pPr>
        <w:rPr>
          <w:lang w:val="es-419" w:eastAsia="es-CO"/>
        </w:rPr>
      </w:pPr>
      <w:r w:rsidRPr="008456E8">
        <w:rPr>
          <w:lang w:val="es-419" w:eastAsia="es-CO"/>
        </w:rPr>
        <w:t>Este ejemplo permite reconocer que la liquidación de parafiscales no debe realizarse de forma automática, sino mediante una revisión previa de la base salarial, las condiciones del empleador y el valor devengado por cada trabajador. Una aplicación incorrecta de la exoneración puede generar diferencias en la PILA, requerimientos de la UGPP e intereses moratorios; por ello, el profesional de nómina debe validar cada caso con criterio normativo y conservar los soportes que respalden la liquidación.</w:t>
      </w:r>
    </w:p>
    <w:p w14:paraId="20FEDE5A" w14:textId="77777777" w:rsidR="008456E8" w:rsidRPr="008456E8" w:rsidRDefault="008456E8" w:rsidP="008456E8">
      <w:pPr>
        <w:rPr>
          <w:lang w:val="es-419" w:eastAsia="es-CO"/>
        </w:rPr>
      </w:pPr>
      <w:r w:rsidRPr="008456E8">
        <w:rPr>
          <w:lang w:val="es-419" w:eastAsia="es-CO"/>
        </w:rPr>
        <w:lastRenderedPageBreak/>
        <w:t>Para reducir estos riesgos, es necesario aplicar controles antes de transmitir y pagar la planilla. Estos controles permiten verificar la coherencia entre la nómina, la base parafiscal, las exoneraciones aplicadas y los valores reportados en la PILA.</w:t>
      </w:r>
    </w:p>
    <w:p w14:paraId="0FFD4B01" w14:textId="77777777" w:rsidR="008456E8" w:rsidRPr="008456E8" w:rsidRDefault="008456E8" w:rsidP="008456E8">
      <w:pPr>
        <w:rPr>
          <w:b/>
          <w:bCs/>
          <w:lang w:val="es-419" w:eastAsia="es-CO"/>
        </w:rPr>
      </w:pPr>
      <w:r w:rsidRPr="008456E8">
        <w:rPr>
          <w:b/>
          <w:bCs/>
          <w:lang w:val="es-419" w:eastAsia="es-CO"/>
        </w:rPr>
        <w:t>Controles para la liquidación</w:t>
      </w:r>
    </w:p>
    <w:p w14:paraId="03333038" w14:textId="77777777" w:rsidR="008456E8" w:rsidRPr="008456E8" w:rsidRDefault="008456E8" w:rsidP="008456E8">
      <w:pPr>
        <w:rPr>
          <w:lang w:val="es-419" w:eastAsia="es-CO"/>
        </w:rPr>
      </w:pPr>
      <w:r w:rsidRPr="008456E8">
        <w:rPr>
          <w:lang w:val="es-419" w:eastAsia="es-CO"/>
        </w:rPr>
        <w:t xml:space="preserve">Los controles para la liquidación son verificaciones previas que permiten revisar la coherencia entre la nómina, la base parafiscal, las exoneraciones aplicadas y los valores registrados en la PILA. Su aplicación ayuda a prevenir errores de cálculo, pagos indebidos, </w:t>
      </w:r>
      <w:proofErr w:type="spellStart"/>
      <w:r w:rsidRPr="008456E8">
        <w:rPr>
          <w:lang w:val="es-419" w:eastAsia="es-CO"/>
        </w:rPr>
        <w:t>subdeclaraciones</w:t>
      </w:r>
      <w:proofErr w:type="spellEnd"/>
      <w:r w:rsidRPr="008456E8">
        <w:rPr>
          <w:lang w:val="es-419" w:eastAsia="es-CO"/>
        </w:rPr>
        <w:t xml:space="preserve"> y posibles requerimientos de la UGPP.</w:t>
      </w:r>
    </w:p>
    <w:p w14:paraId="5DCD996D" w14:textId="77777777" w:rsidR="008456E8" w:rsidRPr="008456E8" w:rsidRDefault="008456E8" w:rsidP="008456E8">
      <w:pPr>
        <w:rPr>
          <w:lang w:val="es-419" w:eastAsia="es-CO"/>
        </w:rPr>
      </w:pPr>
      <w:r w:rsidRPr="008456E8">
        <w:rPr>
          <w:lang w:val="es-419" w:eastAsia="es-CO"/>
        </w:rPr>
        <w:t>Para evitar inconsistencias en la planilla, el área de nómina debe aplicar controles básicos en cada período:</w:t>
      </w:r>
    </w:p>
    <w:p w14:paraId="3383D693" w14:textId="68356954" w:rsidR="008456E8" w:rsidRPr="008456E8" w:rsidRDefault="008456E8" w:rsidP="00F65317">
      <w:pPr>
        <w:pStyle w:val="Prrafodelista"/>
        <w:numPr>
          <w:ilvl w:val="0"/>
          <w:numId w:val="18"/>
        </w:numPr>
        <w:rPr>
          <w:lang w:val="es-419" w:eastAsia="es-CO"/>
        </w:rPr>
      </w:pPr>
      <w:r w:rsidRPr="008456E8">
        <w:rPr>
          <w:b/>
          <w:bCs/>
          <w:lang w:val="es-419" w:eastAsia="es-CO"/>
        </w:rPr>
        <w:t>Verificar la base parafiscal:</w:t>
      </w:r>
      <w:r w:rsidRPr="008456E8">
        <w:rPr>
          <w:lang w:val="es-419" w:eastAsia="es-CO"/>
        </w:rPr>
        <w:t xml:space="preserve"> revisar que la nómina mensual de salarios coincida con los conceptos que deben integrar la base de liquidación. </w:t>
      </w:r>
    </w:p>
    <w:p w14:paraId="63CB8610" w14:textId="74C886C4" w:rsidR="008456E8" w:rsidRPr="008456E8" w:rsidRDefault="008456E8" w:rsidP="00F65317">
      <w:pPr>
        <w:pStyle w:val="Prrafodelista"/>
        <w:numPr>
          <w:ilvl w:val="0"/>
          <w:numId w:val="18"/>
        </w:numPr>
        <w:rPr>
          <w:lang w:val="es-419" w:eastAsia="es-CO"/>
        </w:rPr>
      </w:pPr>
      <w:r w:rsidRPr="008456E8">
        <w:rPr>
          <w:b/>
          <w:bCs/>
          <w:lang w:val="es-419" w:eastAsia="es-CO"/>
        </w:rPr>
        <w:t>Confirmar la exoneración:</w:t>
      </w:r>
      <w:r w:rsidRPr="008456E8">
        <w:rPr>
          <w:lang w:val="es-419" w:eastAsia="es-CO"/>
        </w:rPr>
        <w:t xml:space="preserve"> validar si el empleador cumple las condiciones legales para aplicar el beneficio. </w:t>
      </w:r>
    </w:p>
    <w:p w14:paraId="11E30AA7" w14:textId="1A0EF50F" w:rsidR="008456E8" w:rsidRPr="008456E8" w:rsidRDefault="008456E8" w:rsidP="00F65317">
      <w:pPr>
        <w:pStyle w:val="Prrafodelista"/>
        <w:numPr>
          <w:ilvl w:val="0"/>
          <w:numId w:val="18"/>
        </w:numPr>
        <w:rPr>
          <w:lang w:val="es-419" w:eastAsia="es-CO"/>
        </w:rPr>
      </w:pPr>
      <w:r w:rsidRPr="008456E8">
        <w:rPr>
          <w:b/>
          <w:bCs/>
          <w:lang w:val="es-419" w:eastAsia="es-CO"/>
        </w:rPr>
        <w:t>Revisar el salario individual:</w:t>
      </w:r>
      <w:r w:rsidRPr="008456E8">
        <w:rPr>
          <w:lang w:val="es-419" w:eastAsia="es-CO"/>
        </w:rPr>
        <w:t xml:space="preserve"> comprobar si cada trabajador devenga menos de 10 SMMLV antes de aplicar la exoneración. </w:t>
      </w:r>
    </w:p>
    <w:p w14:paraId="4E1C5F4A" w14:textId="25EE663A" w:rsidR="008456E8" w:rsidRPr="008456E8" w:rsidRDefault="008456E8" w:rsidP="00F65317">
      <w:pPr>
        <w:pStyle w:val="Prrafodelista"/>
        <w:numPr>
          <w:ilvl w:val="0"/>
          <w:numId w:val="18"/>
        </w:numPr>
        <w:rPr>
          <w:lang w:val="es-419" w:eastAsia="es-CO"/>
        </w:rPr>
      </w:pPr>
      <w:r w:rsidRPr="008456E8">
        <w:rPr>
          <w:b/>
          <w:bCs/>
          <w:lang w:val="es-419" w:eastAsia="es-CO"/>
        </w:rPr>
        <w:t>Conservar soportes:</w:t>
      </w:r>
      <w:r w:rsidRPr="008456E8">
        <w:rPr>
          <w:lang w:val="es-419" w:eastAsia="es-CO"/>
        </w:rPr>
        <w:t xml:space="preserve"> guardar nómina, comprobantes de pago, planillas y documentos que respalden la base liquidada. </w:t>
      </w:r>
    </w:p>
    <w:p w14:paraId="318083AF" w14:textId="566D6921" w:rsidR="008456E8" w:rsidRPr="008456E8" w:rsidRDefault="008456E8" w:rsidP="00F65317">
      <w:pPr>
        <w:pStyle w:val="Prrafodelista"/>
        <w:numPr>
          <w:ilvl w:val="0"/>
          <w:numId w:val="18"/>
        </w:numPr>
        <w:rPr>
          <w:lang w:val="es-419" w:eastAsia="es-CO"/>
        </w:rPr>
      </w:pPr>
      <w:r w:rsidRPr="008456E8">
        <w:rPr>
          <w:b/>
          <w:bCs/>
          <w:lang w:val="es-419" w:eastAsia="es-CO"/>
        </w:rPr>
        <w:t>Conciliar la PILA:</w:t>
      </w:r>
      <w:r w:rsidRPr="008456E8">
        <w:rPr>
          <w:lang w:val="es-419" w:eastAsia="es-CO"/>
        </w:rPr>
        <w:t xml:space="preserve"> comparar los valores liquidados en el sistema de nómina con los registrados en la planilla antes del pago. </w:t>
      </w:r>
    </w:p>
    <w:p w14:paraId="2A489656" w14:textId="77777777" w:rsidR="008456E8" w:rsidRPr="008456E8" w:rsidRDefault="008456E8" w:rsidP="008456E8">
      <w:pPr>
        <w:rPr>
          <w:lang w:val="es-419" w:eastAsia="es-CO"/>
        </w:rPr>
      </w:pPr>
      <w:r w:rsidRPr="008456E8">
        <w:rPr>
          <w:lang w:val="es-419" w:eastAsia="es-CO"/>
        </w:rPr>
        <w:t>Estos controles permiten reducir errores entre la nómina, la PILA y los registros contables. Además, fortalecen la trazabilidad del proceso y facilitan la respuesta ante una revisión de la UGPP.</w:t>
      </w:r>
    </w:p>
    <w:p w14:paraId="58A247ED" w14:textId="4E8D426C" w:rsidR="008456E8" w:rsidRDefault="008456E8" w:rsidP="008456E8">
      <w:pPr>
        <w:rPr>
          <w:lang w:val="es-419" w:eastAsia="es-CO"/>
        </w:rPr>
      </w:pPr>
      <w:r w:rsidRPr="008456E8">
        <w:rPr>
          <w:lang w:val="es-419" w:eastAsia="es-CO"/>
        </w:rPr>
        <w:lastRenderedPageBreak/>
        <w:t>El conocimiento de los aportes parafiscales debe complementarse con el análisis de las exoneraciones previstas por la ley para determinados empleadores y trabajadores. Esta revisión permite aplicar los beneficios de forma correcta, evitar pagos indebidos y prevenir sanciones por el uso inadecuado de exoneraciones. Por ello, el siguiente subtema profundiza en las condiciones que deben verificarse antes de aplicar estos beneficios en la liquidación de la nómina.</w:t>
      </w:r>
    </w:p>
    <w:p w14:paraId="1C39F92F" w14:textId="77777777" w:rsidR="00EC41F4" w:rsidRPr="008456E8" w:rsidRDefault="00EC41F4" w:rsidP="008456E8">
      <w:pPr>
        <w:rPr>
          <w:lang w:val="es-419" w:eastAsia="es-CO"/>
        </w:rPr>
      </w:pPr>
    </w:p>
    <w:p w14:paraId="18A3DFCF" w14:textId="4C12F663" w:rsidR="00512463" w:rsidRDefault="00512463" w:rsidP="00512463">
      <w:pPr>
        <w:pStyle w:val="Ttulo2"/>
      </w:pPr>
      <w:bookmarkStart w:id="13" w:name="_Toc235611014"/>
      <w:r w:rsidRPr="00512463">
        <w:t>Exoneraciones para pequeñas empresas</w:t>
      </w:r>
      <w:bookmarkEnd w:id="13"/>
    </w:p>
    <w:p w14:paraId="570A53DE" w14:textId="77777777" w:rsidR="00E24B84" w:rsidRPr="00E24B84" w:rsidRDefault="00E24B84" w:rsidP="00E24B84">
      <w:pPr>
        <w:rPr>
          <w:lang w:val="es-419" w:eastAsia="es-CO"/>
        </w:rPr>
      </w:pPr>
      <w:r w:rsidRPr="00E24B84">
        <w:rPr>
          <w:lang w:val="es-419" w:eastAsia="es-CO"/>
        </w:rPr>
        <w:t>El marco legal colombiano contempla exoneraciones y beneficios en materia de aportes a seguridad social y parafiscales, con el propósito de reducir algunas cargas laborales y promover la formalización del empleo. Su aplicación exige una revisión cuidadosa, porque no todos los empleadores ni todos los trabajadores cumplen las condiciones para acceder a estos beneficios.</w:t>
      </w:r>
    </w:p>
    <w:p w14:paraId="42404962" w14:textId="77777777" w:rsidR="00E24B84" w:rsidRPr="00E24B84" w:rsidRDefault="00E24B84" w:rsidP="00E24B84">
      <w:pPr>
        <w:rPr>
          <w:lang w:val="es-419" w:eastAsia="es-CO"/>
        </w:rPr>
      </w:pPr>
      <w:r w:rsidRPr="00E24B84">
        <w:rPr>
          <w:lang w:val="es-419" w:eastAsia="es-CO"/>
        </w:rPr>
        <w:t>De acuerdo con la normativa vigente, las exoneraciones deben analizarse según el tipo de empleador, el valor devengado por cada trabajador y el aporte que se pretende excluir de la liquidación. Por ello, el profesional de nómina debe verificar los requisitos antes de aplicar cualquier beneficio en la Planilla Integrada de Liquidación de Aportes (PILA), ya que una aplicación incorrecta puede generar diferencias, intereses moratorios y requerimientos de fiscalización.</w:t>
      </w:r>
    </w:p>
    <w:p w14:paraId="374C175C" w14:textId="77777777" w:rsidR="00E24B84" w:rsidRPr="00E24B84" w:rsidRDefault="00E24B84" w:rsidP="00E24B84">
      <w:pPr>
        <w:rPr>
          <w:lang w:val="es-419" w:eastAsia="es-CO"/>
        </w:rPr>
      </w:pPr>
      <w:r w:rsidRPr="00E24B84">
        <w:rPr>
          <w:lang w:val="es-419" w:eastAsia="es-CO"/>
        </w:rPr>
        <w:t>Para comprender mejor este tema, es necesario diferenciar dos tipos de beneficios:</w:t>
      </w:r>
    </w:p>
    <w:p w14:paraId="7D28E754" w14:textId="12B7697D" w:rsidR="00E24B84" w:rsidRPr="00E24B84" w:rsidRDefault="00E24B84" w:rsidP="00F65317">
      <w:pPr>
        <w:pStyle w:val="Prrafodelista"/>
        <w:numPr>
          <w:ilvl w:val="0"/>
          <w:numId w:val="19"/>
        </w:numPr>
        <w:rPr>
          <w:lang w:val="es-419" w:eastAsia="es-CO"/>
        </w:rPr>
      </w:pPr>
      <w:r w:rsidRPr="00E24B84">
        <w:rPr>
          <w:b/>
          <w:bCs/>
          <w:lang w:val="es-419" w:eastAsia="es-CO"/>
        </w:rPr>
        <w:t>Exoneración general de aportes:</w:t>
      </w:r>
      <w:r w:rsidRPr="00E24B84">
        <w:rPr>
          <w:lang w:val="es-419" w:eastAsia="es-CO"/>
        </w:rPr>
        <w:t xml:space="preserve"> aplica a determinados empleadores respecto de trabajadores que devenguen, individualmente considerados, </w:t>
      </w:r>
      <w:r w:rsidRPr="00E24B84">
        <w:rPr>
          <w:lang w:val="es-419" w:eastAsia="es-CO"/>
        </w:rPr>
        <w:lastRenderedPageBreak/>
        <w:t xml:space="preserve">menos de 10 SMLMV. Cuando se cumplen los requisitos legales, puede excluirse el pago de aportes al SENA, al ICBF y la cotización patronal a salud, según el artículo 114-1 del Estatuto Tributario. </w:t>
      </w:r>
    </w:p>
    <w:p w14:paraId="253F8996" w14:textId="55B460EC" w:rsidR="00E24B84" w:rsidRPr="00E24B84" w:rsidRDefault="00E24B84" w:rsidP="00F65317">
      <w:pPr>
        <w:pStyle w:val="Prrafodelista"/>
        <w:numPr>
          <w:ilvl w:val="0"/>
          <w:numId w:val="19"/>
        </w:numPr>
        <w:rPr>
          <w:lang w:val="es-419" w:eastAsia="es-CO"/>
        </w:rPr>
      </w:pPr>
      <w:r w:rsidRPr="00E24B84">
        <w:rPr>
          <w:b/>
          <w:bCs/>
          <w:lang w:val="es-419" w:eastAsia="es-CO"/>
        </w:rPr>
        <w:t>Beneficios asociados al empleo joven:</w:t>
      </w:r>
      <w:r w:rsidRPr="00E24B84">
        <w:rPr>
          <w:lang w:val="es-419" w:eastAsia="es-CO"/>
        </w:rPr>
        <w:t xml:space="preserve"> corresponden a incentivos previstos para promover la vinculación laboral de jóvenes y la creación de empresas jóvenes. Su aplicación exige revisar los requisitos específicos de la Ley 1780 de 2016 y la reglamentación vigente. </w:t>
      </w:r>
    </w:p>
    <w:p w14:paraId="0E83002C" w14:textId="738980DF" w:rsidR="00E24B84" w:rsidRDefault="00E24B84" w:rsidP="00E24B84">
      <w:pPr>
        <w:rPr>
          <w:lang w:val="es-419" w:eastAsia="es-CO"/>
        </w:rPr>
      </w:pPr>
      <w:r w:rsidRPr="00E24B84">
        <w:rPr>
          <w:lang w:val="es-419" w:eastAsia="es-CO"/>
        </w:rPr>
        <w:t>Estas dos figuras no deben confundirse, porque responden a finalidades y condiciones distintas. La primera se relaciona con la estructura tributaria y parafiscal del empleador; la segunda busca incentivar la generación de empleo juvenil y el emprendimiento. En ambos casos, la aplicación del beneficio debe estar soportada con documentos verificables.</w:t>
      </w:r>
    </w:p>
    <w:p w14:paraId="7D21EDD5" w14:textId="1CC8ABD6" w:rsidR="00E24B84" w:rsidRDefault="00E24B84" w:rsidP="00E24B84">
      <w:pPr>
        <w:rPr>
          <w:lang w:val="es-419" w:eastAsia="es-CO"/>
        </w:rPr>
      </w:pPr>
      <w:r w:rsidRPr="00E24B84">
        <w:rPr>
          <w:lang w:val="es-419" w:eastAsia="es-CO"/>
        </w:rPr>
        <w:t>Las exoneraciones reducen algunos aportes, pero no eliminan la obligación de verificar la base de liquidación, conservar soportes y reportar correctamente la información en la PILA.</w:t>
      </w:r>
    </w:p>
    <w:p w14:paraId="597500EA" w14:textId="77777777" w:rsidR="00EC41F4" w:rsidRDefault="00EC41F4" w:rsidP="00E24B84">
      <w:pPr>
        <w:rPr>
          <w:lang w:val="es-419" w:eastAsia="es-CO"/>
        </w:rPr>
      </w:pPr>
    </w:p>
    <w:p w14:paraId="77072841" w14:textId="77777777" w:rsidR="00E24B84" w:rsidRPr="00E24B84" w:rsidRDefault="00E24B84" w:rsidP="00E24B84">
      <w:pPr>
        <w:rPr>
          <w:b/>
          <w:bCs/>
          <w:lang w:val="es-419" w:eastAsia="es-CO"/>
        </w:rPr>
      </w:pPr>
      <w:r w:rsidRPr="00E24B84">
        <w:rPr>
          <w:b/>
          <w:bCs/>
          <w:lang w:val="es-419" w:eastAsia="es-CO"/>
        </w:rPr>
        <w:t>Ejemplo aplicado: validación de una exoneración</w:t>
      </w:r>
    </w:p>
    <w:p w14:paraId="68A03674" w14:textId="77777777" w:rsidR="00E24B84" w:rsidRPr="00E24B84" w:rsidRDefault="00E24B84" w:rsidP="00E24B84">
      <w:pPr>
        <w:rPr>
          <w:lang w:val="es-419" w:eastAsia="es-CO"/>
        </w:rPr>
      </w:pPr>
      <w:r w:rsidRPr="00E24B84">
        <w:rPr>
          <w:lang w:val="es-419" w:eastAsia="es-CO"/>
        </w:rPr>
        <w:t xml:space="preserve">Una empresa declarante del impuesto sobre la renta tiene un trabajador con salario mensual de $2.000.000. Si cumple las condiciones legales del artículo 114-1 del Estatuto Tributario, no liquida aportes al SENA, al ICBF ni la cotización patronal a salud por ese trabajador, porque su salario individual es inferior a 10 SMLMV. Sin embargo, debe mantener los aportes que no estén cobijados por la exoneración, como los </w:t>
      </w:r>
      <w:r w:rsidRPr="00E24B84">
        <w:rPr>
          <w:lang w:val="es-419" w:eastAsia="es-CO"/>
        </w:rPr>
        <w:lastRenderedPageBreak/>
        <w:t>correspondientes a pensión, riesgos laborales y Caja de Compensación Familiar, según aplique.</w:t>
      </w:r>
    </w:p>
    <w:p w14:paraId="6555EF42" w14:textId="77777777" w:rsidR="00E24B84" w:rsidRPr="00E24B84" w:rsidRDefault="00E24B84" w:rsidP="00E24B84">
      <w:pPr>
        <w:rPr>
          <w:lang w:val="es-419" w:eastAsia="es-CO"/>
        </w:rPr>
      </w:pPr>
      <w:r w:rsidRPr="00E24B84">
        <w:rPr>
          <w:lang w:val="es-419" w:eastAsia="es-CO"/>
        </w:rPr>
        <w:t>Este ejemplo muestra que la exoneración no se aplica de forma automática ni general a toda la nómina. Antes de usarla, se debe revisar el tipo de empleador, el ingreso individual del trabajador y el aporte específico que se pretende excluir. Esta verificación protege a la organización frente a inconsistencias en la liquidación y posibles revisiones de la UGPP.</w:t>
      </w:r>
    </w:p>
    <w:p w14:paraId="278D7AE6" w14:textId="77777777" w:rsidR="00E24B84" w:rsidRPr="00E24B84" w:rsidRDefault="00E24B84" w:rsidP="00E24B84">
      <w:pPr>
        <w:rPr>
          <w:b/>
          <w:bCs/>
          <w:lang w:val="es-419" w:eastAsia="es-CO"/>
        </w:rPr>
      </w:pPr>
      <w:r w:rsidRPr="00E24B84">
        <w:rPr>
          <w:b/>
          <w:bCs/>
          <w:lang w:val="es-419" w:eastAsia="es-CO"/>
        </w:rPr>
        <w:t>Controles para aplicar exoneraciones</w:t>
      </w:r>
    </w:p>
    <w:p w14:paraId="79B08F16" w14:textId="77777777" w:rsidR="00E24B84" w:rsidRPr="00E24B84" w:rsidRDefault="00E24B84" w:rsidP="00E24B84">
      <w:pPr>
        <w:rPr>
          <w:lang w:val="es-419" w:eastAsia="es-CO"/>
        </w:rPr>
      </w:pPr>
      <w:r w:rsidRPr="00E24B84">
        <w:rPr>
          <w:lang w:val="es-419" w:eastAsia="es-CO"/>
        </w:rPr>
        <w:t>Los controles para aplicar exoneraciones son verificaciones previas que permiten confirmar si el empleador y el trabajador cumplen las condiciones legales del beneficio. Su aplicación ayuda a evitar pagos omitidos, liquidaciones incompletas y sanciones derivadas de una interpretación incorrecta de la norma.</w:t>
      </w:r>
    </w:p>
    <w:p w14:paraId="056E2E6A" w14:textId="6EA7D2E4" w:rsidR="00E24B84" w:rsidRPr="00E24B84" w:rsidRDefault="00E24B84" w:rsidP="00F65317">
      <w:pPr>
        <w:pStyle w:val="Prrafodelista"/>
        <w:numPr>
          <w:ilvl w:val="0"/>
          <w:numId w:val="20"/>
        </w:numPr>
        <w:rPr>
          <w:lang w:val="es-419" w:eastAsia="es-CO"/>
        </w:rPr>
      </w:pPr>
      <w:r w:rsidRPr="00E24B84">
        <w:rPr>
          <w:b/>
          <w:bCs/>
          <w:lang w:val="es-419" w:eastAsia="es-CO"/>
        </w:rPr>
        <w:t>Verificar el tipo de empleador:</w:t>
      </w:r>
      <w:r w:rsidRPr="00E24B84">
        <w:rPr>
          <w:lang w:val="es-419" w:eastAsia="es-CO"/>
        </w:rPr>
        <w:t xml:space="preserve"> confirmar si la empresa o entidad cumple las condiciones legales para aplicar la exoneración. </w:t>
      </w:r>
    </w:p>
    <w:p w14:paraId="6EF74FE1" w14:textId="695C4285" w:rsidR="00E24B84" w:rsidRPr="00E24B84" w:rsidRDefault="00E24B84" w:rsidP="00F65317">
      <w:pPr>
        <w:pStyle w:val="Prrafodelista"/>
        <w:numPr>
          <w:ilvl w:val="0"/>
          <w:numId w:val="20"/>
        </w:numPr>
        <w:rPr>
          <w:lang w:val="es-419" w:eastAsia="es-CO"/>
        </w:rPr>
      </w:pPr>
      <w:r w:rsidRPr="00E24B84">
        <w:rPr>
          <w:b/>
          <w:bCs/>
          <w:lang w:val="es-419" w:eastAsia="es-CO"/>
        </w:rPr>
        <w:t>Revisar el salario individual:</w:t>
      </w:r>
      <w:r w:rsidRPr="00E24B84">
        <w:rPr>
          <w:lang w:val="es-419" w:eastAsia="es-CO"/>
        </w:rPr>
        <w:t xml:space="preserve"> comprobar si cada trabajador devenga menos de 10 SMLMV antes de excluir aportes al SENA, al ICBF o salud patronal. </w:t>
      </w:r>
    </w:p>
    <w:p w14:paraId="20C04D7F" w14:textId="7330813B" w:rsidR="00E24B84" w:rsidRPr="00E24B84" w:rsidRDefault="00E24B84" w:rsidP="00F65317">
      <w:pPr>
        <w:pStyle w:val="Prrafodelista"/>
        <w:numPr>
          <w:ilvl w:val="0"/>
          <w:numId w:val="20"/>
        </w:numPr>
        <w:rPr>
          <w:lang w:val="es-419" w:eastAsia="es-CO"/>
        </w:rPr>
      </w:pPr>
      <w:r w:rsidRPr="00E24B84">
        <w:rPr>
          <w:b/>
          <w:bCs/>
          <w:lang w:val="es-419" w:eastAsia="es-CO"/>
        </w:rPr>
        <w:t>Identificar el aporte exonerado:</w:t>
      </w:r>
      <w:r w:rsidRPr="00E24B84">
        <w:rPr>
          <w:lang w:val="es-419" w:eastAsia="es-CO"/>
        </w:rPr>
        <w:t xml:space="preserve"> diferenciar si el beneficio aplica a SENA, ICBF, salud patronal o Caja de Compensación Familiar, según la norma correspondiente. </w:t>
      </w:r>
    </w:p>
    <w:p w14:paraId="0C69C433" w14:textId="744D8CC9" w:rsidR="00E24B84" w:rsidRPr="00E24B84" w:rsidRDefault="00E24B84" w:rsidP="00F65317">
      <w:pPr>
        <w:pStyle w:val="Prrafodelista"/>
        <w:numPr>
          <w:ilvl w:val="0"/>
          <w:numId w:val="20"/>
        </w:numPr>
        <w:rPr>
          <w:lang w:val="es-419" w:eastAsia="es-CO"/>
        </w:rPr>
      </w:pPr>
      <w:r w:rsidRPr="00E24B84">
        <w:rPr>
          <w:b/>
          <w:bCs/>
          <w:lang w:val="es-419" w:eastAsia="es-CO"/>
        </w:rPr>
        <w:t>Conservar soportes:</w:t>
      </w:r>
      <w:r w:rsidRPr="00E24B84">
        <w:rPr>
          <w:lang w:val="es-419" w:eastAsia="es-CO"/>
        </w:rPr>
        <w:t xml:space="preserve"> guardar nómina, planillas, comprobantes, contratos y documentos que demuestren el cumplimiento de los requisitos. </w:t>
      </w:r>
    </w:p>
    <w:p w14:paraId="5098A1CE" w14:textId="50B1DDBE" w:rsidR="00E24B84" w:rsidRPr="00E24B84" w:rsidRDefault="00E24B84" w:rsidP="00F65317">
      <w:pPr>
        <w:pStyle w:val="Prrafodelista"/>
        <w:numPr>
          <w:ilvl w:val="0"/>
          <w:numId w:val="20"/>
        </w:numPr>
        <w:rPr>
          <w:lang w:val="es-419" w:eastAsia="es-CO"/>
        </w:rPr>
      </w:pPr>
      <w:r w:rsidRPr="00E24B84">
        <w:rPr>
          <w:b/>
          <w:bCs/>
          <w:lang w:val="es-419" w:eastAsia="es-CO"/>
        </w:rPr>
        <w:t>Conciliar la PILA:</w:t>
      </w:r>
      <w:r w:rsidRPr="00E24B84">
        <w:rPr>
          <w:lang w:val="es-419" w:eastAsia="es-CO"/>
        </w:rPr>
        <w:t xml:space="preserve"> verificar que los valores liquidados en la planilla coincidan con la nómina, la contabilidad y las exoneraciones aplicadas. </w:t>
      </w:r>
    </w:p>
    <w:p w14:paraId="0A844E68" w14:textId="77777777" w:rsidR="00E24B84" w:rsidRPr="00E24B84" w:rsidRDefault="00E24B84" w:rsidP="00E24B84">
      <w:pPr>
        <w:rPr>
          <w:lang w:val="es-419" w:eastAsia="es-CO"/>
        </w:rPr>
      </w:pPr>
      <w:r w:rsidRPr="00E24B84">
        <w:rPr>
          <w:lang w:val="es-419" w:eastAsia="es-CO"/>
        </w:rPr>
        <w:lastRenderedPageBreak/>
        <w:t>La aplicación de estos controles permite que las exoneraciones se usen como un beneficio legal y no como una omisión de aportes. Por esta razón, el área de nómina debe documentar cada decisión y revisar periódicamente si las condiciones que dieron origen al beneficio se mantienen vigentes.</w:t>
      </w:r>
    </w:p>
    <w:p w14:paraId="1ADFFF11" w14:textId="236AC36C" w:rsidR="00EC41F4" w:rsidRDefault="00E24B84" w:rsidP="00E24B84">
      <w:pPr>
        <w:rPr>
          <w:lang w:val="es-419" w:eastAsia="es-CO"/>
        </w:rPr>
      </w:pPr>
      <w:r w:rsidRPr="00E24B84">
        <w:rPr>
          <w:lang w:val="es-419" w:eastAsia="es-CO"/>
        </w:rPr>
        <w:t>Una vez determinados el IBC, los porcentajes aplicables, los aportes parafiscales y las exoneraciones procedentes, el proceso de liquidación avanza hacia su etapa operativa, el registro, la transmisión y el pago de la información mediante la Planilla Integrada de Liquidación de Aportes (PILA). Este paso exige seleccionar el tipo de planilla adecuado, registrar las novedades del período y validar los valores antes de realizar el pago.</w:t>
      </w:r>
    </w:p>
    <w:p w14:paraId="51D7C21A" w14:textId="77777777" w:rsidR="00EC41F4" w:rsidRDefault="00EC41F4">
      <w:pPr>
        <w:spacing w:before="0" w:after="160" w:line="259" w:lineRule="auto"/>
        <w:ind w:firstLine="0"/>
        <w:rPr>
          <w:lang w:val="es-419" w:eastAsia="es-CO"/>
        </w:rPr>
      </w:pPr>
      <w:r>
        <w:rPr>
          <w:lang w:val="es-419" w:eastAsia="es-CO"/>
        </w:rPr>
        <w:br w:type="page"/>
      </w:r>
    </w:p>
    <w:p w14:paraId="0D27372C" w14:textId="681B46B1" w:rsidR="00831C29" w:rsidRDefault="00512463" w:rsidP="00E23A14">
      <w:pPr>
        <w:pStyle w:val="Ttulo1"/>
      </w:pPr>
      <w:bookmarkStart w:id="14" w:name="_Toc235611015"/>
      <w:r w:rsidRPr="00512463">
        <w:lastRenderedPageBreak/>
        <w:t>PILA: medios de pago y liquidación</w:t>
      </w:r>
      <w:bookmarkEnd w:id="14"/>
    </w:p>
    <w:p w14:paraId="019BC8FA" w14:textId="77777777" w:rsidR="00E24B84" w:rsidRPr="00E24B84" w:rsidRDefault="00E24B84" w:rsidP="00E24B84">
      <w:pPr>
        <w:rPr>
          <w:lang w:val="es-419" w:eastAsia="es-CO"/>
        </w:rPr>
      </w:pPr>
      <w:r w:rsidRPr="00E24B84">
        <w:rPr>
          <w:lang w:val="es-419" w:eastAsia="es-CO"/>
        </w:rPr>
        <w:t>El proceso de liquidación y pago de los aportes al Sistema de Seguridad Social Integral culmina con el registro, la validación, la transmisión y el pago de la información mediante la Planilla Integrada de Liquidación de Aportes (PILA). Este mecanismo permite reportar en una sola transacción los aportes a salud, pensión, riesgos laborales y parafiscales, para que los recursos sean distribuidos a las entidades administradoras correspondientes.</w:t>
      </w:r>
    </w:p>
    <w:p w14:paraId="7973F3D3" w14:textId="6CD03BEB" w:rsidR="00E24B84" w:rsidRDefault="00E24B84" w:rsidP="00E24B84">
      <w:pPr>
        <w:rPr>
          <w:lang w:val="es-419" w:eastAsia="es-CO"/>
        </w:rPr>
      </w:pPr>
      <w:r w:rsidRPr="00E24B84">
        <w:rPr>
          <w:lang w:val="es-419" w:eastAsia="es-CO"/>
        </w:rPr>
        <w:t>La PILA integra la información de empleadores, trabajadores dependientes, contratistas e independientes, por lo que exige una revisión previa de los datos registrados en la nómina. Antes de transmitir la planilla, el profesional responsable debe verificar el tipo de cotizante, el Ingreso Base de Cotización (IBC), las novedades del período, los porcentajes aplicables y las entidades a las que se dirigirán los aportes.</w:t>
      </w:r>
    </w:p>
    <w:p w14:paraId="0B97932C" w14:textId="5F5DE528" w:rsidR="00E24B84" w:rsidRDefault="00E24B84" w:rsidP="00E24B84">
      <w:pPr>
        <w:rPr>
          <w:lang w:val="es-419" w:eastAsia="es-CO"/>
        </w:rPr>
      </w:pPr>
      <w:r w:rsidRPr="00E24B84">
        <w:rPr>
          <w:lang w:val="es-419" w:eastAsia="es-CO"/>
        </w:rPr>
        <w:t>La PILA no solo permite pagar aportes; también consolida la información laboral, valida novedades y deja evidencia del cumplimiento frente al Sistema de Seguridad Social Integral.</w:t>
      </w:r>
    </w:p>
    <w:p w14:paraId="76421E4E" w14:textId="77777777" w:rsidR="00E24B84" w:rsidRPr="00E24B84" w:rsidRDefault="00E24B84" w:rsidP="00E24B84">
      <w:pPr>
        <w:rPr>
          <w:lang w:val="es-419" w:eastAsia="es-CO"/>
        </w:rPr>
      </w:pPr>
      <w:r w:rsidRPr="00E24B84">
        <w:rPr>
          <w:lang w:val="es-419" w:eastAsia="es-CO"/>
        </w:rPr>
        <w:t>Para evitar errores en la liquidación, el profesional de nómina debe aplicar controles antes de transmitir la planilla. Estos controles permiten revisar la consistencia entre los valores calculados internamente, los datos cargados en el operador y los aportes que finalmente serán pagados a las entidades del sistema.</w:t>
      </w:r>
    </w:p>
    <w:p w14:paraId="619188D3" w14:textId="43309C36" w:rsidR="00E24B84" w:rsidRPr="00E24B84" w:rsidRDefault="00E24B84" w:rsidP="00F65317">
      <w:pPr>
        <w:pStyle w:val="Prrafodelista"/>
        <w:numPr>
          <w:ilvl w:val="0"/>
          <w:numId w:val="21"/>
        </w:numPr>
        <w:rPr>
          <w:lang w:val="es-419" w:eastAsia="es-CO"/>
        </w:rPr>
      </w:pPr>
      <w:r w:rsidRPr="00E24B84">
        <w:rPr>
          <w:b/>
          <w:bCs/>
          <w:lang w:val="es-419" w:eastAsia="es-CO"/>
        </w:rPr>
        <w:t>Verificar el IBC:</w:t>
      </w:r>
      <w:r w:rsidRPr="00E24B84">
        <w:rPr>
          <w:lang w:val="es-419" w:eastAsia="es-CO"/>
        </w:rPr>
        <w:t xml:space="preserve"> revisar que la base reportada corresponda al salario, honorarios o período cotizado de cada trabajador o contratista. </w:t>
      </w:r>
    </w:p>
    <w:p w14:paraId="273AF579" w14:textId="3353CEA1" w:rsidR="00E24B84" w:rsidRPr="00E24B84" w:rsidRDefault="00E24B84" w:rsidP="00F65317">
      <w:pPr>
        <w:pStyle w:val="Prrafodelista"/>
        <w:numPr>
          <w:ilvl w:val="0"/>
          <w:numId w:val="21"/>
        </w:numPr>
        <w:rPr>
          <w:lang w:val="es-419" w:eastAsia="es-CO"/>
        </w:rPr>
      </w:pPr>
      <w:r w:rsidRPr="00E24B84">
        <w:rPr>
          <w:b/>
          <w:bCs/>
          <w:lang w:val="es-419" w:eastAsia="es-CO"/>
        </w:rPr>
        <w:t>Confirmar las novedades:</w:t>
      </w:r>
      <w:r w:rsidRPr="00E24B84">
        <w:rPr>
          <w:lang w:val="es-419" w:eastAsia="es-CO"/>
        </w:rPr>
        <w:t xml:space="preserve"> validar ingresos, retiros, incapacidades, licencias, variaciones salariales y demás eventos del período. </w:t>
      </w:r>
    </w:p>
    <w:p w14:paraId="1BE7EF3D" w14:textId="67EC4163" w:rsidR="00E24B84" w:rsidRPr="00E24B84" w:rsidRDefault="00E24B84" w:rsidP="00F65317">
      <w:pPr>
        <w:pStyle w:val="Prrafodelista"/>
        <w:numPr>
          <w:ilvl w:val="0"/>
          <w:numId w:val="21"/>
        </w:numPr>
        <w:rPr>
          <w:lang w:val="es-419" w:eastAsia="es-CO"/>
        </w:rPr>
      </w:pPr>
      <w:r w:rsidRPr="00E24B84">
        <w:rPr>
          <w:b/>
          <w:bCs/>
          <w:lang w:val="es-419" w:eastAsia="es-CO"/>
        </w:rPr>
        <w:lastRenderedPageBreak/>
        <w:t>Revisar entidades afiliadas:</w:t>
      </w:r>
      <w:r w:rsidRPr="00E24B84">
        <w:rPr>
          <w:lang w:val="es-419" w:eastAsia="es-CO"/>
        </w:rPr>
        <w:t xml:space="preserve"> comprobar que EPS, AFP, ARL y caja de compensación correspondan a la afiliación vigente. </w:t>
      </w:r>
    </w:p>
    <w:p w14:paraId="2BD1A731" w14:textId="1F2FC83F" w:rsidR="00E24B84" w:rsidRPr="00E24B84" w:rsidRDefault="00E24B84" w:rsidP="00F65317">
      <w:pPr>
        <w:pStyle w:val="Prrafodelista"/>
        <w:numPr>
          <w:ilvl w:val="0"/>
          <w:numId w:val="21"/>
        </w:numPr>
        <w:rPr>
          <w:lang w:val="es-419" w:eastAsia="es-CO"/>
        </w:rPr>
      </w:pPr>
      <w:r w:rsidRPr="00E24B84">
        <w:rPr>
          <w:b/>
          <w:bCs/>
          <w:lang w:val="es-419" w:eastAsia="es-CO"/>
        </w:rPr>
        <w:t>Comparar valores:</w:t>
      </w:r>
      <w:r w:rsidRPr="00E24B84">
        <w:rPr>
          <w:lang w:val="es-419" w:eastAsia="es-CO"/>
        </w:rPr>
        <w:t xml:space="preserve"> contrastar los aportes calculados en nómina con los generados por el operador de información. </w:t>
      </w:r>
    </w:p>
    <w:p w14:paraId="2507C6D6" w14:textId="7537EB7D" w:rsidR="00E24B84" w:rsidRPr="00E24B84" w:rsidRDefault="00E24B84" w:rsidP="00F65317">
      <w:pPr>
        <w:pStyle w:val="Prrafodelista"/>
        <w:numPr>
          <w:ilvl w:val="0"/>
          <w:numId w:val="21"/>
        </w:numPr>
        <w:rPr>
          <w:lang w:val="es-419" w:eastAsia="es-CO"/>
        </w:rPr>
      </w:pPr>
      <w:r w:rsidRPr="00E24B84">
        <w:rPr>
          <w:b/>
          <w:bCs/>
          <w:lang w:val="es-419" w:eastAsia="es-CO"/>
        </w:rPr>
        <w:t>Conservar soportes:</w:t>
      </w:r>
      <w:r w:rsidRPr="00E24B84">
        <w:rPr>
          <w:lang w:val="es-419" w:eastAsia="es-CO"/>
        </w:rPr>
        <w:t xml:space="preserve"> guardar comprobantes, planillas, reportes de novedades y documentos que respalden la liquidación.</w:t>
      </w:r>
    </w:p>
    <w:p w14:paraId="3663D6E2" w14:textId="77777777" w:rsidR="00E24B84" w:rsidRPr="00E24B84" w:rsidRDefault="00E24B84" w:rsidP="00E24B84">
      <w:pPr>
        <w:rPr>
          <w:lang w:val="es-419" w:eastAsia="es-CO"/>
        </w:rPr>
      </w:pPr>
      <w:r w:rsidRPr="00E24B84">
        <w:rPr>
          <w:lang w:val="es-419" w:eastAsia="es-CO"/>
        </w:rPr>
        <w:t>La aplicación de estos controles reduce inconsistencias, facilita la corrección oportuna de errores y fortalece la trazabilidad del proceso. Además, permite responder de manera ordenada ante revisiones internas, auditorías o requerimientos de entidades de control.</w:t>
      </w:r>
    </w:p>
    <w:p w14:paraId="302D1390" w14:textId="2AE5D006" w:rsidR="00E24B84" w:rsidRDefault="00E24B84" w:rsidP="00E24B84">
      <w:pPr>
        <w:rPr>
          <w:lang w:val="es-419" w:eastAsia="es-CO"/>
        </w:rPr>
      </w:pPr>
      <w:r w:rsidRPr="00E24B84">
        <w:rPr>
          <w:lang w:val="es-419" w:eastAsia="es-CO"/>
        </w:rPr>
        <w:t>Una vez comprendida la función general de la PILA dentro del proceso de liquidación, es necesario revisar su definición, los tipos de planilla y los operadores autorizados. Esta información permite seleccionar el mecanismo adecuado según el tipo de cotizante, la naturaleza del vínculo y la obligación que debe reportarse en cada período.</w:t>
      </w:r>
    </w:p>
    <w:p w14:paraId="4D6A3352" w14:textId="77777777" w:rsidR="00EC41F4" w:rsidRPr="00E24B84" w:rsidRDefault="00EC41F4" w:rsidP="00E24B84">
      <w:pPr>
        <w:rPr>
          <w:lang w:val="es-419" w:eastAsia="es-CO"/>
        </w:rPr>
      </w:pPr>
    </w:p>
    <w:p w14:paraId="4824C3E2" w14:textId="5AAE58A4" w:rsidR="00831C29" w:rsidRDefault="00E23A14" w:rsidP="00E23A14">
      <w:pPr>
        <w:pStyle w:val="Ttulo2"/>
      </w:pPr>
      <w:bookmarkStart w:id="15" w:name="_Toc235611016"/>
      <w:r w:rsidRPr="00E23A14">
        <w:t>Definición, tipos y operadores</w:t>
      </w:r>
      <w:bookmarkEnd w:id="15"/>
    </w:p>
    <w:p w14:paraId="03369416" w14:textId="77777777" w:rsidR="00E24B84" w:rsidRPr="00E24B84" w:rsidRDefault="00E24B84" w:rsidP="00E24B84">
      <w:pPr>
        <w:rPr>
          <w:lang w:val="es-419" w:eastAsia="es-CO"/>
        </w:rPr>
      </w:pPr>
      <w:r w:rsidRPr="00E24B84">
        <w:rPr>
          <w:lang w:val="es-419" w:eastAsia="es-CO"/>
        </w:rPr>
        <w:t>La Planilla Integrada de Liquidación de Aportes (PILA) es el mecanismo electrónico mediante el cual los aportantes reportan y pagan los aportes al Sistema de Seguridad Social Integral y a los aportes parafiscales, cuando correspondan. A través de este medio se integran, en una sola transacción, los pagos destinados a salud, pensión, riesgos laborales, cajas de compensación familiar, SENA e ICBF.</w:t>
      </w:r>
    </w:p>
    <w:p w14:paraId="5FDBB5AE" w14:textId="77777777" w:rsidR="00E24B84" w:rsidRPr="00E24B84" w:rsidRDefault="00E24B84" w:rsidP="00E24B84">
      <w:pPr>
        <w:rPr>
          <w:lang w:val="es-419" w:eastAsia="es-CO"/>
        </w:rPr>
      </w:pPr>
      <w:r w:rsidRPr="00E24B84">
        <w:rPr>
          <w:lang w:val="es-419" w:eastAsia="es-CO"/>
        </w:rPr>
        <w:lastRenderedPageBreak/>
        <w:t>Este mecanismo fue creado para simplificar y unificar el pago de aportes, evitando que cada obligación se gestionara por separado ante diferentes entidades. Por ello, la PILA cumple una función técnica y administrativa: permite liquidar, validar, pagar y dejar trazabilidad del cumplimiento de las obligaciones del aportante frente al sistema.</w:t>
      </w:r>
    </w:p>
    <w:p w14:paraId="0AD5BC11" w14:textId="7E36CF26" w:rsidR="00E24B84" w:rsidRPr="00E24B84" w:rsidRDefault="00E24B84" w:rsidP="00E24B84">
      <w:pPr>
        <w:rPr>
          <w:lang w:val="es-419" w:eastAsia="es-CO"/>
        </w:rPr>
      </w:pPr>
      <w:r w:rsidRPr="00E24B84">
        <w:rPr>
          <w:lang w:val="es-419" w:eastAsia="es-CO"/>
        </w:rPr>
        <w:t>Para comprender su funcionamiento, es necesario identificar</w:t>
      </w:r>
      <w:r w:rsidR="001319EA">
        <w:rPr>
          <w:lang w:val="es-419" w:eastAsia="es-CO"/>
        </w:rPr>
        <w:t xml:space="preserve"> a</w:t>
      </w:r>
      <w:r w:rsidRPr="00E24B84">
        <w:rPr>
          <w:lang w:val="es-419" w:eastAsia="es-CO"/>
        </w:rPr>
        <w:t xml:space="preserve"> los actores que intervienen en el proceso:</w:t>
      </w:r>
    </w:p>
    <w:p w14:paraId="449C9937" w14:textId="23F328D6" w:rsidR="00E24B84" w:rsidRPr="00E24B84" w:rsidRDefault="00E24B84" w:rsidP="00F65317">
      <w:pPr>
        <w:pStyle w:val="Prrafodelista"/>
        <w:numPr>
          <w:ilvl w:val="0"/>
          <w:numId w:val="22"/>
        </w:numPr>
        <w:rPr>
          <w:lang w:val="es-419" w:eastAsia="es-CO"/>
        </w:rPr>
      </w:pPr>
      <w:r w:rsidRPr="00E24B84">
        <w:rPr>
          <w:b/>
          <w:bCs/>
          <w:lang w:val="es-419" w:eastAsia="es-CO"/>
        </w:rPr>
        <w:t>Aportante:</w:t>
      </w:r>
      <w:r w:rsidRPr="00E24B84">
        <w:rPr>
          <w:lang w:val="es-419" w:eastAsia="es-CO"/>
        </w:rPr>
        <w:t xml:space="preserve"> persona natural o jurídica responsable de reportar y pagar los aportes. Puede ser un empleador, un trabajador independiente, un contratante o un cotizante voluntario. </w:t>
      </w:r>
    </w:p>
    <w:p w14:paraId="46AE9FEF" w14:textId="2573B9C7" w:rsidR="00E24B84" w:rsidRPr="00E24B84" w:rsidRDefault="00E24B84" w:rsidP="00F65317">
      <w:pPr>
        <w:pStyle w:val="Prrafodelista"/>
        <w:numPr>
          <w:ilvl w:val="0"/>
          <w:numId w:val="22"/>
        </w:numPr>
        <w:rPr>
          <w:lang w:val="es-419" w:eastAsia="es-CO"/>
        </w:rPr>
      </w:pPr>
      <w:r w:rsidRPr="00E24B84">
        <w:rPr>
          <w:b/>
          <w:bCs/>
          <w:lang w:val="es-419" w:eastAsia="es-CO"/>
        </w:rPr>
        <w:t>Operador de información PILA:</w:t>
      </w:r>
      <w:r w:rsidRPr="00E24B84">
        <w:rPr>
          <w:lang w:val="es-419" w:eastAsia="es-CO"/>
        </w:rPr>
        <w:t xml:space="preserve"> persona jurídica autorizada para procesar la planilla, validar la información registrada, generar el comprobante de pago y distribuir los recursos a las entidades correspondientes. </w:t>
      </w:r>
    </w:p>
    <w:p w14:paraId="343A5C35" w14:textId="6B0C0B47" w:rsidR="00E24B84" w:rsidRPr="00E24B84" w:rsidRDefault="00E24B84" w:rsidP="00F65317">
      <w:pPr>
        <w:pStyle w:val="Prrafodelista"/>
        <w:numPr>
          <w:ilvl w:val="0"/>
          <w:numId w:val="22"/>
        </w:numPr>
        <w:rPr>
          <w:lang w:val="es-419" w:eastAsia="es-CO"/>
        </w:rPr>
      </w:pPr>
      <w:r w:rsidRPr="00E24B84">
        <w:rPr>
          <w:b/>
          <w:bCs/>
          <w:lang w:val="es-419" w:eastAsia="es-CO"/>
        </w:rPr>
        <w:t xml:space="preserve">Entidades administradoras: </w:t>
      </w:r>
      <w:r w:rsidRPr="00E24B84">
        <w:rPr>
          <w:lang w:val="es-419" w:eastAsia="es-CO"/>
        </w:rPr>
        <w:t xml:space="preserve">instituciones que reciben los aportes, como EPS, AFP, ARL, cajas de compensación familiar, SENA e ICBF, según el tipo de cotizante y la obligación reportada. </w:t>
      </w:r>
    </w:p>
    <w:p w14:paraId="3DF02290" w14:textId="6E12CE7A" w:rsidR="00E24B84" w:rsidRPr="00E24B84" w:rsidRDefault="00E24B84" w:rsidP="00F65317">
      <w:pPr>
        <w:pStyle w:val="Prrafodelista"/>
        <w:numPr>
          <w:ilvl w:val="0"/>
          <w:numId w:val="22"/>
        </w:numPr>
        <w:rPr>
          <w:lang w:val="es-419" w:eastAsia="es-CO"/>
        </w:rPr>
      </w:pPr>
      <w:r w:rsidRPr="00E24B84">
        <w:rPr>
          <w:b/>
          <w:bCs/>
          <w:lang w:val="es-419" w:eastAsia="es-CO"/>
        </w:rPr>
        <w:t>Entidades de control:</w:t>
      </w:r>
      <w:r w:rsidRPr="00E24B84">
        <w:rPr>
          <w:lang w:val="es-419" w:eastAsia="es-CO"/>
        </w:rPr>
        <w:t xml:space="preserve"> organismos que verifican el cumplimiento de las obligaciones, entre ellos la Unidad de Gestión Pensional y Parafiscal (UGPP), que puede revisar inconsistencias, omisiones o diferencias en los aportes. </w:t>
      </w:r>
    </w:p>
    <w:p w14:paraId="406AC8D4" w14:textId="77777777" w:rsidR="00E24B84" w:rsidRPr="00E24B84" w:rsidRDefault="00E24B84" w:rsidP="00E24B84">
      <w:pPr>
        <w:rPr>
          <w:lang w:val="es-419" w:eastAsia="es-CO"/>
        </w:rPr>
      </w:pPr>
      <w:r w:rsidRPr="00E24B84">
        <w:rPr>
          <w:lang w:val="es-419" w:eastAsia="es-CO"/>
        </w:rPr>
        <w:t>Estos actores permiten que la información registrada en la planilla llegue a las entidades del sistema de forma organizada y trazable. Por esta razón, el profesional de nómina debe revisar que los datos cargados sean coherentes con la nómina, los contratos, las novedades y los soportes del período.</w:t>
      </w:r>
    </w:p>
    <w:p w14:paraId="38033783" w14:textId="77777777" w:rsidR="00E24B84" w:rsidRPr="00E24B84" w:rsidRDefault="00E24B84" w:rsidP="00E24B84">
      <w:pPr>
        <w:rPr>
          <w:lang w:val="es-419" w:eastAsia="es-CO"/>
        </w:rPr>
      </w:pPr>
      <w:r w:rsidRPr="00E24B84">
        <w:rPr>
          <w:lang w:val="es-419" w:eastAsia="es-CO"/>
        </w:rPr>
        <w:lastRenderedPageBreak/>
        <w:t>El proceso de transmisión puede realizarse mediante dos modalidades: planilla asistida y planilla electrónica. La primera se diligencia con apoyo del operador, especialmente cuando el aportante requiere acompañamiento en el registro de la información. La segunda permite cargar archivos desde el sistema de nómina, por lo que se utiliza con frecuencia en empresas que manejan un mayor volumen de trabajadores y novedades.</w:t>
      </w:r>
    </w:p>
    <w:p w14:paraId="6E756E2F" w14:textId="77777777" w:rsidR="00E24B84" w:rsidRPr="00E24B84" w:rsidRDefault="00E24B84" w:rsidP="00E24B84">
      <w:pPr>
        <w:rPr>
          <w:lang w:val="es-419" w:eastAsia="es-CO"/>
        </w:rPr>
      </w:pPr>
      <w:r w:rsidRPr="00E24B84">
        <w:rPr>
          <w:lang w:val="es-419" w:eastAsia="es-CO"/>
        </w:rPr>
        <w:t>Antes de enviar la planilla al operador de información, se deben revisar los siguientes aspectos:</w:t>
      </w:r>
    </w:p>
    <w:p w14:paraId="2A10F9DC" w14:textId="2B273272" w:rsidR="00E24B84" w:rsidRPr="00EC41F4" w:rsidRDefault="00E24B84" w:rsidP="00F65317">
      <w:pPr>
        <w:pStyle w:val="Prrafodelista"/>
        <w:numPr>
          <w:ilvl w:val="0"/>
          <w:numId w:val="23"/>
        </w:numPr>
        <w:rPr>
          <w:lang w:val="es-419" w:eastAsia="es-CO"/>
        </w:rPr>
      </w:pPr>
      <w:r w:rsidRPr="00EC41F4">
        <w:rPr>
          <w:b/>
          <w:bCs/>
          <w:lang w:val="es-419" w:eastAsia="es-CO"/>
        </w:rPr>
        <w:t>Tipo de cotizante:</w:t>
      </w:r>
      <w:r w:rsidRPr="00EC41F4">
        <w:rPr>
          <w:lang w:val="es-419" w:eastAsia="es-CO"/>
        </w:rPr>
        <w:t xml:space="preserve"> permite identificar si se trata de trabajador dependiente, independiente, contratista, pensionado, aprendiz u otro perfil reconocido por el sistema. </w:t>
      </w:r>
    </w:p>
    <w:p w14:paraId="684E3F44" w14:textId="7CCB8396" w:rsidR="00E24B84" w:rsidRPr="00EC41F4" w:rsidRDefault="00E24B84" w:rsidP="00F65317">
      <w:pPr>
        <w:pStyle w:val="Prrafodelista"/>
        <w:numPr>
          <w:ilvl w:val="0"/>
          <w:numId w:val="23"/>
        </w:numPr>
        <w:rPr>
          <w:lang w:val="es-419" w:eastAsia="es-CO"/>
        </w:rPr>
      </w:pPr>
      <w:r w:rsidRPr="00EC41F4">
        <w:rPr>
          <w:b/>
          <w:bCs/>
          <w:lang w:val="es-419" w:eastAsia="es-CO"/>
        </w:rPr>
        <w:t>Tipo de planilla:</w:t>
      </w:r>
      <w:r w:rsidRPr="00EC41F4">
        <w:rPr>
          <w:lang w:val="es-419" w:eastAsia="es-CO"/>
        </w:rPr>
        <w:t xml:space="preserve"> define el formato que debe usarse según la obligación que se va a reportar, como empleador, independiente, corrección o anulación. </w:t>
      </w:r>
    </w:p>
    <w:p w14:paraId="1CDE0572" w14:textId="430187AD" w:rsidR="00E24B84" w:rsidRPr="00EC41F4" w:rsidRDefault="00E24B84" w:rsidP="00F65317">
      <w:pPr>
        <w:pStyle w:val="Prrafodelista"/>
        <w:numPr>
          <w:ilvl w:val="0"/>
          <w:numId w:val="23"/>
        </w:numPr>
        <w:rPr>
          <w:lang w:val="es-419" w:eastAsia="es-CO"/>
        </w:rPr>
      </w:pPr>
      <w:r w:rsidRPr="00EC41F4">
        <w:rPr>
          <w:b/>
          <w:bCs/>
          <w:lang w:val="es-419" w:eastAsia="es-CO"/>
        </w:rPr>
        <w:t>IBC reportado:</w:t>
      </w:r>
      <w:r w:rsidRPr="00EC41F4">
        <w:rPr>
          <w:lang w:val="es-419" w:eastAsia="es-CO"/>
        </w:rPr>
        <w:t xml:space="preserve"> corresponde a la base sobre la cual se calculan los aportes y debe coincidir con la realidad salarial o contractual del período. </w:t>
      </w:r>
    </w:p>
    <w:p w14:paraId="0C83B5EB" w14:textId="2FE11437" w:rsidR="00E24B84" w:rsidRPr="00EC41F4" w:rsidRDefault="00E24B84" w:rsidP="00F65317">
      <w:pPr>
        <w:pStyle w:val="Prrafodelista"/>
        <w:numPr>
          <w:ilvl w:val="0"/>
          <w:numId w:val="23"/>
        </w:numPr>
        <w:rPr>
          <w:lang w:val="es-419" w:eastAsia="es-CO"/>
        </w:rPr>
      </w:pPr>
      <w:r w:rsidRPr="00EC41F4">
        <w:rPr>
          <w:b/>
          <w:bCs/>
          <w:lang w:val="es-419" w:eastAsia="es-CO"/>
        </w:rPr>
        <w:t>Novedades del período:</w:t>
      </w:r>
      <w:r w:rsidRPr="00EC41F4">
        <w:rPr>
          <w:lang w:val="es-419" w:eastAsia="es-CO"/>
        </w:rPr>
        <w:t xml:space="preserve"> incluyen ingresos, retiros, variaciones salariales, incapacidades, licencias, suspensiones u otros eventos que modifican la cotización. </w:t>
      </w:r>
    </w:p>
    <w:p w14:paraId="33E6A122" w14:textId="3F6CB1E4" w:rsidR="00E24B84" w:rsidRPr="00EC41F4" w:rsidRDefault="00E24B84" w:rsidP="00F65317">
      <w:pPr>
        <w:pStyle w:val="Prrafodelista"/>
        <w:numPr>
          <w:ilvl w:val="0"/>
          <w:numId w:val="23"/>
        </w:numPr>
        <w:rPr>
          <w:lang w:val="es-419" w:eastAsia="es-CO"/>
        </w:rPr>
      </w:pPr>
      <w:r w:rsidRPr="00EC41F4">
        <w:rPr>
          <w:b/>
          <w:bCs/>
          <w:lang w:val="es-419" w:eastAsia="es-CO"/>
        </w:rPr>
        <w:t>Entidades receptoras:</w:t>
      </w:r>
      <w:r w:rsidRPr="00EC41F4">
        <w:rPr>
          <w:lang w:val="es-419" w:eastAsia="es-CO"/>
        </w:rPr>
        <w:t xml:space="preserve"> corresponden a la EPS, AFP, ARL, caja de compensación familiar y demás entidades a las que se trasladan los aportes. </w:t>
      </w:r>
    </w:p>
    <w:p w14:paraId="31C06800" w14:textId="77777777" w:rsidR="00E24B84" w:rsidRPr="00E24B84" w:rsidRDefault="00E24B84" w:rsidP="00E24B84">
      <w:pPr>
        <w:rPr>
          <w:lang w:val="es-419" w:eastAsia="es-CO"/>
        </w:rPr>
      </w:pPr>
      <w:r w:rsidRPr="00E24B84">
        <w:rPr>
          <w:lang w:val="es-419" w:eastAsia="es-CO"/>
        </w:rPr>
        <w:t>La revisión de estos aspectos reduce errores antes del pago y facilita la corrección oportuna de inconsistencias. En consecuencia, la PILA debe entenderse como una herramienta de liquidación, control y soporte documental dentro de la gestión de nómina.</w:t>
      </w:r>
    </w:p>
    <w:p w14:paraId="3D6288E3" w14:textId="77777777" w:rsidR="00E24B84" w:rsidRPr="00E24B84" w:rsidRDefault="00E24B84" w:rsidP="00E24B84">
      <w:pPr>
        <w:rPr>
          <w:b/>
          <w:bCs/>
          <w:lang w:val="es-419" w:eastAsia="es-CO"/>
        </w:rPr>
      </w:pPr>
      <w:r w:rsidRPr="00E24B84">
        <w:rPr>
          <w:b/>
          <w:bCs/>
          <w:lang w:val="es-419" w:eastAsia="es-CO"/>
        </w:rPr>
        <w:lastRenderedPageBreak/>
        <w:t>Tipos de planilla PILA</w:t>
      </w:r>
    </w:p>
    <w:p w14:paraId="082A51D9" w14:textId="77777777" w:rsidR="00E24B84" w:rsidRPr="00E24B84" w:rsidRDefault="00E24B84" w:rsidP="00E24B84">
      <w:pPr>
        <w:rPr>
          <w:lang w:val="es-419" w:eastAsia="es-CO"/>
        </w:rPr>
      </w:pPr>
      <w:r w:rsidRPr="00E24B84">
        <w:rPr>
          <w:lang w:val="es-419" w:eastAsia="es-CO"/>
        </w:rPr>
        <w:t>La PILA cuenta con diferentes tipos de planilla, definidos según las características del aportante, el cotizante y la obligación que se reporta. Seleccionar el tipo correcto es fundamental, porque un error puede afectar la distribución de los recursos, el registro de novedades y la actualización de la historia de aportes del trabajador o contratista.</w:t>
      </w:r>
    </w:p>
    <w:p w14:paraId="5A929C17" w14:textId="77777777" w:rsidR="00E24B84" w:rsidRPr="00E24B84" w:rsidRDefault="00E24B84" w:rsidP="00E24B84">
      <w:pPr>
        <w:rPr>
          <w:lang w:val="es-419" w:eastAsia="es-CO"/>
        </w:rPr>
      </w:pPr>
      <w:r w:rsidRPr="00E24B84">
        <w:rPr>
          <w:lang w:val="es-419" w:eastAsia="es-CO"/>
        </w:rPr>
        <w:t>Para facilitar su comprensión, se presentan los tipos de planilla más utilizados en la gestión de nómina y seguridad social:</w:t>
      </w:r>
    </w:p>
    <w:p w14:paraId="457B0947" w14:textId="0555E02E" w:rsidR="00E24B84" w:rsidRPr="00E24B84" w:rsidRDefault="00E24B84" w:rsidP="00F65317">
      <w:pPr>
        <w:pStyle w:val="Prrafodelista"/>
        <w:numPr>
          <w:ilvl w:val="0"/>
          <w:numId w:val="24"/>
        </w:numPr>
        <w:rPr>
          <w:lang w:val="es-419" w:eastAsia="es-CO"/>
        </w:rPr>
      </w:pPr>
      <w:r w:rsidRPr="00E24B84">
        <w:rPr>
          <w:b/>
          <w:bCs/>
          <w:lang w:val="es-419" w:eastAsia="es-CO"/>
        </w:rPr>
        <w:t>Planilla tipo E — Empleador:</w:t>
      </w:r>
      <w:r w:rsidRPr="00E24B84">
        <w:rPr>
          <w:lang w:val="es-419" w:eastAsia="es-CO"/>
        </w:rPr>
        <w:t xml:space="preserve"> aplica para empleadores con trabajadores dependientes vinculados mediante contrato laboral. Permite reportar el IBC, las entidades de afiliación, los aportes y las novedades del período. </w:t>
      </w:r>
    </w:p>
    <w:p w14:paraId="1C1FCA5A" w14:textId="16627DBE" w:rsidR="00E24B84" w:rsidRPr="00E24B84" w:rsidRDefault="00E24B84" w:rsidP="00F65317">
      <w:pPr>
        <w:pStyle w:val="Prrafodelista"/>
        <w:numPr>
          <w:ilvl w:val="0"/>
          <w:numId w:val="24"/>
        </w:numPr>
        <w:rPr>
          <w:lang w:val="es-419" w:eastAsia="es-CO"/>
        </w:rPr>
      </w:pPr>
      <w:r w:rsidRPr="00E24B84">
        <w:rPr>
          <w:b/>
          <w:bCs/>
          <w:lang w:val="es-419" w:eastAsia="es-CO"/>
        </w:rPr>
        <w:t>Planilla tipo T — Independiente con contrato:</w:t>
      </w:r>
      <w:r w:rsidRPr="00E24B84">
        <w:rPr>
          <w:lang w:val="es-419" w:eastAsia="es-CO"/>
        </w:rPr>
        <w:t xml:space="preserve"> se utiliza para contratistas independientes con contrato de prestación de servicios. En esta modalidad, el IBC corresponde al 40 % del valor mensualizado del contrato, respetando los topes legales. </w:t>
      </w:r>
    </w:p>
    <w:p w14:paraId="0AA2A535" w14:textId="761AB00E" w:rsidR="00E24B84" w:rsidRPr="00E24B84" w:rsidRDefault="00E24B84" w:rsidP="00F65317">
      <w:pPr>
        <w:pStyle w:val="Prrafodelista"/>
        <w:numPr>
          <w:ilvl w:val="0"/>
          <w:numId w:val="24"/>
        </w:numPr>
        <w:rPr>
          <w:lang w:val="es-419" w:eastAsia="es-CO"/>
        </w:rPr>
      </w:pPr>
      <w:r w:rsidRPr="00E24B84">
        <w:rPr>
          <w:b/>
          <w:bCs/>
          <w:lang w:val="es-419" w:eastAsia="es-CO"/>
        </w:rPr>
        <w:t>Planilla tipo Y — Independiente sin contrato:</w:t>
      </w:r>
      <w:r w:rsidRPr="00E24B84">
        <w:rPr>
          <w:lang w:val="es-419" w:eastAsia="es-CO"/>
        </w:rPr>
        <w:t xml:space="preserve"> aplica para trabajadores independientes que no tienen contrato de prestación de servicios, como rentistas, comerciantes o profesionales que ejercen su actividad de manera autónoma. </w:t>
      </w:r>
    </w:p>
    <w:p w14:paraId="1CA892CF" w14:textId="1B7A1B44" w:rsidR="00E24B84" w:rsidRPr="00E24B84" w:rsidRDefault="00E24B84" w:rsidP="00F65317">
      <w:pPr>
        <w:pStyle w:val="Prrafodelista"/>
        <w:numPr>
          <w:ilvl w:val="0"/>
          <w:numId w:val="24"/>
        </w:numPr>
        <w:rPr>
          <w:lang w:val="es-419" w:eastAsia="es-CO"/>
        </w:rPr>
      </w:pPr>
      <w:r w:rsidRPr="00E24B84">
        <w:rPr>
          <w:b/>
          <w:bCs/>
          <w:lang w:val="es-419" w:eastAsia="es-CO"/>
        </w:rPr>
        <w:t>Planilla tipo X — Cotizante voluntario:</w:t>
      </w:r>
      <w:r w:rsidRPr="00E24B84">
        <w:rPr>
          <w:lang w:val="es-419" w:eastAsia="es-CO"/>
        </w:rPr>
        <w:t xml:space="preserve"> se utiliza cuando una persona sin vínculo laboral busca mantener la cobertura en salud de forma voluntaria, de acuerdo con las condiciones permitidas por el sistema. </w:t>
      </w:r>
    </w:p>
    <w:p w14:paraId="0A14DDA7" w14:textId="35F97E29" w:rsidR="00E24B84" w:rsidRPr="00E24B84" w:rsidRDefault="00E24B84" w:rsidP="00F65317">
      <w:pPr>
        <w:pStyle w:val="Prrafodelista"/>
        <w:numPr>
          <w:ilvl w:val="0"/>
          <w:numId w:val="24"/>
        </w:numPr>
        <w:rPr>
          <w:lang w:val="es-419" w:eastAsia="es-CO"/>
        </w:rPr>
      </w:pPr>
      <w:r w:rsidRPr="00E24B84">
        <w:rPr>
          <w:b/>
          <w:bCs/>
          <w:lang w:val="es-419" w:eastAsia="es-CO"/>
        </w:rPr>
        <w:t>Planilla tipo N — Empleador nuevo:</w:t>
      </w:r>
      <w:r w:rsidRPr="00E24B84">
        <w:rPr>
          <w:lang w:val="es-419" w:eastAsia="es-CO"/>
        </w:rPr>
        <w:t xml:space="preserve"> aplica para empleadores que realizan su primer pago y aún no cuentan con historial previo en el sistema. </w:t>
      </w:r>
    </w:p>
    <w:p w14:paraId="5D8809F6" w14:textId="34C8D065" w:rsidR="00E24B84" w:rsidRPr="00E24B84" w:rsidRDefault="00E24B84" w:rsidP="00F65317">
      <w:pPr>
        <w:pStyle w:val="Prrafodelista"/>
        <w:numPr>
          <w:ilvl w:val="0"/>
          <w:numId w:val="24"/>
        </w:numPr>
        <w:rPr>
          <w:lang w:val="es-419" w:eastAsia="es-CO"/>
        </w:rPr>
      </w:pPr>
      <w:r w:rsidRPr="00E24B84">
        <w:rPr>
          <w:b/>
          <w:bCs/>
          <w:lang w:val="es-419" w:eastAsia="es-CO"/>
        </w:rPr>
        <w:lastRenderedPageBreak/>
        <w:t>Planilla tipo A — Corrección:</w:t>
      </w:r>
      <w:r w:rsidRPr="00E24B84">
        <w:rPr>
          <w:lang w:val="es-419" w:eastAsia="es-CO"/>
        </w:rPr>
        <w:t xml:space="preserve"> permite ajustar información de planillas ya transmitidas, cuando se detectan errores en el IBC, las novedades, los datos del cotizante o los valores liquidados. </w:t>
      </w:r>
    </w:p>
    <w:p w14:paraId="46F30858" w14:textId="7DE3A047" w:rsidR="00E24B84" w:rsidRPr="00E24B84" w:rsidRDefault="00E24B84" w:rsidP="00F65317">
      <w:pPr>
        <w:pStyle w:val="Prrafodelista"/>
        <w:numPr>
          <w:ilvl w:val="0"/>
          <w:numId w:val="24"/>
        </w:numPr>
        <w:rPr>
          <w:lang w:val="es-419" w:eastAsia="es-CO"/>
        </w:rPr>
      </w:pPr>
      <w:r w:rsidRPr="00E24B84">
        <w:rPr>
          <w:b/>
          <w:bCs/>
          <w:lang w:val="es-419" w:eastAsia="es-CO"/>
        </w:rPr>
        <w:t>Planilla de anulación:</w:t>
      </w:r>
      <w:r w:rsidRPr="00E24B84">
        <w:rPr>
          <w:lang w:val="es-419" w:eastAsia="es-CO"/>
        </w:rPr>
        <w:t xml:space="preserve"> se usa para dejar sin efecto una planilla incorrecta, siempre que el caso cumpla las condiciones y los plazos definidos por el operador y la normativa aplicable.</w:t>
      </w:r>
    </w:p>
    <w:p w14:paraId="7493F9F9" w14:textId="77777777" w:rsidR="00E24B84" w:rsidRPr="00E24B84" w:rsidRDefault="00E24B84" w:rsidP="00E24B84">
      <w:pPr>
        <w:rPr>
          <w:lang w:val="es-419" w:eastAsia="es-CO"/>
        </w:rPr>
      </w:pPr>
      <w:r w:rsidRPr="00E24B84">
        <w:rPr>
          <w:lang w:val="es-419" w:eastAsia="es-CO"/>
        </w:rPr>
        <w:t>Estas planillas permiten atender diferentes situaciones de pago y corrección. Por ello, antes de seleccionar una opción, el profesional de nómina debe verificar el tipo de vinculación, la obligación que se reporta y las instrucciones vigentes del operador de información.</w:t>
      </w:r>
    </w:p>
    <w:p w14:paraId="6D8B74B3" w14:textId="423F720C" w:rsidR="00E24B84" w:rsidRDefault="00E24B84" w:rsidP="00E24B84">
      <w:pPr>
        <w:rPr>
          <w:lang w:val="es-419" w:eastAsia="es-CO"/>
        </w:rPr>
      </w:pPr>
      <w:r w:rsidRPr="00E24B84">
        <w:rPr>
          <w:lang w:val="es-419" w:eastAsia="es-CO"/>
        </w:rPr>
        <w:t>Con el propósito de profundizar en el funcionamiento de los mecanismos de pago de aportes al Sistema de Seguridad Social Integral, se propone el siguiente recurso de audio sobre los tipos de planilla PILA y su correcta selección según el vínculo del cotizante. Este material aborda, de manera clara y contextualizada, las diferencias entre cada tipo de planilla, las situaciones en que aplica cada una y los procedimientos disponibles para corregir o anular una planilla cuando se detectan errores en la información transmitida al sistema.</w:t>
      </w:r>
    </w:p>
    <w:tbl>
      <w:tblPr>
        <w:tblStyle w:val="Tablaconcuadrcula"/>
        <w:tblW w:w="0" w:type="auto"/>
        <w:tblLook w:val="04A0" w:firstRow="1" w:lastRow="0" w:firstColumn="1" w:lastColumn="0" w:noHBand="0" w:noVBand="1"/>
      </w:tblPr>
      <w:tblGrid>
        <w:gridCol w:w="9962"/>
      </w:tblGrid>
      <w:tr w:rsidR="00E24B84" w14:paraId="67A1F3BA" w14:textId="77777777" w:rsidTr="00E24B84">
        <w:trPr>
          <w:tblHeader/>
        </w:trPr>
        <w:tc>
          <w:tcPr>
            <w:tcW w:w="9962" w:type="dxa"/>
          </w:tcPr>
          <w:p w14:paraId="6AA56F0B" w14:textId="569F7EAC" w:rsidR="00E24B84" w:rsidRDefault="00E24B84" w:rsidP="00CA58FB">
            <w:pPr>
              <w:ind w:firstLine="0"/>
            </w:pPr>
            <w:r>
              <w:rPr>
                <w:b/>
              </w:rPr>
              <w:t xml:space="preserve">Transcripción del </w:t>
            </w:r>
            <w:r w:rsidR="006B0E8E">
              <w:rPr>
                <w:b/>
              </w:rPr>
              <w:t>pó</w:t>
            </w:r>
            <w:r w:rsidRPr="00E24B84">
              <w:rPr>
                <w:b/>
              </w:rPr>
              <w:t>dcast.</w:t>
            </w:r>
            <w:r>
              <w:rPr>
                <w:b/>
              </w:rPr>
              <w:t xml:space="preserve"> </w:t>
            </w:r>
            <w:r w:rsidR="00EC41F4" w:rsidRPr="00EC41F4">
              <w:rPr>
                <w:bCs/>
              </w:rPr>
              <w:t xml:space="preserve">Tipos de planilla PILA  </w:t>
            </w:r>
          </w:p>
        </w:tc>
      </w:tr>
      <w:tr w:rsidR="00E24B84" w14:paraId="3F4D12CB" w14:textId="77777777" w:rsidTr="00E24B84">
        <w:tc>
          <w:tcPr>
            <w:tcW w:w="9962" w:type="dxa"/>
          </w:tcPr>
          <w:p w14:paraId="555BDB80" w14:textId="3FD0E475" w:rsidR="00EC41F4" w:rsidRDefault="006B0E8E" w:rsidP="00EC41F4">
            <w:r>
              <w:t>Hombre</w:t>
            </w:r>
            <w:r w:rsidR="00EC41F4">
              <w:t xml:space="preserve">: tipos de Planilla Integrada de Liquidación de Aportes – PILA. </w:t>
            </w:r>
          </w:p>
          <w:p w14:paraId="09544575" w14:textId="5041E3A1" w:rsidR="00EC41F4" w:rsidRDefault="006B0E8E" w:rsidP="00EC41F4">
            <w:r w:rsidRPr="006B0E8E">
              <w:t>Hombre</w:t>
            </w:r>
            <w:r w:rsidR="00EC41F4">
              <w:t xml:space="preserve">: bienvenidos a este espacio de aprendizaje sobre los tipos de Planilla Integrada de Liquidación de Aportes, conocida como PILA, herramienta utilizada en Colombia para liquidar y pagar los aportes al Sistema de Seguridad Social Integral. </w:t>
            </w:r>
          </w:p>
          <w:p w14:paraId="70E860E8" w14:textId="61DDED7C" w:rsidR="00EC41F4" w:rsidRDefault="00EC41F4" w:rsidP="00EC41F4">
            <w:r>
              <w:lastRenderedPageBreak/>
              <w:t>M</w:t>
            </w:r>
            <w:r w:rsidR="006B0E8E">
              <w:t>ujer</w:t>
            </w:r>
            <w:r>
              <w:t xml:space="preserve">: a través de la PILA es posible realizar aportes a salud, pensión, riesgos laborales y parafiscales, de acuerdo con el tipo de cotizante, el vínculo laboral o contractual y las novedades que deban reportarse durante el período. </w:t>
            </w:r>
          </w:p>
          <w:p w14:paraId="10B52013" w14:textId="21D844A1" w:rsidR="00EC41F4" w:rsidRDefault="006B0E8E" w:rsidP="00EC41F4">
            <w:r>
              <w:t>Hombre</w:t>
            </w:r>
            <w:r w:rsidR="00EC41F4">
              <w:t xml:space="preserve">: por eso, en este episodio conoceremos los principales tipos de planilla PILA utilizados en Colombia: E, T, Y, X, N, A y la planilla de anulación, entendiendo cuándo deben utilizarse y qué consecuencias puede generar una selección incorrecta. </w:t>
            </w:r>
          </w:p>
          <w:p w14:paraId="608700F2" w14:textId="1B2C12B2" w:rsidR="00EC41F4" w:rsidRDefault="006B0E8E" w:rsidP="00EC41F4">
            <w:r>
              <w:t>Mujer</w:t>
            </w:r>
            <w:r w:rsidR="00EC41F4">
              <w:t xml:space="preserve">: antes de seleccionar una planilla, es fundamental identificar quién realiza el aporte y cuál es su relación con el Sistema de Seguridad Social Integral. </w:t>
            </w:r>
          </w:p>
          <w:p w14:paraId="4A38ED7A" w14:textId="6DA17338" w:rsidR="00EC41F4" w:rsidRDefault="006B0E8E" w:rsidP="00EC41F4">
            <w:r>
              <w:t>Hombre</w:t>
            </w:r>
            <w:r w:rsidR="00EC41F4">
              <w:t xml:space="preserve">: no es lo mismo liquidar aportes para una empresa con trabajadores dependientes que para un contratista independiente, un cotizante voluntario o una planilla que requiere corrección. </w:t>
            </w:r>
          </w:p>
          <w:p w14:paraId="4BC1CA2A" w14:textId="1DEBB419" w:rsidR="00EC41F4" w:rsidRDefault="006B0E8E" w:rsidP="00EC41F4">
            <w:r>
              <w:t>Mujer</w:t>
            </w:r>
            <w:r w:rsidR="00EC41F4">
              <w:t xml:space="preserve">: precisamente, los tipos de planilla permiten organizar la información según la situación del cotizante, el período reportado y la obligación que se debe cumplir. </w:t>
            </w:r>
          </w:p>
          <w:p w14:paraId="3BFFFC7F" w14:textId="39722E99" w:rsidR="00EC41F4" w:rsidRDefault="006B0E8E" w:rsidP="00EC41F4">
            <w:r>
              <w:t>Hombre</w:t>
            </w:r>
            <w:r w:rsidR="00EC41F4">
              <w:t xml:space="preserve">: la planilla tipo E, denominada empleador, se utiliza cuando una empresa o persona natural tiene trabajadores dependientes vinculados mediante contrato laboral. Esta planilla permite reportar novedades como ingresos, retiros, incapacidades, licencias y variaciones salariales relacionadas con los trabajadores durante el período de cotización. </w:t>
            </w:r>
          </w:p>
          <w:p w14:paraId="021276FF" w14:textId="2FAE359B" w:rsidR="00EC41F4" w:rsidRDefault="006B0E8E" w:rsidP="00EC41F4">
            <w:r>
              <w:t>Mujer</w:t>
            </w:r>
            <w:r w:rsidR="00EC41F4">
              <w:t xml:space="preserve">: la planilla tipo T aplica para trabajadores independientes con contrato de prestación de servicios igual o superior a un mes. En este caso, el Ingreso Base de </w:t>
            </w:r>
            <w:r w:rsidR="00EC41F4">
              <w:lastRenderedPageBreak/>
              <w:t xml:space="preserve">Cotización corresponde generalmente al cuarenta por ciento del valor mensualizado del contrato, según las disposiciones vigentes. </w:t>
            </w:r>
          </w:p>
          <w:p w14:paraId="37FD2270" w14:textId="755C3038" w:rsidR="00EC41F4" w:rsidRDefault="006B0E8E" w:rsidP="00EC41F4">
            <w:r>
              <w:t>Hombre</w:t>
            </w:r>
            <w:r w:rsidR="00EC41F4">
              <w:t xml:space="preserve">: la planilla tipo Y se utiliza para trabajadores independientes sin contrato formal, como comerciantes, rentistas o profesionales liberales que realizan sus aportes directamente con base en sus ingresos. </w:t>
            </w:r>
          </w:p>
          <w:p w14:paraId="4D5A5609" w14:textId="470BC95E" w:rsidR="00EC41F4" w:rsidRDefault="006B0E8E" w:rsidP="00EC41F4">
            <w:r>
              <w:t>Mujer</w:t>
            </w:r>
            <w:r w:rsidR="00EC41F4">
              <w:t xml:space="preserve">: por su parte, la planilla tipo X corresponde al cotizante voluntario. Se utiliza cuando una persona desea mantener su afiliación al sistema de salud sin tener un vínculo laboral activo. </w:t>
            </w:r>
          </w:p>
          <w:p w14:paraId="4C8F4C3E" w14:textId="4848432D" w:rsidR="00EC41F4" w:rsidRDefault="006B0E8E" w:rsidP="00EC41F4">
            <w:r>
              <w:t>Hombre</w:t>
            </w:r>
            <w:r w:rsidR="00EC41F4">
              <w:t xml:space="preserve">: la planilla tipo N está dirigida a empleadores nuevos que realizan su primer pago y aún no cuentan con historial dentro del sistema. </w:t>
            </w:r>
          </w:p>
          <w:p w14:paraId="651B28B2" w14:textId="080E4EC8" w:rsidR="00EC41F4" w:rsidRDefault="006B0E8E" w:rsidP="00EC41F4">
            <w:r>
              <w:t>Mujer</w:t>
            </w:r>
            <w:r w:rsidR="00EC41F4">
              <w:t xml:space="preserve">: mientras tanto, la planilla tipo A se utiliza para realizar correcciones sobre una planilla ya transmitida, siempre que los ajustes no modifiquen aspectos fundamentales de la liquidación. </w:t>
            </w:r>
          </w:p>
          <w:p w14:paraId="00F8D110" w14:textId="02FC1B6A" w:rsidR="00EC41F4" w:rsidRDefault="006B0E8E" w:rsidP="00EC41F4">
            <w:r>
              <w:t>Hombre</w:t>
            </w:r>
            <w:r w:rsidR="00EC41F4">
              <w:t xml:space="preserve">: también existe la planilla de anulación, utilizada para dejar sin efecto una planilla incorrecta, siempre que se cumplan los requisitos y plazos establecidos por la normativa y el operador de información. </w:t>
            </w:r>
          </w:p>
          <w:p w14:paraId="0A266B8E" w14:textId="641F61B2" w:rsidR="00EC41F4" w:rsidRDefault="006B0E8E" w:rsidP="00EC41F4">
            <w:r>
              <w:t>Mujer</w:t>
            </w:r>
            <w:r w:rsidR="00EC41F4">
              <w:t xml:space="preserve">: elegir correctamente la planilla PILA facilita el registro adecuado de los aportes y reduce riesgos de inconsistencias ante las entidades del Sistema de Seguridad Social Integral. </w:t>
            </w:r>
          </w:p>
          <w:p w14:paraId="14D24B30" w14:textId="3E36AAC6" w:rsidR="00EC41F4" w:rsidRDefault="006B0E8E" w:rsidP="00EC41F4">
            <w:r>
              <w:lastRenderedPageBreak/>
              <w:t>Hombre</w:t>
            </w:r>
            <w:r w:rsidR="00EC41F4">
              <w:t xml:space="preserve">: por eso, antes de liquidar aportes, es importante verificar tres aspectos fundamentales: quién cotiza, cuál es su vínculo con el sistema y qué novedad se desea reportar. </w:t>
            </w:r>
          </w:p>
          <w:p w14:paraId="73EC358C" w14:textId="7CF079E9" w:rsidR="00EC41F4" w:rsidRDefault="006B0E8E" w:rsidP="00EC41F4">
            <w:r>
              <w:t>Mujer</w:t>
            </w:r>
            <w:r w:rsidR="00EC41F4">
              <w:t xml:space="preserve">: una selección adecuada protege al cotizante, facilita el cumplimiento de las obligaciones y disminuye riesgos relacionados con errores, sanciones o pagos posteriores. </w:t>
            </w:r>
          </w:p>
          <w:p w14:paraId="42F4AAE6" w14:textId="38BE6AB4" w:rsidR="00E24B84" w:rsidRDefault="006B0E8E" w:rsidP="00EC41F4">
            <w:r>
              <w:t>Hombre</w:t>
            </w:r>
            <w:r w:rsidR="00EC41F4">
              <w:t xml:space="preserve">: gracias por su compañía. Nos escuchamos en un próximo episodio. </w:t>
            </w:r>
          </w:p>
        </w:tc>
      </w:tr>
    </w:tbl>
    <w:p w14:paraId="5576C06E" w14:textId="77777777" w:rsidR="00EC41F4" w:rsidRDefault="00EC41F4" w:rsidP="00E24B84">
      <w:pPr>
        <w:rPr>
          <w:lang w:val="es-419" w:eastAsia="es-CO"/>
        </w:rPr>
      </w:pPr>
    </w:p>
    <w:p w14:paraId="170713CC" w14:textId="47C131AC" w:rsidR="00E24B84" w:rsidRDefault="00E24B84" w:rsidP="00E24B84">
      <w:pPr>
        <w:rPr>
          <w:lang w:val="es-419" w:eastAsia="es-CO"/>
        </w:rPr>
      </w:pPr>
      <w:r w:rsidRPr="00E24B84">
        <w:rPr>
          <w:lang w:val="es-419" w:eastAsia="es-CO"/>
        </w:rPr>
        <w:t>Una vez identificados los tipos de planilla y los actores que intervienen en el proceso, el siguiente paso consiste en revisar cómo se elabora y diligencia la PILA. Este procedimiento exige verificar la nómina del período, calcular el IBC, registrar las novedades, validar los aportes y confirmar que la información transmitida sea completa, correcta y oportuna.</w:t>
      </w:r>
    </w:p>
    <w:p w14:paraId="599B7B09" w14:textId="77777777" w:rsidR="00EC41F4" w:rsidRPr="00E24B84" w:rsidRDefault="00EC41F4" w:rsidP="00E24B84">
      <w:pPr>
        <w:rPr>
          <w:lang w:val="es-419" w:eastAsia="es-CO"/>
        </w:rPr>
      </w:pPr>
    </w:p>
    <w:p w14:paraId="2E5C1546" w14:textId="498CA06C" w:rsidR="00FC40F0" w:rsidRDefault="00E23A14" w:rsidP="00512463">
      <w:pPr>
        <w:pStyle w:val="Ttulo2"/>
      </w:pPr>
      <w:bookmarkStart w:id="16" w:name="_Toc235611017"/>
      <w:r w:rsidRPr="00E23A14">
        <w:t>Elaboración y diligenciamiento</w:t>
      </w:r>
      <w:bookmarkEnd w:id="16"/>
    </w:p>
    <w:p w14:paraId="0CD6FB83" w14:textId="77777777" w:rsidR="00E24B84" w:rsidRPr="00E24B84" w:rsidRDefault="00E24B84" w:rsidP="00E24B84">
      <w:pPr>
        <w:rPr>
          <w:lang w:val="es-419" w:eastAsia="es-CO"/>
        </w:rPr>
      </w:pPr>
      <w:r w:rsidRPr="00E24B84">
        <w:rPr>
          <w:lang w:val="es-419" w:eastAsia="es-CO"/>
        </w:rPr>
        <w:t>La elaboración y el diligenciamiento de la Planilla Integrada de Liquidación de Aportes (PILA) constituyen una etapa operativa clave en la gestión de nómina. En este proceso se registra la información del período, se calculan los aportes, se validan los datos y se realiza el pago mediante el operador de información. Por esta razón, cada dato ingresado debe corresponder con la nómina, las afiliaciones, las novedades y los soportes del período.</w:t>
      </w:r>
    </w:p>
    <w:p w14:paraId="2E7B766E" w14:textId="77777777" w:rsidR="00E24B84" w:rsidRPr="00E24B84" w:rsidRDefault="00E24B84" w:rsidP="00E24B84">
      <w:pPr>
        <w:rPr>
          <w:lang w:val="es-419" w:eastAsia="es-CO"/>
        </w:rPr>
      </w:pPr>
      <w:r w:rsidRPr="00E24B84">
        <w:rPr>
          <w:lang w:val="es-419" w:eastAsia="es-CO"/>
        </w:rPr>
        <w:lastRenderedPageBreak/>
        <w:t>Este procedimiento exige una revisión ordenada antes del envío de la planilla al operador de información. Para ello, el profesional de nómina debe confirmar que:</w:t>
      </w:r>
    </w:p>
    <w:p w14:paraId="517B2962" w14:textId="6E6B8459" w:rsidR="00E24B84" w:rsidRPr="00E24B84" w:rsidRDefault="00E24B84" w:rsidP="00F65317">
      <w:pPr>
        <w:pStyle w:val="Prrafodelista"/>
        <w:numPr>
          <w:ilvl w:val="0"/>
          <w:numId w:val="25"/>
        </w:numPr>
        <w:rPr>
          <w:lang w:val="es-419" w:eastAsia="es-CO"/>
        </w:rPr>
      </w:pPr>
      <w:r w:rsidRPr="00E24B84">
        <w:rPr>
          <w:lang w:val="es-419" w:eastAsia="es-CO"/>
        </w:rPr>
        <w:t xml:space="preserve">Los trabajadores activos estén incluidos en la planilla del período. </w:t>
      </w:r>
    </w:p>
    <w:p w14:paraId="7CEF831E" w14:textId="1C41F278" w:rsidR="00E24B84" w:rsidRPr="00E24B84" w:rsidRDefault="00E24B84" w:rsidP="00F65317">
      <w:pPr>
        <w:pStyle w:val="Prrafodelista"/>
        <w:numPr>
          <w:ilvl w:val="0"/>
          <w:numId w:val="25"/>
        </w:numPr>
        <w:rPr>
          <w:lang w:val="es-419" w:eastAsia="es-CO"/>
        </w:rPr>
      </w:pPr>
      <w:r w:rsidRPr="00E24B84">
        <w:rPr>
          <w:lang w:val="es-419" w:eastAsia="es-CO"/>
        </w:rPr>
        <w:t xml:space="preserve">Los ingresos y retiros </w:t>
      </w:r>
      <w:r w:rsidR="001319EA" w:rsidRPr="00E24B84">
        <w:rPr>
          <w:lang w:val="es-419" w:eastAsia="es-CO"/>
        </w:rPr>
        <w:t>est</w:t>
      </w:r>
      <w:r w:rsidR="001319EA">
        <w:rPr>
          <w:lang w:val="es-419" w:eastAsia="es-CO"/>
        </w:rPr>
        <w:t>á</w:t>
      </w:r>
      <w:r w:rsidR="001319EA" w:rsidRPr="00E24B84">
        <w:rPr>
          <w:lang w:val="es-419" w:eastAsia="es-CO"/>
        </w:rPr>
        <w:t>n</w:t>
      </w:r>
      <w:r w:rsidRPr="00E24B84">
        <w:rPr>
          <w:lang w:val="es-419" w:eastAsia="es-CO"/>
        </w:rPr>
        <w:t xml:space="preserve"> reportados con la fecha correcta. </w:t>
      </w:r>
    </w:p>
    <w:p w14:paraId="0B861308" w14:textId="73B4733C" w:rsidR="00E24B84" w:rsidRPr="00E24B84" w:rsidRDefault="00E24B84" w:rsidP="00F65317">
      <w:pPr>
        <w:pStyle w:val="Prrafodelista"/>
        <w:numPr>
          <w:ilvl w:val="0"/>
          <w:numId w:val="25"/>
        </w:numPr>
        <w:rPr>
          <w:lang w:val="es-419" w:eastAsia="es-CO"/>
        </w:rPr>
      </w:pPr>
      <w:r w:rsidRPr="00E24B84">
        <w:rPr>
          <w:lang w:val="es-419" w:eastAsia="es-CO"/>
        </w:rPr>
        <w:t xml:space="preserve">El Ingreso Base de Cotización (IBC) corresponda al período cotizado. </w:t>
      </w:r>
    </w:p>
    <w:p w14:paraId="3194DA92" w14:textId="3A34C768" w:rsidR="00E24B84" w:rsidRPr="00E24B84" w:rsidRDefault="00E24B84" w:rsidP="00F65317">
      <w:pPr>
        <w:pStyle w:val="Prrafodelista"/>
        <w:numPr>
          <w:ilvl w:val="0"/>
          <w:numId w:val="25"/>
        </w:numPr>
        <w:rPr>
          <w:lang w:val="es-419" w:eastAsia="es-CO"/>
        </w:rPr>
      </w:pPr>
      <w:r w:rsidRPr="00E24B84">
        <w:rPr>
          <w:lang w:val="es-419" w:eastAsia="es-CO"/>
        </w:rPr>
        <w:t xml:space="preserve">Las novedades del período </w:t>
      </w:r>
      <w:r w:rsidR="001319EA" w:rsidRPr="00E24B84">
        <w:rPr>
          <w:lang w:val="es-419" w:eastAsia="es-CO"/>
        </w:rPr>
        <w:t>est</w:t>
      </w:r>
      <w:r w:rsidR="001319EA">
        <w:rPr>
          <w:lang w:val="es-419" w:eastAsia="es-CO"/>
        </w:rPr>
        <w:t>á</w:t>
      </w:r>
      <w:r w:rsidR="001319EA" w:rsidRPr="00E24B84">
        <w:rPr>
          <w:lang w:val="es-419" w:eastAsia="es-CO"/>
        </w:rPr>
        <w:t>n</w:t>
      </w:r>
      <w:r w:rsidRPr="00E24B84">
        <w:rPr>
          <w:lang w:val="es-419" w:eastAsia="es-CO"/>
        </w:rPr>
        <w:t xml:space="preserve"> registradas con el código correspondiente. </w:t>
      </w:r>
    </w:p>
    <w:p w14:paraId="3691E383" w14:textId="2E7564DA" w:rsidR="00E24B84" w:rsidRPr="00E24B84" w:rsidRDefault="00E24B84" w:rsidP="00F65317">
      <w:pPr>
        <w:pStyle w:val="Prrafodelista"/>
        <w:numPr>
          <w:ilvl w:val="0"/>
          <w:numId w:val="25"/>
        </w:numPr>
        <w:rPr>
          <w:lang w:val="es-419" w:eastAsia="es-CO"/>
        </w:rPr>
      </w:pPr>
      <w:r w:rsidRPr="00E24B84">
        <w:rPr>
          <w:lang w:val="es-419" w:eastAsia="es-CO"/>
        </w:rPr>
        <w:t xml:space="preserve">Las entidades administradoras se encuentren vigentes. </w:t>
      </w:r>
    </w:p>
    <w:p w14:paraId="15D1F594" w14:textId="4DB6354F" w:rsidR="00E24B84" w:rsidRPr="00E24B84" w:rsidRDefault="00E24B84" w:rsidP="00F65317">
      <w:pPr>
        <w:pStyle w:val="Prrafodelista"/>
        <w:numPr>
          <w:ilvl w:val="0"/>
          <w:numId w:val="25"/>
        </w:numPr>
        <w:rPr>
          <w:lang w:val="es-419" w:eastAsia="es-CO"/>
        </w:rPr>
      </w:pPr>
      <w:r w:rsidRPr="00E24B84">
        <w:rPr>
          <w:lang w:val="es-419" w:eastAsia="es-CO"/>
        </w:rPr>
        <w:t>Los valores liquidados coincid</w:t>
      </w:r>
      <w:r w:rsidR="001319EA">
        <w:rPr>
          <w:lang w:val="es-419" w:eastAsia="es-CO"/>
        </w:rPr>
        <w:t>e</w:t>
      </w:r>
      <w:r w:rsidRPr="00E24B84">
        <w:rPr>
          <w:lang w:val="es-419" w:eastAsia="es-CO"/>
        </w:rPr>
        <w:t xml:space="preserve">n con los cálculos internos de nómina. </w:t>
      </w:r>
    </w:p>
    <w:p w14:paraId="32C6F234" w14:textId="77777777" w:rsidR="00E24B84" w:rsidRPr="00E24B84" w:rsidRDefault="00E24B84" w:rsidP="00E24B84">
      <w:pPr>
        <w:rPr>
          <w:lang w:val="es-419" w:eastAsia="es-CO"/>
        </w:rPr>
      </w:pPr>
      <w:r w:rsidRPr="00E24B84">
        <w:rPr>
          <w:lang w:val="es-419" w:eastAsia="es-CO"/>
        </w:rPr>
        <w:t>Esta verificación reduce errores de liquidación y evita inconsistencias ante las entidades del sistema. Además, permite revisar la información antes del pago y conservar soportes claros frente a posibles auditorías o requerimientos de la Unidad de Gestión Pensional y Parafiscal (UGPP).</w:t>
      </w:r>
    </w:p>
    <w:p w14:paraId="4BDC1044" w14:textId="77777777" w:rsidR="00E24B84" w:rsidRPr="00E24B84" w:rsidRDefault="00E24B84" w:rsidP="00E24B84">
      <w:pPr>
        <w:rPr>
          <w:lang w:val="es-419" w:eastAsia="es-CO"/>
        </w:rPr>
      </w:pPr>
      <w:r w:rsidRPr="00E24B84">
        <w:rPr>
          <w:lang w:val="es-419" w:eastAsia="es-CO"/>
        </w:rPr>
        <w:t>Para elaborar correctamente la planilla, se recomienda seguir una revisión que permita controlar la información antes del pago. Esta organización facilita la trazabilidad del proceso y reduce el riesgo de inconsistencias entre la nómina, el operador de información, las entidades administradoras y la validación de los siguientes aspectos:</w:t>
      </w:r>
    </w:p>
    <w:p w14:paraId="544D26E9" w14:textId="679AA846" w:rsidR="00E24B84" w:rsidRPr="00E24B84" w:rsidRDefault="00E24B84" w:rsidP="00F65317">
      <w:pPr>
        <w:pStyle w:val="Prrafodelista"/>
        <w:numPr>
          <w:ilvl w:val="0"/>
          <w:numId w:val="26"/>
        </w:numPr>
        <w:rPr>
          <w:lang w:val="es-419" w:eastAsia="es-CO"/>
        </w:rPr>
      </w:pPr>
      <w:r w:rsidRPr="00E24B84">
        <w:rPr>
          <w:b/>
          <w:bCs/>
          <w:lang w:val="es-419" w:eastAsia="es-CO"/>
        </w:rPr>
        <w:t>Verificar la nómina del período:</w:t>
      </w:r>
      <w:r w:rsidRPr="00E24B84">
        <w:rPr>
          <w:lang w:val="es-419" w:eastAsia="es-CO"/>
        </w:rPr>
        <w:t xml:space="preserve"> confirmar que la información registrada corresponda con los trabajadores activos, los salarios pagados y las novedades reportadas. </w:t>
      </w:r>
    </w:p>
    <w:p w14:paraId="2EDA9B7A" w14:textId="6235E229" w:rsidR="00E24B84" w:rsidRPr="00E24B84" w:rsidRDefault="00E24B84" w:rsidP="00F65317">
      <w:pPr>
        <w:pStyle w:val="Prrafodelista"/>
        <w:numPr>
          <w:ilvl w:val="0"/>
          <w:numId w:val="26"/>
        </w:numPr>
        <w:rPr>
          <w:lang w:val="es-419" w:eastAsia="es-CO"/>
        </w:rPr>
      </w:pPr>
      <w:r w:rsidRPr="00E24B84">
        <w:rPr>
          <w:b/>
          <w:bCs/>
          <w:lang w:val="es-419" w:eastAsia="es-CO"/>
        </w:rPr>
        <w:lastRenderedPageBreak/>
        <w:t>Determinar el IBC individual</w:t>
      </w:r>
      <w:r w:rsidRPr="00E24B84">
        <w:rPr>
          <w:lang w:val="es-419" w:eastAsia="es-CO"/>
        </w:rPr>
        <w:t xml:space="preserve">: calcular la base de cotización según el salario, los días cotizados, el tipo de vinculación y las novedades del período. </w:t>
      </w:r>
    </w:p>
    <w:p w14:paraId="138B6134" w14:textId="3C9537D2" w:rsidR="00E24B84" w:rsidRPr="00E24B84" w:rsidRDefault="00E24B84" w:rsidP="00F65317">
      <w:pPr>
        <w:pStyle w:val="Prrafodelista"/>
        <w:numPr>
          <w:ilvl w:val="0"/>
          <w:numId w:val="26"/>
        </w:numPr>
        <w:rPr>
          <w:lang w:val="es-419" w:eastAsia="es-CO"/>
        </w:rPr>
      </w:pPr>
      <w:r w:rsidRPr="00E24B84">
        <w:rPr>
          <w:b/>
          <w:bCs/>
          <w:lang w:val="es-419" w:eastAsia="es-CO"/>
        </w:rPr>
        <w:t>Aplicar los porcentajes de cotización:</w:t>
      </w:r>
      <w:r w:rsidRPr="00E24B84">
        <w:rPr>
          <w:lang w:val="es-419" w:eastAsia="es-CO"/>
        </w:rPr>
        <w:t xml:space="preserve"> liquidar los aportes a salud, pensión, riesgos laborales y parafiscales, de acuerdo con el tipo de cotizante y las reglas vigentes. </w:t>
      </w:r>
    </w:p>
    <w:p w14:paraId="651CBF1C" w14:textId="2EF940C4" w:rsidR="00E24B84" w:rsidRPr="00E24B84" w:rsidRDefault="00E24B84" w:rsidP="00F65317">
      <w:pPr>
        <w:pStyle w:val="Prrafodelista"/>
        <w:numPr>
          <w:ilvl w:val="0"/>
          <w:numId w:val="26"/>
        </w:numPr>
        <w:rPr>
          <w:lang w:val="es-419" w:eastAsia="es-CO"/>
        </w:rPr>
      </w:pPr>
      <w:r w:rsidRPr="00E24B84">
        <w:rPr>
          <w:b/>
          <w:bCs/>
          <w:lang w:val="es-419" w:eastAsia="es-CO"/>
        </w:rPr>
        <w:t>Registrar la información en el operador:</w:t>
      </w:r>
      <w:r w:rsidRPr="00E24B84">
        <w:rPr>
          <w:lang w:val="es-419" w:eastAsia="es-CO"/>
        </w:rPr>
        <w:t xml:space="preserve"> ingresar los datos en la plataforma o cargar el archivo generado desde el sistema de nómina. </w:t>
      </w:r>
    </w:p>
    <w:p w14:paraId="1ADC905B" w14:textId="5D3FCF0D" w:rsidR="00E24B84" w:rsidRPr="00E24B84" w:rsidRDefault="00E24B84" w:rsidP="00F65317">
      <w:pPr>
        <w:pStyle w:val="Prrafodelista"/>
        <w:numPr>
          <w:ilvl w:val="0"/>
          <w:numId w:val="26"/>
        </w:numPr>
        <w:rPr>
          <w:lang w:val="es-419" w:eastAsia="es-CO"/>
        </w:rPr>
      </w:pPr>
      <w:r w:rsidRPr="00E24B84">
        <w:rPr>
          <w:b/>
          <w:bCs/>
          <w:lang w:val="es-419" w:eastAsia="es-CO"/>
        </w:rPr>
        <w:t>Validar los datos antes del pago:</w:t>
      </w:r>
      <w:r w:rsidRPr="00E24B84">
        <w:rPr>
          <w:lang w:val="es-419" w:eastAsia="es-CO"/>
        </w:rPr>
        <w:t xml:space="preserve"> revisar identificaciones, entidades administradoras, valores liquidados, topes del IBC y códigos de novedad. </w:t>
      </w:r>
    </w:p>
    <w:p w14:paraId="1A9ABE37" w14:textId="0756A544" w:rsidR="00E24B84" w:rsidRPr="00E24B84" w:rsidRDefault="00E24B84" w:rsidP="00F65317">
      <w:pPr>
        <w:pStyle w:val="Prrafodelista"/>
        <w:numPr>
          <w:ilvl w:val="0"/>
          <w:numId w:val="26"/>
        </w:numPr>
        <w:rPr>
          <w:lang w:val="es-419" w:eastAsia="es-CO"/>
        </w:rPr>
      </w:pPr>
      <w:r w:rsidRPr="00E24B84">
        <w:rPr>
          <w:b/>
          <w:bCs/>
          <w:lang w:val="es-419" w:eastAsia="es-CO"/>
        </w:rPr>
        <w:t>Conservar los soportes:</w:t>
      </w:r>
      <w:r w:rsidRPr="00E24B84">
        <w:rPr>
          <w:lang w:val="es-419" w:eastAsia="es-CO"/>
        </w:rPr>
        <w:t xml:space="preserve"> guardar la planilla pagada, el comprobante de pago, la nómina liquidada y los documentos que respalden las novedades del período. </w:t>
      </w:r>
    </w:p>
    <w:p w14:paraId="32F336F0" w14:textId="7F45250A" w:rsidR="00E24B84" w:rsidRDefault="00E24B84" w:rsidP="00E24B84">
      <w:pPr>
        <w:rPr>
          <w:lang w:val="es-419" w:eastAsia="es-CO"/>
        </w:rPr>
      </w:pPr>
      <w:r w:rsidRPr="00E24B84">
        <w:rPr>
          <w:lang w:val="es-419" w:eastAsia="es-CO"/>
        </w:rPr>
        <w:t>Esta secuencia permite que la elaboración de la PILA sea un proceso ordenado, verificable y documentado. Además, facilita la detección de errores antes del pago y fortalece la capacidad de respuesta de la organización ante auditorías internas o requerimientos de la Unidad de Gestión Pensional y Parafiscal (UGPP).</w:t>
      </w:r>
    </w:p>
    <w:p w14:paraId="1AAAE021" w14:textId="62DF59E9" w:rsidR="00E24B84" w:rsidRDefault="00E24B84" w:rsidP="00E24B84">
      <w:pPr>
        <w:rPr>
          <w:lang w:val="es-419" w:eastAsia="es-CO"/>
        </w:rPr>
      </w:pPr>
      <w:r w:rsidRPr="00E24B84">
        <w:rPr>
          <w:lang w:val="es-419" w:eastAsia="es-CO"/>
        </w:rPr>
        <w:t>Una planilla bien elaborada no depende solo del cálculo de aportes; requiere verificar la nómina, el IBC, las novedades y las entidades administradoras antes del pago.</w:t>
      </w:r>
    </w:p>
    <w:p w14:paraId="2D893AE7" w14:textId="2F4040CA" w:rsidR="00317398" w:rsidRDefault="00317398" w:rsidP="00E24B84">
      <w:pPr>
        <w:rPr>
          <w:lang w:val="es-419" w:eastAsia="es-CO"/>
        </w:rPr>
      </w:pPr>
      <w:r w:rsidRPr="00317398">
        <w:rPr>
          <w:lang w:val="es-419" w:eastAsia="es-CO"/>
        </w:rPr>
        <w:t xml:space="preserve">Durante el registro de la información, el operador realiza validaciones automáticas sobre los datos cargados. Estas revisiones pueden alertar sobre documentos de identidad incorrectos, entidades no vigentes, IBC fuera de los topes </w:t>
      </w:r>
      <w:r w:rsidRPr="00317398">
        <w:rPr>
          <w:lang w:val="es-419" w:eastAsia="es-CO"/>
        </w:rPr>
        <w:lastRenderedPageBreak/>
        <w:t>permitidos o novedades incompatibles con el período reportado. Si se presentan alertas, deben corregirse antes de confirmar el pago.</w:t>
      </w:r>
    </w:p>
    <w:p w14:paraId="178730C0" w14:textId="77777777" w:rsidR="00317398" w:rsidRPr="00317398" w:rsidRDefault="00317398" w:rsidP="00317398">
      <w:pPr>
        <w:rPr>
          <w:lang w:val="es-419" w:eastAsia="es-CO"/>
        </w:rPr>
      </w:pPr>
      <w:r w:rsidRPr="00317398">
        <w:rPr>
          <w:lang w:val="es-419" w:eastAsia="es-CO"/>
        </w:rPr>
        <w:t>Ejemplo aplicado: validación antes del pago</w:t>
      </w:r>
    </w:p>
    <w:p w14:paraId="3865F6CA" w14:textId="77777777" w:rsidR="00317398" w:rsidRPr="00317398" w:rsidRDefault="00317398" w:rsidP="00317398">
      <w:pPr>
        <w:rPr>
          <w:lang w:val="es-419" w:eastAsia="es-CO"/>
        </w:rPr>
      </w:pPr>
      <w:r w:rsidRPr="00317398">
        <w:rPr>
          <w:lang w:val="es-419" w:eastAsia="es-CO"/>
        </w:rPr>
        <w:t>Una empresa carga la planilla del mes y el operador advierte que un trabajador aparece afiliado a una EPS diferente de la registrada en la nómina. Antes de pagar, el profesional de nómina debe verificar el soporte de afiliación, corregir la entidad si corresponde y comparar nuevamente los valores liquidados. Esta revisión evita inconsistencias en la historia de aportes del trabajador.</w:t>
      </w:r>
    </w:p>
    <w:p w14:paraId="3AB97056" w14:textId="77777777" w:rsidR="00317398" w:rsidRPr="00317398" w:rsidRDefault="00317398" w:rsidP="00317398">
      <w:pPr>
        <w:rPr>
          <w:lang w:val="es-419" w:eastAsia="es-CO"/>
        </w:rPr>
      </w:pPr>
      <w:r w:rsidRPr="00317398">
        <w:rPr>
          <w:lang w:val="es-419" w:eastAsia="es-CO"/>
        </w:rPr>
        <w:t>La verificación final consiste en comparar el valor total calculado por el sistema de nómina con el valor generado por el operador de información. Si existe una diferencia, se debe revisar su causa antes del pago, porque puede deberse a un IBC mal calculado, una novedad omitida, una entidad incorrecta o una configuración distinta entre los sistemas.</w:t>
      </w:r>
    </w:p>
    <w:p w14:paraId="4F024D3D" w14:textId="434F94FB" w:rsidR="00317398" w:rsidRDefault="00317398" w:rsidP="00317398">
      <w:pPr>
        <w:rPr>
          <w:lang w:val="es-419" w:eastAsia="es-CO"/>
        </w:rPr>
      </w:pPr>
      <w:r w:rsidRPr="00317398">
        <w:rPr>
          <w:lang w:val="es-419" w:eastAsia="es-CO"/>
        </w:rPr>
        <w:t>Una vez revisada, validada y pagada la planilla dentro del plazo correspondiente, el comprobante generado por el operador se convierte en soporte del cumplimiento. Este documento debe conservarse junto con la nómina, los reportes de novedades y la conciliación de valores, ya que puede ser requerido en procesos de auditoría o fiscalización.</w:t>
      </w:r>
    </w:p>
    <w:p w14:paraId="5F1342E3" w14:textId="4B181E59" w:rsidR="00317398" w:rsidRPr="00E24B84" w:rsidRDefault="00317398" w:rsidP="00317398">
      <w:pPr>
        <w:rPr>
          <w:lang w:val="es-419" w:eastAsia="es-CO"/>
        </w:rPr>
      </w:pPr>
      <w:r w:rsidRPr="00317398">
        <w:rPr>
          <w:lang w:val="es-419" w:eastAsia="es-CO"/>
        </w:rPr>
        <w:t>La elaboración correcta de la PILA permite registrar la información del período con precisión; sin embargo, este proceso solo se completa cuando el pago se realiza dentro de los plazos establecidos. Por ello, el siguiente subtema aborda las fechas límite de pago, los criterios para determinar el vencimiento y las consecuencias del pago extemporáneo de aportes.</w:t>
      </w:r>
    </w:p>
    <w:p w14:paraId="6E01F76F" w14:textId="36D1EAD6" w:rsidR="00831C29" w:rsidRDefault="00E23A14" w:rsidP="00512463">
      <w:pPr>
        <w:pStyle w:val="Ttulo2"/>
      </w:pPr>
      <w:bookmarkStart w:id="17" w:name="_Toc235611018"/>
      <w:r w:rsidRPr="00E23A14">
        <w:lastRenderedPageBreak/>
        <w:t>Plazos de pago</w:t>
      </w:r>
      <w:bookmarkEnd w:id="17"/>
    </w:p>
    <w:p w14:paraId="0D7336E6" w14:textId="77777777" w:rsidR="00317398" w:rsidRPr="00317398" w:rsidRDefault="00317398" w:rsidP="00317398">
      <w:pPr>
        <w:rPr>
          <w:lang w:val="es-419" w:eastAsia="es-CO"/>
        </w:rPr>
      </w:pPr>
      <w:r w:rsidRPr="00317398">
        <w:rPr>
          <w:lang w:val="es-419" w:eastAsia="es-CO"/>
        </w:rPr>
        <w:t>Los plazos de pago de la Planilla Integrada de Liquidación de Aportes (PILA) establecen la fecha límite en la que el aportante debe liquidar y pagar los aportes al Sistema de Seguridad Social Integral y los aportes parafiscales, cuando correspondan. Estos vencimientos se determinan según los dos últimos dígitos del NIT o del documento de identificación del aportante, sin incluir el dígito de verificación en el caso de las personas jurídicas.</w:t>
      </w:r>
    </w:p>
    <w:p w14:paraId="180DDE63" w14:textId="77777777" w:rsidR="00317398" w:rsidRPr="00317398" w:rsidRDefault="00317398" w:rsidP="00317398">
      <w:pPr>
        <w:rPr>
          <w:lang w:val="es-419" w:eastAsia="es-CO"/>
        </w:rPr>
      </w:pPr>
      <w:r w:rsidRPr="00317398">
        <w:rPr>
          <w:lang w:val="es-419" w:eastAsia="es-CO"/>
        </w:rPr>
        <w:t>El cumplimiento oportuno de estos plazos es fundamental para evitar intereses moratorios, inconsistencias en la historia de aportes y posibles requerimientos de las entidades de control. Por esta razón, el profesional de nómina debe consultar el calendario vigente, verificar la fecha límite aplicable y programar el pago con anticipación, especialmente cuando existan cierres contables, festivos o novedades que requieran revisión adicional.</w:t>
      </w:r>
    </w:p>
    <w:p w14:paraId="671944B8" w14:textId="77777777" w:rsidR="00317398" w:rsidRPr="00317398" w:rsidRDefault="00317398" w:rsidP="00317398">
      <w:pPr>
        <w:rPr>
          <w:lang w:val="es-419" w:eastAsia="es-CO"/>
        </w:rPr>
      </w:pPr>
      <w:r w:rsidRPr="00317398">
        <w:rPr>
          <w:lang w:val="es-419" w:eastAsia="es-CO"/>
        </w:rPr>
        <w:t>Para gestionar correctamente los plazos de pago, se deben tener en cuenta los siguientes aspectos:</w:t>
      </w:r>
    </w:p>
    <w:p w14:paraId="4F6E2EFE" w14:textId="3C66F750" w:rsidR="00317398" w:rsidRPr="00317398" w:rsidRDefault="00317398" w:rsidP="00F65317">
      <w:pPr>
        <w:pStyle w:val="Prrafodelista"/>
        <w:numPr>
          <w:ilvl w:val="0"/>
          <w:numId w:val="27"/>
        </w:numPr>
        <w:rPr>
          <w:lang w:val="es-419" w:eastAsia="es-CO"/>
        </w:rPr>
      </w:pPr>
      <w:r w:rsidRPr="00317398">
        <w:rPr>
          <w:b/>
          <w:bCs/>
          <w:lang w:val="es-419" w:eastAsia="es-CO"/>
        </w:rPr>
        <w:t>Identificar al aportante:</w:t>
      </w:r>
      <w:r w:rsidRPr="00317398">
        <w:rPr>
          <w:lang w:val="es-419" w:eastAsia="es-CO"/>
        </w:rPr>
        <w:t xml:space="preserve"> verificar si el pago corresponde a una empresa, una persona natural, un independiente o un contratante. </w:t>
      </w:r>
    </w:p>
    <w:p w14:paraId="510DB28B" w14:textId="0289D77D" w:rsidR="00317398" w:rsidRPr="00317398" w:rsidRDefault="00317398" w:rsidP="00F65317">
      <w:pPr>
        <w:pStyle w:val="Prrafodelista"/>
        <w:numPr>
          <w:ilvl w:val="0"/>
          <w:numId w:val="27"/>
        </w:numPr>
        <w:rPr>
          <w:lang w:val="es-419" w:eastAsia="es-CO"/>
        </w:rPr>
      </w:pPr>
      <w:r w:rsidRPr="00317398">
        <w:rPr>
          <w:b/>
          <w:bCs/>
          <w:lang w:val="es-419" w:eastAsia="es-CO"/>
        </w:rPr>
        <w:t>Revisar los dos últimos dígitos:</w:t>
      </w:r>
      <w:r w:rsidRPr="00317398">
        <w:rPr>
          <w:lang w:val="es-419" w:eastAsia="es-CO"/>
        </w:rPr>
        <w:t xml:space="preserve"> tomar los dos últimos dígitos del NIT o documento de identificación para ubicar el día hábil de vencimiento. </w:t>
      </w:r>
    </w:p>
    <w:p w14:paraId="15876A65" w14:textId="4173E815" w:rsidR="00317398" w:rsidRPr="00317398" w:rsidRDefault="00317398" w:rsidP="00F65317">
      <w:pPr>
        <w:pStyle w:val="Prrafodelista"/>
        <w:numPr>
          <w:ilvl w:val="0"/>
          <w:numId w:val="27"/>
        </w:numPr>
        <w:rPr>
          <w:lang w:val="es-419" w:eastAsia="es-CO"/>
        </w:rPr>
      </w:pPr>
      <w:r w:rsidRPr="00317398">
        <w:rPr>
          <w:b/>
          <w:bCs/>
          <w:lang w:val="es-419" w:eastAsia="es-CO"/>
        </w:rPr>
        <w:t>Confirmar el período de liquidación:</w:t>
      </w:r>
      <w:r w:rsidRPr="00317398">
        <w:rPr>
          <w:lang w:val="es-419" w:eastAsia="es-CO"/>
        </w:rPr>
        <w:t xml:space="preserve"> validar que la planilla corresponda al mes que se está pagando. </w:t>
      </w:r>
    </w:p>
    <w:p w14:paraId="07096DC0" w14:textId="1905773A" w:rsidR="00317398" w:rsidRPr="00317398" w:rsidRDefault="00317398" w:rsidP="00F65317">
      <w:pPr>
        <w:pStyle w:val="Prrafodelista"/>
        <w:numPr>
          <w:ilvl w:val="0"/>
          <w:numId w:val="27"/>
        </w:numPr>
        <w:rPr>
          <w:lang w:val="es-419" w:eastAsia="es-CO"/>
        </w:rPr>
      </w:pPr>
      <w:r w:rsidRPr="00317398">
        <w:rPr>
          <w:b/>
          <w:bCs/>
          <w:lang w:val="es-419" w:eastAsia="es-CO"/>
        </w:rPr>
        <w:t>Consultar el calendario:</w:t>
      </w:r>
      <w:r w:rsidRPr="00317398">
        <w:rPr>
          <w:lang w:val="es-419" w:eastAsia="es-CO"/>
        </w:rPr>
        <w:t xml:space="preserve"> revisar si el vencimiento coincide con fines de semana o festivos, para programar el pago en el día hábil correspondiente. </w:t>
      </w:r>
    </w:p>
    <w:p w14:paraId="0FC4160D" w14:textId="28496677" w:rsidR="00317398" w:rsidRPr="00317398" w:rsidRDefault="00317398" w:rsidP="00F65317">
      <w:pPr>
        <w:pStyle w:val="Prrafodelista"/>
        <w:numPr>
          <w:ilvl w:val="0"/>
          <w:numId w:val="27"/>
        </w:numPr>
        <w:rPr>
          <w:lang w:val="es-419" w:eastAsia="es-CO"/>
        </w:rPr>
      </w:pPr>
      <w:r w:rsidRPr="00317398">
        <w:rPr>
          <w:b/>
          <w:bCs/>
          <w:lang w:val="es-419" w:eastAsia="es-CO"/>
        </w:rPr>
        <w:lastRenderedPageBreak/>
        <w:t>Conservar el comprobante:</w:t>
      </w:r>
      <w:r w:rsidRPr="00317398">
        <w:rPr>
          <w:lang w:val="es-419" w:eastAsia="es-CO"/>
        </w:rPr>
        <w:t xml:space="preserve"> guardar el soporte emitido por el operador, ya que certifica la fecha y hora del pago realizado. </w:t>
      </w:r>
    </w:p>
    <w:p w14:paraId="2E2AF5C0" w14:textId="3940E113" w:rsidR="00317398" w:rsidRDefault="00317398" w:rsidP="00317398">
      <w:pPr>
        <w:rPr>
          <w:lang w:val="es-419" w:eastAsia="es-CO"/>
        </w:rPr>
      </w:pPr>
      <w:r w:rsidRPr="00317398">
        <w:rPr>
          <w:lang w:val="es-419" w:eastAsia="es-CO"/>
        </w:rPr>
        <w:t>Estos controles permiten que el pago de la PILA se realice dentro del plazo establecido y con información verificable. Además, facilitan la trazabilidad del proceso y reducen el riesgo de pagos extemporáneos, errores de período o diferencias frente a los valores liquidados.</w:t>
      </w:r>
    </w:p>
    <w:p w14:paraId="09076DDF" w14:textId="22DA2CE4" w:rsidR="00317398" w:rsidRDefault="00317398" w:rsidP="00317398">
      <w:pPr>
        <w:rPr>
          <w:lang w:val="es-419" w:eastAsia="es-CO"/>
        </w:rPr>
      </w:pPr>
      <w:r w:rsidRPr="00317398">
        <w:rPr>
          <w:lang w:val="es-419" w:eastAsia="es-CO"/>
        </w:rPr>
        <w:t>El pago oportuno de la PILA evita intereses de mora, protege la historia de aportes del trabajador y demuestra el cumplimiento de las obligaciones del aportante.</w:t>
      </w:r>
    </w:p>
    <w:p w14:paraId="6258EDA8" w14:textId="77777777" w:rsidR="00317398" w:rsidRPr="00317398" w:rsidRDefault="00317398" w:rsidP="00317398">
      <w:pPr>
        <w:rPr>
          <w:lang w:val="es-419" w:eastAsia="es-CO"/>
        </w:rPr>
      </w:pPr>
      <w:r w:rsidRPr="00317398">
        <w:rPr>
          <w:lang w:val="es-419" w:eastAsia="es-CO"/>
        </w:rPr>
        <w:t>El pago anticipado de la PILA es una práctica preventiva que ayuda a evitar incumplimientos por fallas técnicas, errores de validación o interrupciones bancarias. Cuando la nómina del período ya está cerrada y los valores han sido revisados, el aportante puede realizar el pago antes de la fecha límite y conservar el comprobante como evidencia del cumplimiento.</w:t>
      </w:r>
    </w:p>
    <w:p w14:paraId="512BA2F9" w14:textId="77777777" w:rsidR="00317398" w:rsidRPr="00317398" w:rsidRDefault="00317398" w:rsidP="00317398">
      <w:pPr>
        <w:rPr>
          <w:lang w:val="es-419" w:eastAsia="es-CO"/>
        </w:rPr>
      </w:pPr>
      <w:r w:rsidRPr="00317398">
        <w:rPr>
          <w:lang w:val="es-419" w:eastAsia="es-CO"/>
        </w:rPr>
        <w:t>En la siguiente tabla se presentan los plazos generales de pago de la PILA, definidos según los dos últimos dígitos del NIT o documento de identificación del aportante, de acuerdo con el Decreto 1990 de 2016. Esta información permite consultar el día hábil de vencimiento y planificar el pago oportuno de los aportes al Sistema de Seguridad Social Integral y parafiscales.</w:t>
      </w:r>
    </w:p>
    <w:p w14:paraId="26F8EBB0" w14:textId="0722BB46" w:rsidR="00317398" w:rsidRDefault="00317398" w:rsidP="006D6CEB">
      <w:pPr>
        <w:pStyle w:val="Tabla"/>
        <w:rPr>
          <w:lang w:val="es-419" w:eastAsia="es-CO"/>
        </w:rPr>
      </w:pPr>
      <w:r w:rsidRPr="00317398">
        <w:rPr>
          <w:lang w:val="es-419" w:eastAsia="es-CO"/>
        </w:rPr>
        <w:t>Plazos de pago de la PILA según identificación del aportante</w:t>
      </w:r>
    </w:p>
    <w:tbl>
      <w:tblPr>
        <w:tblStyle w:val="SENA"/>
        <w:tblW w:w="0" w:type="auto"/>
        <w:tblLook w:val="04A0" w:firstRow="1" w:lastRow="0" w:firstColumn="1" w:lastColumn="0" w:noHBand="0" w:noVBand="1"/>
      </w:tblPr>
      <w:tblGrid>
        <w:gridCol w:w="4648"/>
        <w:gridCol w:w="5272"/>
      </w:tblGrid>
      <w:tr w:rsidR="00317398" w:rsidRPr="00317398" w14:paraId="72FDF3DD" w14:textId="77777777" w:rsidTr="008C7BE2">
        <w:trPr>
          <w:cnfStyle w:val="100000000000" w:firstRow="1" w:lastRow="0" w:firstColumn="0" w:lastColumn="0" w:oddVBand="0" w:evenVBand="0" w:oddHBand="0" w:evenHBand="0" w:firstRowFirstColumn="0" w:firstRowLastColumn="0" w:lastRowFirstColumn="0" w:lastRowLastColumn="0"/>
          <w:trHeight w:val="866"/>
          <w:tblHeader/>
        </w:trPr>
        <w:tc>
          <w:tcPr>
            <w:tcW w:w="4648" w:type="dxa"/>
            <w:hideMark/>
          </w:tcPr>
          <w:p w14:paraId="134F6891" w14:textId="77777777" w:rsidR="00317398" w:rsidRPr="00317398" w:rsidRDefault="00317398" w:rsidP="006D6CEB">
            <w:pPr>
              <w:pStyle w:val="TextoTablas"/>
            </w:pPr>
            <w:r w:rsidRPr="00317398">
              <w:rPr>
                <w:bdr w:val="none" w:sz="0" w:space="0" w:color="auto" w:frame="1"/>
              </w:rPr>
              <w:t>Dos últimos dígitos del NIT o documento de identidad</w:t>
            </w:r>
          </w:p>
        </w:tc>
        <w:tc>
          <w:tcPr>
            <w:tcW w:w="5272" w:type="dxa"/>
            <w:hideMark/>
          </w:tcPr>
          <w:p w14:paraId="686B2F2E" w14:textId="77777777" w:rsidR="00317398" w:rsidRPr="00317398" w:rsidRDefault="00317398" w:rsidP="006D6CEB">
            <w:pPr>
              <w:pStyle w:val="TextoTablas"/>
            </w:pPr>
            <w:r w:rsidRPr="00317398">
              <w:rPr>
                <w:bdr w:val="none" w:sz="0" w:space="0" w:color="auto" w:frame="1"/>
              </w:rPr>
              <w:t>Día hábil máximo de pago</w:t>
            </w:r>
          </w:p>
        </w:tc>
      </w:tr>
      <w:tr w:rsidR="00317398" w:rsidRPr="00317398" w14:paraId="1A96F839" w14:textId="77777777" w:rsidTr="008C7BE2">
        <w:trPr>
          <w:cnfStyle w:val="000000100000" w:firstRow="0" w:lastRow="0" w:firstColumn="0" w:lastColumn="0" w:oddVBand="0" w:evenVBand="0" w:oddHBand="1" w:evenHBand="0" w:firstRowFirstColumn="0" w:firstRowLastColumn="0" w:lastRowFirstColumn="0" w:lastRowLastColumn="0"/>
          <w:trHeight w:val="577"/>
        </w:trPr>
        <w:tc>
          <w:tcPr>
            <w:tcW w:w="4648" w:type="dxa"/>
            <w:hideMark/>
          </w:tcPr>
          <w:p w14:paraId="138164AB" w14:textId="77777777" w:rsidR="00317398" w:rsidRPr="00317398" w:rsidRDefault="00317398" w:rsidP="006D6CEB">
            <w:pPr>
              <w:pStyle w:val="TextoTablas"/>
              <w:rPr>
                <w:szCs w:val="24"/>
              </w:rPr>
            </w:pPr>
            <w:r w:rsidRPr="00317398">
              <w:rPr>
                <w:szCs w:val="24"/>
                <w:bdr w:val="none" w:sz="0" w:space="0" w:color="auto" w:frame="1"/>
              </w:rPr>
              <w:t>00 al 07</w:t>
            </w:r>
          </w:p>
        </w:tc>
        <w:tc>
          <w:tcPr>
            <w:tcW w:w="5272" w:type="dxa"/>
            <w:hideMark/>
          </w:tcPr>
          <w:p w14:paraId="65FF9F81" w14:textId="77777777" w:rsidR="00317398" w:rsidRPr="00317398" w:rsidRDefault="00317398" w:rsidP="006D6CEB">
            <w:pPr>
              <w:pStyle w:val="TextoTablas"/>
              <w:rPr>
                <w:szCs w:val="24"/>
              </w:rPr>
            </w:pPr>
            <w:r w:rsidRPr="00317398">
              <w:rPr>
                <w:szCs w:val="24"/>
                <w:bdr w:val="none" w:sz="0" w:space="0" w:color="auto" w:frame="1"/>
              </w:rPr>
              <w:t>Segundo día hábil.</w:t>
            </w:r>
          </w:p>
        </w:tc>
      </w:tr>
      <w:tr w:rsidR="00317398" w:rsidRPr="00317398" w14:paraId="0E3FD5C3" w14:textId="77777777" w:rsidTr="008C7BE2">
        <w:trPr>
          <w:trHeight w:val="577"/>
        </w:trPr>
        <w:tc>
          <w:tcPr>
            <w:tcW w:w="4648" w:type="dxa"/>
            <w:hideMark/>
          </w:tcPr>
          <w:p w14:paraId="2CBD6CD0" w14:textId="77777777" w:rsidR="00317398" w:rsidRPr="00317398" w:rsidRDefault="00317398" w:rsidP="006D6CEB">
            <w:pPr>
              <w:pStyle w:val="TextoTablas"/>
              <w:rPr>
                <w:szCs w:val="24"/>
              </w:rPr>
            </w:pPr>
            <w:r w:rsidRPr="00317398">
              <w:rPr>
                <w:szCs w:val="24"/>
                <w:bdr w:val="none" w:sz="0" w:space="0" w:color="auto" w:frame="1"/>
              </w:rPr>
              <w:t>08 al 14</w:t>
            </w:r>
          </w:p>
        </w:tc>
        <w:tc>
          <w:tcPr>
            <w:tcW w:w="5272" w:type="dxa"/>
            <w:hideMark/>
          </w:tcPr>
          <w:p w14:paraId="7A0433B0" w14:textId="77777777" w:rsidR="00317398" w:rsidRPr="00317398" w:rsidRDefault="00317398" w:rsidP="006D6CEB">
            <w:pPr>
              <w:pStyle w:val="TextoTablas"/>
              <w:rPr>
                <w:szCs w:val="24"/>
              </w:rPr>
            </w:pPr>
            <w:r w:rsidRPr="00317398">
              <w:rPr>
                <w:szCs w:val="24"/>
                <w:bdr w:val="none" w:sz="0" w:space="0" w:color="auto" w:frame="1"/>
              </w:rPr>
              <w:t>Tercer día hábil.</w:t>
            </w:r>
          </w:p>
        </w:tc>
      </w:tr>
      <w:tr w:rsidR="00317398" w:rsidRPr="00317398" w14:paraId="2DCA9A27" w14:textId="77777777" w:rsidTr="008C7BE2">
        <w:trPr>
          <w:cnfStyle w:val="000000100000" w:firstRow="0" w:lastRow="0" w:firstColumn="0" w:lastColumn="0" w:oddVBand="0" w:evenVBand="0" w:oddHBand="1" w:evenHBand="0" w:firstRowFirstColumn="0" w:firstRowLastColumn="0" w:lastRowFirstColumn="0" w:lastRowLastColumn="0"/>
          <w:trHeight w:val="577"/>
        </w:trPr>
        <w:tc>
          <w:tcPr>
            <w:tcW w:w="4648" w:type="dxa"/>
            <w:hideMark/>
          </w:tcPr>
          <w:p w14:paraId="41F83FD4" w14:textId="77777777" w:rsidR="00317398" w:rsidRPr="00317398" w:rsidRDefault="00317398" w:rsidP="006D6CEB">
            <w:pPr>
              <w:pStyle w:val="TextoTablas"/>
              <w:rPr>
                <w:szCs w:val="24"/>
              </w:rPr>
            </w:pPr>
            <w:r w:rsidRPr="00317398">
              <w:rPr>
                <w:szCs w:val="24"/>
                <w:bdr w:val="none" w:sz="0" w:space="0" w:color="auto" w:frame="1"/>
              </w:rPr>
              <w:lastRenderedPageBreak/>
              <w:t>15 al 21</w:t>
            </w:r>
          </w:p>
        </w:tc>
        <w:tc>
          <w:tcPr>
            <w:tcW w:w="5272" w:type="dxa"/>
            <w:hideMark/>
          </w:tcPr>
          <w:p w14:paraId="6BB58560" w14:textId="77777777" w:rsidR="00317398" w:rsidRPr="00317398" w:rsidRDefault="00317398" w:rsidP="006D6CEB">
            <w:pPr>
              <w:pStyle w:val="TextoTablas"/>
              <w:rPr>
                <w:szCs w:val="24"/>
              </w:rPr>
            </w:pPr>
            <w:r w:rsidRPr="00317398">
              <w:rPr>
                <w:szCs w:val="24"/>
                <w:bdr w:val="none" w:sz="0" w:space="0" w:color="auto" w:frame="1"/>
              </w:rPr>
              <w:t>Cuarto día hábil.</w:t>
            </w:r>
          </w:p>
        </w:tc>
      </w:tr>
      <w:tr w:rsidR="00317398" w:rsidRPr="00317398" w14:paraId="6D7063B9" w14:textId="77777777" w:rsidTr="008C7BE2">
        <w:trPr>
          <w:trHeight w:val="577"/>
        </w:trPr>
        <w:tc>
          <w:tcPr>
            <w:tcW w:w="4648" w:type="dxa"/>
            <w:hideMark/>
          </w:tcPr>
          <w:p w14:paraId="5088A1C2" w14:textId="77777777" w:rsidR="00317398" w:rsidRPr="00317398" w:rsidRDefault="00317398" w:rsidP="006D6CEB">
            <w:pPr>
              <w:pStyle w:val="TextoTablas"/>
              <w:rPr>
                <w:szCs w:val="24"/>
              </w:rPr>
            </w:pPr>
            <w:r w:rsidRPr="00317398">
              <w:rPr>
                <w:szCs w:val="24"/>
                <w:bdr w:val="none" w:sz="0" w:space="0" w:color="auto" w:frame="1"/>
              </w:rPr>
              <w:t>22 al 28</w:t>
            </w:r>
          </w:p>
        </w:tc>
        <w:tc>
          <w:tcPr>
            <w:tcW w:w="5272" w:type="dxa"/>
            <w:hideMark/>
          </w:tcPr>
          <w:p w14:paraId="24B27648" w14:textId="77777777" w:rsidR="00317398" w:rsidRPr="00317398" w:rsidRDefault="00317398" w:rsidP="006D6CEB">
            <w:pPr>
              <w:pStyle w:val="TextoTablas"/>
              <w:rPr>
                <w:szCs w:val="24"/>
              </w:rPr>
            </w:pPr>
            <w:r w:rsidRPr="00317398">
              <w:rPr>
                <w:szCs w:val="24"/>
                <w:bdr w:val="none" w:sz="0" w:space="0" w:color="auto" w:frame="1"/>
              </w:rPr>
              <w:t>Quinto día hábil.</w:t>
            </w:r>
          </w:p>
        </w:tc>
      </w:tr>
      <w:tr w:rsidR="00317398" w:rsidRPr="00317398" w14:paraId="43B32B68" w14:textId="77777777" w:rsidTr="008C7BE2">
        <w:trPr>
          <w:cnfStyle w:val="000000100000" w:firstRow="0" w:lastRow="0" w:firstColumn="0" w:lastColumn="0" w:oddVBand="0" w:evenVBand="0" w:oddHBand="1" w:evenHBand="0" w:firstRowFirstColumn="0" w:firstRowLastColumn="0" w:lastRowFirstColumn="0" w:lastRowLastColumn="0"/>
          <w:trHeight w:val="577"/>
        </w:trPr>
        <w:tc>
          <w:tcPr>
            <w:tcW w:w="4648" w:type="dxa"/>
            <w:hideMark/>
          </w:tcPr>
          <w:p w14:paraId="0BAE998F" w14:textId="77777777" w:rsidR="00317398" w:rsidRPr="00317398" w:rsidRDefault="00317398" w:rsidP="006D6CEB">
            <w:pPr>
              <w:pStyle w:val="TextoTablas"/>
              <w:rPr>
                <w:szCs w:val="24"/>
              </w:rPr>
            </w:pPr>
            <w:r w:rsidRPr="00317398">
              <w:rPr>
                <w:szCs w:val="24"/>
                <w:bdr w:val="none" w:sz="0" w:space="0" w:color="auto" w:frame="1"/>
              </w:rPr>
              <w:t>29 al 35</w:t>
            </w:r>
          </w:p>
        </w:tc>
        <w:tc>
          <w:tcPr>
            <w:tcW w:w="5272" w:type="dxa"/>
            <w:hideMark/>
          </w:tcPr>
          <w:p w14:paraId="4445C569" w14:textId="77777777" w:rsidR="00317398" w:rsidRPr="00317398" w:rsidRDefault="00317398" w:rsidP="006D6CEB">
            <w:pPr>
              <w:pStyle w:val="TextoTablas"/>
              <w:rPr>
                <w:szCs w:val="24"/>
              </w:rPr>
            </w:pPr>
            <w:r w:rsidRPr="00317398">
              <w:rPr>
                <w:szCs w:val="24"/>
                <w:bdr w:val="none" w:sz="0" w:space="0" w:color="auto" w:frame="1"/>
              </w:rPr>
              <w:t>Sexto día hábil.</w:t>
            </w:r>
          </w:p>
        </w:tc>
      </w:tr>
      <w:tr w:rsidR="00317398" w:rsidRPr="00317398" w14:paraId="536C5A7C" w14:textId="77777777" w:rsidTr="008C7BE2">
        <w:trPr>
          <w:trHeight w:val="562"/>
        </w:trPr>
        <w:tc>
          <w:tcPr>
            <w:tcW w:w="4648" w:type="dxa"/>
            <w:hideMark/>
          </w:tcPr>
          <w:p w14:paraId="4B94FB97" w14:textId="77777777" w:rsidR="00317398" w:rsidRPr="00317398" w:rsidRDefault="00317398" w:rsidP="006D6CEB">
            <w:pPr>
              <w:pStyle w:val="TextoTablas"/>
              <w:rPr>
                <w:szCs w:val="24"/>
              </w:rPr>
            </w:pPr>
            <w:r w:rsidRPr="00317398">
              <w:rPr>
                <w:szCs w:val="24"/>
                <w:bdr w:val="none" w:sz="0" w:space="0" w:color="auto" w:frame="1"/>
              </w:rPr>
              <w:t>36 al 42</w:t>
            </w:r>
          </w:p>
        </w:tc>
        <w:tc>
          <w:tcPr>
            <w:tcW w:w="5272" w:type="dxa"/>
            <w:hideMark/>
          </w:tcPr>
          <w:p w14:paraId="2D849C49" w14:textId="77777777" w:rsidR="00317398" w:rsidRPr="00317398" w:rsidRDefault="00317398" w:rsidP="006D6CEB">
            <w:pPr>
              <w:pStyle w:val="TextoTablas"/>
              <w:rPr>
                <w:szCs w:val="24"/>
              </w:rPr>
            </w:pPr>
            <w:r w:rsidRPr="00317398">
              <w:rPr>
                <w:szCs w:val="24"/>
                <w:bdr w:val="none" w:sz="0" w:space="0" w:color="auto" w:frame="1"/>
              </w:rPr>
              <w:t>Séptimo día hábil.</w:t>
            </w:r>
          </w:p>
        </w:tc>
      </w:tr>
      <w:tr w:rsidR="00317398" w:rsidRPr="00317398" w14:paraId="46B2E00B" w14:textId="77777777" w:rsidTr="008C7BE2">
        <w:trPr>
          <w:cnfStyle w:val="000000100000" w:firstRow="0" w:lastRow="0" w:firstColumn="0" w:lastColumn="0" w:oddVBand="0" w:evenVBand="0" w:oddHBand="1" w:evenHBand="0" w:firstRowFirstColumn="0" w:firstRowLastColumn="0" w:lastRowFirstColumn="0" w:lastRowLastColumn="0"/>
          <w:trHeight w:val="577"/>
        </w:trPr>
        <w:tc>
          <w:tcPr>
            <w:tcW w:w="4648" w:type="dxa"/>
            <w:hideMark/>
          </w:tcPr>
          <w:p w14:paraId="7ED82933" w14:textId="77777777" w:rsidR="00317398" w:rsidRPr="00317398" w:rsidRDefault="00317398" w:rsidP="006D6CEB">
            <w:pPr>
              <w:pStyle w:val="TextoTablas"/>
              <w:rPr>
                <w:szCs w:val="24"/>
              </w:rPr>
            </w:pPr>
            <w:r w:rsidRPr="00317398">
              <w:rPr>
                <w:szCs w:val="24"/>
                <w:bdr w:val="none" w:sz="0" w:space="0" w:color="auto" w:frame="1"/>
              </w:rPr>
              <w:t>43 al 49</w:t>
            </w:r>
          </w:p>
        </w:tc>
        <w:tc>
          <w:tcPr>
            <w:tcW w:w="5272" w:type="dxa"/>
            <w:hideMark/>
          </w:tcPr>
          <w:p w14:paraId="45B187C8" w14:textId="77777777" w:rsidR="00317398" w:rsidRPr="00317398" w:rsidRDefault="00317398" w:rsidP="006D6CEB">
            <w:pPr>
              <w:pStyle w:val="TextoTablas"/>
              <w:rPr>
                <w:szCs w:val="24"/>
              </w:rPr>
            </w:pPr>
            <w:r w:rsidRPr="00317398">
              <w:rPr>
                <w:szCs w:val="24"/>
                <w:bdr w:val="none" w:sz="0" w:space="0" w:color="auto" w:frame="1"/>
              </w:rPr>
              <w:t>Octavo día hábil.</w:t>
            </w:r>
          </w:p>
        </w:tc>
      </w:tr>
      <w:tr w:rsidR="00317398" w:rsidRPr="00317398" w14:paraId="68866DF9" w14:textId="77777777" w:rsidTr="008C7BE2">
        <w:trPr>
          <w:trHeight w:val="577"/>
        </w:trPr>
        <w:tc>
          <w:tcPr>
            <w:tcW w:w="4648" w:type="dxa"/>
            <w:hideMark/>
          </w:tcPr>
          <w:p w14:paraId="5749DE69" w14:textId="77777777" w:rsidR="00317398" w:rsidRPr="00317398" w:rsidRDefault="00317398" w:rsidP="006D6CEB">
            <w:pPr>
              <w:pStyle w:val="TextoTablas"/>
              <w:rPr>
                <w:szCs w:val="24"/>
              </w:rPr>
            </w:pPr>
            <w:r w:rsidRPr="00317398">
              <w:rPr>
                <w:szCs w:val="24"/>
                <w:bdr w:val="none" w:sz="0" w:space="0" w:color="auto" w:frame="1"/>
              </w:rPr>
              <w:t>50 al 56</w:t>
            </w:r>
          </w:p>
        </w:tc>
        <w:tc>
          <w:tcPr>
            <w:tcW w:w="5272" w:type="dxa"/>
            <w:hideMark/>
          </w:tcPr>
          <w:p w14:paraId="47E648DF" w14:textId="77777777" w:rsidR="00317398" w:rsidRPr="00317398" w:rsidRDefault="00317398" w:rsidP="006D6CEB">
            <w:pPr>
              <w:pStyle w:val="TextoTablas"/>
              <w:rPr>
                <w:szCs w:val="24"/>
              </w:rPr>
            </w:pPr>
            <w:r w:rsidRPr="00317398">
              <w:rPr>
                <w:szCs w:val="24"/>
                <w:bdr w:val="none" w:sz="0" w:space="0" w:color="auto" w:frame="1"/>
              </w:rPr>
              <w:t>Noveno día hábil.</w:t>
            </w:r>
          </w:p>
        </w:tc>
      </w:tr>
      <w:tr w:rsidR="00317398" w:rsidRPr="00317398" w14:paraId="06FE5EE7" w14:textId="77777777" w:rsidTr="008C7BE2">
        <w:trPr>
          <w:cnfStyle w:val="000000100000" w:firstRow="0" w:lastRow="0" w:firstColumn="0" w:lastColumn="0" w:oddVBand="0" w:evenVBand="0" w:oddHBand="1" w:evenHBand="0" w:firstRowFirstColumn="0" w:firstRowLastColumn="0" w:lastRowFirstColumn="0" w:lastRowLastColumn="0"/>
          <w:trHeight w:val="577"/>
        </w:trPr>
        <w:tc>
          <w:tcPr>
            <w:tcW w:w="4648" w:type="dxa"/>
            <w:hideMark/>
          </w:tcPr>
          <w:p w14:paraId="0835D6EE" w14:textId="77777777" w:rsidR="00317398" w:rsidRPr="00317398" w:rsidRDefault="00317398" w:rsidP="006D6CEB">
            <w:pPr>
              <w:pStyle w:val="TextoTablas"/>
              <w:rPr>
                <w:szCs w:val="24"/>
              </w:rPr>
            </w:pPr>
            <w:r w:rsidRPr="00317398">
              <w:rPr>
                <w:szCs w:val="24"/>
                <w:bdr w:val="none" w:sz="0" w:space="0" w:color="auto" w:frame="1"/>
              </w:rPr>
              <w:t>57 al 63</w:t>
            </w:r>
          </w:p>
        </w:tc>
        <w:tc>
          <w:tcPr>
            <w:tcW w:w="5272" w:type="dxa"/>
            <w:hideMark/>
          </w:tcPr>
          <w:p w14:paraId="14832A67" w14:textId="77777777" w:rsidR="00317398" w:rsidRPr="00317398" w:rsidRDefault="00317398" w:rsidP="006D6CEB">
            <w:pPr>
              <w:pStyle w:val="TextoTablas"/>
              <w:rPr>
                <w:szCs w:val="24"/>
              </w:rPr>
            </w:pPr>
            <w:r w:rsidRPr="00317398">
              <w:rPr>
                <w:szCs w:val="24"/>
                <w:bdr w:val="none" w:sz="0" w:space="0" w:color="auto" w:frame="1"/>
              </w:rPr>
              <w:t>Décimo día hábil.</w:t>
            </w:r>
          </w:p>
        </w:tc>
      </w:tr>
      <w:tr w:rsidR="00317398" w:rsidRPr="00317398" w14:paraId="14DE0BDB" w14:textId="77777777" w:rsidTr="008C7BE2">
        <w:trPr>
          <w:trHeight w:val="577"/>
        </w:trPr>
        <w:tc>
          <w:tcPr>
            <w:tcW w:w="4648" w:type="dxa"/>
            <w:hideMark/>
          </w:tcPr>
          <w:p w14:paraId="678B8135" w14:textId="77777777" w:rsidR="00317398" w:rsidRPr="00317398" w:rsidRDefault="00317398" w:rsidP="006D6CEB">
            <w:pPr>
              <w:pStyle w:val="TextoTablas"/>
              <w:rPr>
                <w:szCs w:val="24"/>
              </w:rPr>
            </w:pPr>
            <w:r w:rsidRPr="00317398">
              <w:rPr>
                <w:szCs w:val="24"/>
                <w:bdr w:val="none" w:sz="0" w:space="0" w:color="auto" w:frame="1"/>
              </w:rPr>
              <w:t>64 al 69</w:t>
            </w:r>
          </w:p>
        </w:tc>
        <w:tc>
          <w:tcPr>
            <w:tcW w:w="5272" w:type="dxa"/>
            <w:hideMark/>
          </w:tcPr>
          <w:p w14:paraId="6DE8BE6B" w14:textId="77777777" w:rsidR="00317398" w:rsidRPr="00317398" w:rsidRDefault="00317398" w:rsidP="006D6CEB">
            <w:pPr>
              <w:pStyle w:val="TextoTablas"/>
              <w:rPr>
                <w:szCs w:val="24"/>
              </w:rPr>
            </w:pPr>
            <w:r w:rsidRPr="00317398">
              <w:rPr>
                <w:szCs w:val="24"/>
                <w:bdr w:val="none" w:sz="0" w:space="0" w:color="auto" w:frame="1"/>
              </w:rPr>
              <w:t>Undécimo día hábil.</w:t>
            </w:r>
          </w:p>
        </w:tc>
      </w:tr>
      <w:tr w:rsidR="00317398" w:rsidRPr="00317398" w14:paraId="7D21E640" w14:textId="77777777" w:rsidTr="008C7BE2">
        <w:trPr>
          <w:cnfStyle w:val="000000100000" w:firstRow="0" w:lastRow="0" w:firstColumn="0" w:lastColumn="0" w:oddVBand="0" w:evenVBand="0" w:oddHBand="1" w:evenHBand="0" w:firstRowFirstColumn="0" w:firstRowLastColumn="0" w:lastRowFirstColumn="0" w:lastRowLastColumn="0"/>
          <w:trHeight w:val="577"/>
        </w:trPr>
        <w:tc>
          <w:tcPr>
            <w:tcW w:w="4648" w:type="dxa"/>
            <w:hideMark/>
          </w:tcPr>
          <w:p w14:paraId="25798323" w14:textId="77777777" w:rsidR="00317398" w:rsidRPr="00317398" w:rsidRDefault="00317398" w:rsidP="006D6CEB">
            <w:pPr>
              <w:pStyle w:val="TextoTablas"/>
              <w:rPr>
                <w:szCs w:val="24"/>
              </w:rPr>
            </w:pPr>
            <w:r w:rsidRPr="00317398">
              <w:rPr>
                <w:szCs w:val="24"/>
                <w:bdr w:val="none" w:sz="0" w:space="0" w:color="auto" w:frame="1"/>
              </w:rPr>
              <w:t>70 al 75</w:t>
            </w:r>
          </w:p>
        </w:tc>
        <w:tc>
          <w:tcPr>
            <w:tcW w:w="5272" w:type="dxa"/>
            <w:hideMark/>
          </w:tcPr>
          <w:p w14:paraId="41A8A07E" w14:textId="77777777" w:rsidR="00317398" w:rsidRPr="00317398" w:rsidRDefault="00317398" w:rsidP="006D6CEB">
            <w:pPr>
              <w:pStyle w:val="TextoTablas"/>
              <w:rPr>
                <w:szCs w:val="24"/>
              </w:rPr>
            </w:pPr>
            <w:r w:rsidRPr="00317398">
              <w:rPr>
                <w:szCs w:val="24"/>
                <w:bdr w:val="none" w:sz="0" w:space="0" w:color="auto" w:frame="1"/>
              </w:rPr>
              <w:t>Duodécimo día hábil.</w:t>
            </w:r>
          </w:p>
        </w:tc>
      </w:tr>
      <w:tr w:rsidR="00317398" w:rsidRPr="00317398" w14:paraId="6E24AA75" w14:textId="77777777" w:rsidTr="008C7BE2">
        <w:trPr>
          <w:trHeight w:val="577"/>
        </w:trPr>
        <w:tc>
          <w:tcPr>
            <w:tcW w:w="4648" w:type="dxa"/>
            <w:hideMark/>
          </w:tcPr>
          <w:p w14:paraId="188B1558" w14:textId="77777777" w:rsidR="00317398" w:rsidRPr="00317398" w:rsidRDefault="00317398" w:rsidP="006D6CEB">
            <w:pPr>
              <w:pStyle w:val="TextoTablas"/>
              <w:rPr>
                <w:szCs w:val="24"/>
              </w:rPr>
            </w:pPr>
            <w:r w:rsidRPr="00317398">
              <w:rPr>
                <w:szCs w:val="24"/>
                <w:bdr w:val="none" w:sz="0" w:space="0" w:color="auto" w:frame="1"/>
              </w:rPr>
              <w:t>76 al 81</w:t>
            </w:r>
          </w:p>
        </w:tc>
        <w:tc>
          <w:tcPr>
            <w:tcW w:w="5272" w:type="dxa"/>
            <w:hideMark/>
          </w:tcPr>
          <w:p w14:paraId="2ABEA09F" w14:textId="77777777" w:rsidR="00317398" w:rsidRPr="00317398" w:rsidRDefault="00317398" w:rsidP="006D6CEB">
            <w:pPr>
              <w:pStyle w:val="TextoTablas"/>
              <w:rPr>
                <w:szCs w:val="24"/>
              </w:rPr>
            </w:pPr>
            <w:r w:rsidRPr="00317398">
              <w:rPr>
                <w:szCs w:val="24"/>
                <w:bdr w:val="none" w:sz="0" w:space="0" w:color="auto" w:frame="1"/>
              </w:rPr>
              <w:t>Decimotercer día hábil.</w:t>
            </w:r>
          </w:p>
        </w:tc>
      </w:tr>
      <w:tr w:rsidR="00317398" w:rsidRPr="00317398" w14:paraId="60A78061" w14:textId="77777777" w:rsidTr="008C7BE2">
        <w:trPr>
          <w:cnfStyle w:val="000000100000" w:firstRow="0" w:lastRow="0" w:firstColumn="0" w:lastColumn="0" w:oddVBand="0" w:evenVBand="0" w:oddHBand="1" w:evenHBand="0" w:firstRowFirstColumn="0" w:firstRowLastColumn="0" w:lastRowFirstColumn="0" w:lastRowLastColumn="0"/>
          <w:trHeight w:val="577"/>
        </w:trPr>
        <w:tc>
          <w:tcPr>
            <w:tcW w:w="4648" w:type="dxa"/>
            <w:hideMark/>
          </w:tcPr>
          <w:p w14:paraId="0FAC3B46" w14:textId="77777777" w:rsidR="00317398" w:rsidRPr="00317398" w:rsidRDefault="00317398" w:rsidP="006D6CEB">
            <w:pPr>
              <w:pStyle w:val="TextoTablas"/>
              <w:rPr>
                <w:szCs w:val="24"/>
              </w:rPr>
            </w:pPr>
            <w:r w:rsidRPr="00317398">
              <w:rPr>
                <w:szCs w:val="24"/>
                <w:bdr w:val="none" w:sz="0" w:space="0" w:color="auto" w:frame="1"/>
              </w:rPr>
              <w:t>82 al 87</w:t>
            </w:r>
          </w:p>
        </w:tc>
        <w:tc>
          <w:tcPr>
            <w:tcW w:w="5272" w:type="dxa"/>
            <w:hideMark/>
          </w:tcPr>
          <w:p w14:paraId="5D6AAE24" w14:textId="77777777" w:rsidR="00317398" w:rsidRPr="00317398" w:rsidRDefault="00317398" w:rsidP="006D6CEB">
            <w:pPr>
              <w:pStyle w:val="TextoTablas"/>
              <w:rPr>
                <w:szCs w:val="24"/>
              </w:rPr>
            </w:pPr>
            <w:r w:rsidRPr="00317398">
              <w:rPr>
                <w:szCs w:val="24"/>
                <w:bdr w:val="none" w:sz="0" w:space="0" w:color="auto" w:frame="1"/>
              </w:rPr>
              <w:t>Decimocuarto día hábil.</w:t>
            </w:r>
          </w:p>
        </w:tc>
      </w:tr>
      <w:tr w:rsidR="00317398" w:rsidRPr="00317398" w14:paraId="67170B36" w14:textId="77777777" w:rsidTr="008C7BE2">
        <w:trPr>
          <w:trHeight w:val="70"/>
        </w:trPr>
        <w:tc>
          <w:tcPr>
            <w:tcW w:w="4648" w:type="dxa"/>
            <w:hideMark/>
          </w:tcPr>
          <w:p w14:paraId="14F4F942" w14:textId="77777777" w:rsidR="00317398" w:rsidRPr="00317398" w:rsidRDefault="00317398" w:rsidP="006D6CEB">
            <w:pPr>
              <w:pStyle w:val="TextoTablas"/>
              <w:rPr>
                <w:szCs w:val="24"/>
              </w:rPr>
            </w:pPr>
            <w:r w:rsidRPr="00317398">
              <w:rPr>
                <w:szCs w:val="24"/>
                <w:bdr w:val="none" w:sz="0" w:space="0" w:color="auto" w:frame="1"/>
              </w:rPr>
              <w:t>88 al 93</w:t>
            </w:r>
          </w:p>
        </w:tc>
        <w:tc>
          <w:tcPr>
            <w:tcW w:w="5272" w:type="dxa"/>
            <w:hideMark/>
          </w:tcPr>
          <w:p w14:paraId="150B21A9" w14:textId="77777777" w:rsidR="00317398" w:rsidRPr="00317398" w:rsidRDefault="00317398" w:rsidP="006D6CEB">
            <w:pPr>
              <w:pStyle w:val="TextoTablas"/>
              <w:rPr>
                <w:szCs w:val="24"/>
              </w:rPr>
            </w:pPr>
            <w:r w:rsidRPr="00317398">
              <w:rPr>
                <w:szCs w:val="24"/>
                <w:bdr w:val="none" w:sz="0" w:space="0" w:color="auto" w:frame="1"/>
              </w:rPr>
              <w:t>Decimoquinto día hábil.</w:t>
            </w:r>
          </w:p>
        </w:tc>
      </w:tr>
      <w:tr w:rsidR="00317398" w:rsidRPr="00317398" w14:paraId="3CAA3AE7" w14:textId="77777777" w:rsidTr="008C7BE2">
        <w:trPr>
          <w:cnfStyle w:val="000000100000" w:firstRow="0" w:lastRow="0" w:firstColumn="0" w:lastColumn="0" w:oddVBand="0" w:evenVBand="0" w:oddHBand="1" w:evenHBand="0" w:firstRowFirstColumn="0" w:firstRowLastColumn="0" w:lastRowFirstColumn="0" w:lastRowLastColumn="0"/>
          <w:trHeight w:val="577"/>
        </w:trPr>
        <w:tc>
          <w:tcPr>
            <w:tcW w:w="4648" w:type="dxa"/>
            <w:hideMark/>
          </w:tcPr>
          <w:p w14:paraId="7A160702" w14:textId="77777777" w:rsidR="00317398" w:rsidRPr="00317398" w:rsidRDefault="00317398" w:rsidP="006D6CEB">
            <w:pPr>
              <w:pStyle w:val="TextoTablas"/>
              <w:rPr>
                <w:szCs w:val="24"/>
              </w:rPr>
            </w:pPr>
            <w:r w:rsidRPr="00317398">
              <w:rPr>
                <w:szCs w:val="24"/>
                <w:bdr w:val="none" w:sz="0" w:space="0" w:color="auto" w:frame="1"/>
              </w:rPr>
              <w:t>94 al 99</w:t>
            </w:r>
          </w:p>
        </w:tc>
        <w:tc>
          <w:tcPr>
            <w:tcW w:w="5272" w:type="dxa"/>
            <w:hideMark/>
          </w:tcPr>
          <w:p w14:paraId="3A17C340" w14:textId="77777777" w:rsidR="00317398" w:rsidRPr="00317398" w:rsidRDefault="00317398" w:rsidP="006D6CEB">
            <w:pPr>
              <w:pStyle w:val="TextoTablas"/>
              <w:rPr>
                <w:szCs w:val="24"/>
              </w:rPr>
            </w:pPr>
            <w:r w:rsidRPr="00317398">
              <w:rPr>
                <w:szCs w:val="24"/>
                <w:bdr w:val="none" w:sz="0" w:space="0" w:color="auto" w:frame="1"/>
              </w:rPr>
              <w:t>Decimosexto día hábil.</w:t>
            </w:r>
          </w:p>
        </w:tc>
      </w:tr>
    </w:tbl>
    <w:p w14:paraId="1C1F4C90" w14:textId="7DA15761" w:rsidR="00317398" w:rsidRDefault="00317398" w:rsidP="00317398">
      <w:pPr>
        <w:rPr>
          <w:lang w:val="es-419" w:eastAsia="es-CO"/>
        </w:rPr>
      </w:pPr>
      <w:r w:rsidRPr="00317398">
        <w:rPr>
          <w:lang w:val="es-419" w:eastAsia="es-CO"/>
        </w:rPr>
        <w:t>Nota. Información tomada del Decreto 1990 de 2016, por el cual se modifican los artículos 3.2.1 y 3.2.2 del Decreto 780 de 2016 y se fijan plazos y condiciones para la autoliquidación y pago de los aportes al Sistema de Seguridad Social Integral y parafiscales. Para personas jurídicas, se toman los dos últimos dígitos del NIT sin incluir el dígito de verificación.</w:t>
      </w:r>
    </w:p>
    <w:p w14:paraId="31A20F76" w14:textId="77777777" w:rsidR="006D6CEB" w:rsidRPr="00317398" w:rsidRDefault="006D6CEB" w:rsidP="00317398">
      <w:pPr>
        <w:rPr>
          <w:lang w:val="es-419" w:eastAsia="es-CO"/>
        </w:rPr>
      </w:pPr>
    </w:p>
    <w:p w14:paraId="745E2572" w14:textId="77777777" w:rsidR="00317398" w:rsidRPr="00317398" w:rsidRDefault="00317398" w:rsidP="00317398">
      <w:pPr>
        <w:rPr>
          <w:lang w:val="es-419" w:eastAsia="es-CO"/>
        </w:rPr>
      </w:pPr>
      <w:r w:rsidRPr="00317398">
        <w:rPr>
          <w:lang w:val="es-419" w:eastAsia="es-CO"/>
        </w:rPr>
        <w:lastRenderedPageBreak/>
        <w:t>La información presentada permite identificar el día hábil máximo para realizar el pago de la PILA según la identificación del aportante. Esta consulta facilita la planeación del proceso de nómina, reduce el riesgo de pagos extemporáneos y ayuda a conservar la evidencia del cumplimiento ante posibles revisiones de las entidades de control.</w:t>
      </w:r>
    </w:p>
    <w:p w14:paraId="7A5DD0AC" w14:textId="3137F903" w:rsidR="00317398" w:rsidRDefault="00317398" w:rsidP="00317398">
      <w:pPr>
        <w:rPr>
          <w:lang w:val="es-419" w:eastAsia="es-CO"/>
        </w:rPr>
      </w:pPr>
      <w:r w:rsidRPr="00317398">
        <w:rPr>
          <w:lang w:val="es-419" w:eastAsia="es-CO"/>
        </w:rPr>
        <w:t>Además de conocer el plazo de pago, es necesario verificar que la planilla haya sido elaborada con datos correctos antes de enviarla al operador de información. Si después del envío se detectan errores en el IBC, las novedades, el período o las entidades administradoras, deben aplicarse los procedimientos de verificación, corrección o anulación correspondientes.</w:t>
      </w:r>
    </w:p>
    <w:p w14:paraId="4B58A515" w14:textId="77777777" w:rsidR="006D6CEB" w:rsidRPr="00317398" w:rsidRDefault="006D6CEB" w:rsidP="00317398">
      <w:pPr>
        <w:rPr>
          <w:lang w:val="es-419" w:eastAsia="es-CO"/>
        </w:rPr>
      </w:pPr>
    </w:p>
    <w:p w14:paraId="1F6DB036" w14:textId="23557DA0" w:rsidR="00831C29" w:rsidRDefault="00E23A14" w:rsidP="00831C29">
      <w:pPr>
        <w:pStyle w:val="Ttulo2"/>
      </w:pPr>
      <w:bookmarkStart w:id="18" w:name="_Toc235611019"/>
      <w:r w:rsidRPr="00E23A14">
        <w:t>Verificación, corrección y anulación de planillas</w:t>
      </w:r>
      <w:bookmarkEnd w:id="18"/>
    </w:p>
    <w:p w14:paraId="5A5CEDEB" w14:textId="77777777" w:rsidR="006464A8" w:rsidRPr="006464A8" w:rsidRDefault="006464A8" w:rsidP="006464A8">
      <w:pPr>
        <w:rPr>
          <w:lang w:val="es-419" w:eastAsia="es-CO"/>
        </w:rPr>
      </w:pPr>
      <w:r w:rsidRPr="006464A8">
        <w:rPr>
          <w:lang w:val="es-419" w:eastAsia="es-CO"/>
        </w:rPr>
        <w:t>Aunque la planilla se elabore con controles previos, puede ocurrir que, después del envío al operador de información, se identifiquen errores en los datos reportados. Estos errores pueden estar relacionados con el Ingreso Base de Cotización (IBC), las novedades del período, la entidad administradora, el tipo de cotizante, el período de liquidación o los datos de identificación del aportante o del trabajador.</w:t>
      </w:r>
    </w:p>
    <w:p w14:paraId="3A204975" w14:textId="77777777" w:rsidR="006464A8" w:rsidRPr="006464A8" w:rsidRDefault="006464A8" w:rsidP="006464A8">
      <w:pPr>
        <w:rPr>
          <w:lang w:val="es-419" w:eastAsia="es-CO"/>
        </w:rPr>
      </w:pPr>
      <w:r w:rsidRPr="006464A8">
        <w:rPr>
          <w:lang w:val="es-419" w:eastAsia="es-CO"/>
        </w:rPr>
        <w:t>Por esta razón, el profesional de nómina debe conocer los mecanismos de verificación, corrección y anulación de planillas. Su aplicación permite ajustar la información cuando sea necesario, evitar que las inconsistencias se acumulen en períodos posteriores y conservar la trazabilidad del proceso ante posibles revisiones de las entidades de control.</w:t>
      </w:r>
    </w:p>
    <w:p w14:paraId="03AED55D" w14:textId="77777777" w:rsidR="006464A8" w:rsidRPr="006464A8" w:rsidRDefault="006464A8" w:rsidP="006464A8">
      <w:pPr>
        <w:rPr>
          <w:lang w:val="es-419" w:eastAsia="es-CO"/>
        </w:rPr>
      </w:pPr>
      <w:r w:rsidRPr="006464A8">
        <w:rPr>
          <w:lang w:val="es-419" w:eastAsia="es-CO"/>
        </w:rPr>
        <w:t>Para comprender este procedimiento, es necesario diferenciar tres acciones:</w:t>
      </w:r>
    </w:p>
    <w:p w14:paraId="653C0BAD" w14:textId="41B4AEF9" w:rsidR="006464A8" w:rsidRPr="006464A8" w:rsidRDefault="006464A8" w:rsidP="00F65317">
      <w:pPr>
        <w:pStyle w:val="Prrafodelista"/>
        <w:numPr>
          <w:ilvl w:val="0"/>
          <w:numId w:val="28"/>
        </w:numPr>
        <w:rPr>
          <w:lang w:val="es-419" w:eastAsia="es-CO"/>
        </w:rPr>
      </w:pPr>
      <w:r w:rsidRPr="006464A8">
        <w:rPr>
          <w:b/>
          <w:bCs/>
          <w:lang w:val="es-419" w:eastAsia="es-CO"/>
        </w:rPr>
        <w:lastRenderedPageBreak/>
        <w:t>Verificación de la planilla:</w:t>
      </w:r>
      <w:r w:rsidRPr="006464A8">
        <w:rPr>
          <w:lang w:val="es-419" w:eastAsia="es-CO"/>
        </w:rPr>
        <w:t xml:space="preserve"> consiste en revisar la información enviada o pagada para confirmar si coincide con la nómina, los soportes del período, las novedades, las entidades administradoras y los valores liquidados. </w:t>
      </w:r>
    </w:p>
    <w:p w14:paraId="4B98E335" w14:textId="7DDBB0C0" w:rsidR="006464A8" w:rsidRPr="006464A8" w:rsidRDefault="006464A8" w:rsidP="00F65317">
      <w:pPr>
        <w:pStyle w:val="Prrafodelista"/>
        <w:numPr>
          <w:ilvl w:val="0"/>
          <w:numId w:val="28"/>
        </w:numPr>
        <w:rPr>
          <w:lang w:val="es-419" w:eastAsia="es-CO"/>
        </w:rPr>
      </w:pPr>
      <w:r w:rsidRPr="006464A8">
        <w:rPr>
          <w:b/>
          <w:bCs/>
          <w:lang w:val="es-419" w:eastAsia="es-CO"/>
        </w:rPr>
        <w:t>Corrección de la planilla:</w:t>
      </w:r>
      <w:r w:rsidRPr="006464A8">
        <w:rPr>
          <w:lang w:val="es-419" w:eastAsia="es-CO"/>
        </w:rPr>
        <w:t xml:space="preserve"> aplica cuando se detectan errores que pueden ajustarse sin cancelar completamente la planilla, como un IBC incorrecto, una novedad mal registrada, una entidad equivocada o un trabajador omitido. </w:t>
      </w:r>
    </w:p>
    <w:p w14:paraId="43514FA8" w14:textId="661794D3" w:rsidR="006464A8" w:rsidRPr="006464A8" w:rsidRDefault="006464A8" w:rsidP="00F65317">
      <w:pPr>
        <w:pStyle w:val="Prrafodelista"/>
        <w:numPr>
          <w:ilvl w:val="0"/>
          <w:numId w:val="28"/>
        </w:numPr>
        <w:rPr>
          <w:lang w:val="es-419" w:eastAsia="es-CO"/>
        </w:rPr>
      </w:pPr>
      <w:r w:rsidRPr="006464A8">
        <w:rPr>
          <w:b/>
          <w:bCs/>
          <w:lang w:val="es-419" w:eastAsia="es-CO"/>
        </w:rPr>
        <w:t>Anulación de la planilla:</w:t>
      </w:r>
      <w:r w:rsidRPr="006464A8">
        <w:rPr>
          <w:lang w:val="es-419" w:eastAsia="es-CO"/>
        </w:rPr>
        <w:t xml:space="preserve"> procede en situaciones excepcionales, cuando la planilla contiene errores que afectan elementos fundamentales y no pueden corregirse de manera parcial, como el período de liquidación o la identificación del aportante. </w:t>
      </w:r>
    </w:p>
    <w:p w14:paraId="21C1254A" w14:textId="05FB3229" w:rsidR="006464A8" w:rsidRDefault="006464A8" w:rsidP="006464A8">
      <w:pPr>
        <w:rPr>
          <w:lang w:val="es-419" w:eastAsia="es-CO"/>
        </w:rPr>
      </w:pPr>
      <w:r w:rsidRPr="006464A8">
        <w:rPr>
          <w:lang w:val="es-419" w:eastAsia="es-CO"/>
        </w:rPr>
        <w:t>Estas acciones no deben realizarse de forma improvisada. Antes de corregir o anular una planilla, se debe consultar el estado del pago en la plataforma del operador, identificar el tipo de error, revisar los soportes y confirmar el procedimiento aplicable para evitar nuevos registros incorrectos.</w:t>
      </w:r>
    </w:p>
    <w:p w14:paraId="10BFF32A" w14:textId="48115C36" w:rsidR="006464A8" w:rsidRDefault="006464A8" w:rsidP="006464A8">
      <w:pPr>
        <w:rPr>
          <w:lang w:val="es-419" w:eastAsia="es-CO"/>
        </w:rPr>
      </w:pPr>
      <w:r w:rsidRPr="006464A8">
        <w:rPr>
          <w:lang w:val="es-419" w:eastAsia="es-CO"/>
        </w:rPr>
        <w:t>La corrección o anulación de una planilla debe realizarse con soporte documental, revisión previa y trazabilidad, para evitar nuevos errores en la historia de aportes.</w:t>
      </w:r>
    </w:p>
    <w:p w14:paraId="48E852C2" w14:textId="77777777" w:rsidR="006464A8" w:rsidRPr="006464A8" w:rsidRDefault="006464A8" w:rsidP="006464A8">
      <w:pPr>
        <w:rPr>
          <w:lang w:val="es-419" w:eastAsia="es-CO"/>
        </w:rPr>
      </w:pPr>
      <w:r w:rsidRPr="006464A8">
        <w:rPr>
          <w:lang w:val="es-419" w:eastAsia="es-CO"/>
        </w:rPr>
        <w:t>La corrección de una planilla puede generar diferencias a favor o en contra del aportante. Cuando el valor pagado fue inferior al correcto, puede requerirse el pago de aportes adicionales e intereses moratorios, según el caso. Si el valor fue superior, el ajuste debe gestionarse conforme al procedimiento definido por el operador de información y las entidades administradoras.</w:t>
      </w:r>
    </w:p>
    <w:p w14:paraId="13BBA7C8" w14:textId="77777777" w:rsidR="006464A8" w:rsidRPr="006464A8" w:rsidRDefault="006464A8" w:rsidP="006464A8">
      <w:pPr>
        <w:rPr>
          <w:lang w:val="es-419" w:eastAsia="es-CO"/>
        </w:rPr>
      </w:pPr>
      <w:r w:rsidRPr="006464A8">
        <w:rPr>
          <w:lang w:val="es-419" w:eastAsia="es-CO"/>
        </w:rPr>
        <w:lastRenderedPageBreak/>
        <w:t>Una situación frecuente es la duplicidad de un trabajador en la planilla. Este error puede generar doble descuento al trabajador o doble pago al sistema, lo que dificulta la conciliación posterior. Por ello, antes de aplicar cualquier ajuste, es necesario revisar la planilla original, validar si ya fue pagada y confirmar con el operador el procedimiento más adecuado.</w:t>
      </w:r>
    </w:p>
    <w:p w14:paraId="21206C30" w14:textId="77777777" w:rsidR="006464A8" w:rsidRPr="006464A8" w:rsidRDefault="006464A8" w:rsidP="006464A8">
      <w:pPr>
        <w:rPr>
          <w:lang w:val="es-419" w:eastAsia="es-CO"/>
        </w:rPr>
      </w:pPr>
      <w:r w:rsidRPr="006464A8">
        <w:rPr>
          <w:lang w:val="es-419" w:eastAsia="es-CO"/>
        </w:rPr>
        <w:t>Para reducir riesgos en la corrección o anulación, se recomienda aplicar los siguientes controles:</w:t>
      </w:r>
    </w:p>
    <w:p w14:paraId="73E340AE" w14:textId="429234F6" w:rsidR="006464A8" w:rsidRPr="006464A8" w:rsidRDefault="006464A8" w:rsidP="00F65317">
      <w:pPr>
        <w:pStyle w:val="Prrafodelista"/>
        <w:numPr>
          <w:ilvl w:val="0"/>
          <w:numId w:val="29"/>
        </w:numPr>
        <w:rPr>
          <w:lang w:val="es-419" w:eastAsia="es-CO"/>
        </w:rPr>
      </w:pPr>
      <w:r w:rsidRPr="006464A8">
        <w:rPr>
          <w:b/>
          <w:bCs/>
          <w:lang w:val="es-419" w:eastAsia="es-CO"/>
        </w:rPr>
        <w:t>Revisar la planilla original:</w:t>
      </w:r>
      <w:r w:rsidRPr="006464A8">
        <w:rPr>
          <w:lang w:val="es-419" w:eastAsia="es-CO"/>
        </w:rPr>
        <w:t xml:space="preserve"> verificar el período, el número de planilla, el estado del pago y los trabajadores incluidos. </w:t>
      </w:r>
    </w:p>
    <w:p w14:paraId="70354BD8" w14:textId="152E9902" w:rsidR="006464A8" w:rsidRPr="006464A8" w:rsidRDefault="006464A8" w:rsidP="00F65317">
      <w:pPr>
        <w:pStyle w:val="Prrafodelista"/>
        <w:numPr>
          <w:ilvl w:val="0"/>
          <w:numId w:val="29"/>
        </w:numPr>
        <w:rPr>
          <w:lang w:val="es-419" w:eastAsia="es-CO"/>
        </w:rPr>
      </w:pPr>
      <w:r w:rsidRPr="006464A8">
        <w:rPr>
          <w:b/>
          <w:bCs/>
          <w:lang w:val="es-419" w:eastAsia="es-CO"/>
        </w:rPr>
        <w:t>Identificar el error:</w:t>
      </w:r>
      <w:r w:rsidRPr="006464A8">
        <w:rPr>
          <w:lang w:val="es-419" w:eastAsia="es-CO"/>
        </w:rPr>
        <w:t xml:space="preserve"> determinar si la inconsistencia corresponde al IBC, la novedad, la entidad administradora, el tipo de cotizante o el período. </w:t>
      </w:r>
    </w:p>
    <w:p w14:paraId="47AB8864" w14:textId="613A8504" w:rsidR="006464A8" w:rsidRPr="006464A8" w:rsidRDefault="006464A8" w:rsidP="00F65317">
      <w:pPr>
        <w:pStyle w:val="Prrafodelista"/>
        <w:numPr>
          <w:ilvl w:val="0"/>
          <w:numId w:val="29"/>
        </w:numPr>
        <w:rPr>
          <w:lang w:val="es-419" w:eastAsia="es-CO"/>
        </w:rPr>
      </w:pPr>
      <w:r w:rsidRPr="006464A8">
        <w:rPr>
          <w:b/>
          <w:bCs/>
          <w:lang w:val="es-419" w:eastAsia="es-CO"/>
        </w:rPr>
        <w:t>Consultar el procedimiento:</w:t>
      </w:r>
      <w:r w:rsidRPr="006464A8">
        <w:rPr>
          <w:lang w:val="es-419" w:eastAsia="es-CO"/>
        </w:rPr>
        <w:t xml:space="preserve"> confirmar con el operador de información si procede una corrección, una planilla adicional o la anulación. </w:t>
      </w:r>
    </w:p>
    <w:p w14:paraId="1A9C45F6" w14:textId="299D8BCF" w:rsidR="006464A8" w:rsidRPr="006464A8" w:rsidRDefault="006464A8" w:rsidP="00F65317">
      <w:pPr>
        <w:pStyle w:val="Prrafodelista"/>
        <w:numPr>
          <w:ilvl w:val="0"/>
          <w:numId w:val="29"/>
        </w:numPr>
        <w:rPr>
          <w:lang w:val="es-419" w:eastAsia="es-CO"/>
        </w:rPr>
      </w:pPr>
      <w:r w:rsidRPr="006464A8">
        <w:rPr>
          <w:b/>
          <w:bCs/>
          <w:lang w:val="es-419" w:eastAsia="es-CO"/>
        </w:rPr>
        <w:t>Calcular las diferencias:</w:t>
      </w:r>
      <w:r w:rsidRPr="006464A8">
        <w:rPr>
          <w:lang w:val="es-419" w:eastAsia="es-CO"/>
        </w:rPr>
        <w:t xml:space="preserve"> establecer si existen valores adicionales por pagar, saldos a favor o intereses moratorios. </w:t>
      </w:r>
    </w:p>
    <w:p w14:paraId="7834BBD7" w14:textId="7DD33946" w:rsidR="006464A8" w:rsidRPr="006464A8" w:rsidRDefault="006464A8" w:rsidP="00F65317">
      <w:pPr>
        <w:pStyle w:val="Prrafodelista"/>
        <w:numPr>
          <w:ilvl w:val="0"/>
          <w:numId w:val="29"/>
        </w:numPr>
        <w:rPr>
          <w:lang w:val="es-419" w:eastAsia="es-CO"/>
        </w:rPr>
      </w:pPr>
      <w:r w:rsidRPr="006464A8">
        <w:rPr>
          <w:b/>
          <w:bCs/>
          <w:lang w:val="es-419" w:eastAsia="es-CO"/>
        </w:rPr>
        <w:t xml:space="preserve">Conservar soportes: </w:t>
      </w:r>
      <w:r w:rsidRPr="006464A8">
        <w:rPr>
          <w:lang w:val="es-419" w:eastAsia="es-CO"/>
        </w:rPr>
        <w:t>guardar la planilla inicial, la planilla corregida, los comprobantes de pago, las comunicaciones con el operador y los documentos que justifican el ajuste.</w:t>
      </w:r>
    </w:p>
    <w:p w14:paraId="1A172044" w14:textId="77777777" w:rsidR="006464A8" w:rsidRPr="006464A8" w:rsidRDefault="006464A8" w:rsidP="006464A8">
      <w:pPr>
        <w:rPr>
          <w:lang w:val="es-419" w:eastAsia="es-CO"/>
        </w:rPr>
      </w:pPr>
      <w:r w:rsidRPr="006464A8">
        <w:rPr>
          <w:lang w:val="es-419" w:eastAsia="es-CO"/>
        </w:rPr>
        <w:t>Estos controles ayudan a corregir la información con orden y evitan que una inconsistencia inicial genere errores posteriores. Además, permiten demostrar que la organización aplicó un procedimiento razonable y documentado para cumplir sus obligaciones frente al sistema.</w:t>
      </w:r>
    </w:p>
    <w:p w14:paraId="5D0B6998" w14:textId="03C8B2BA" w:rsidR="006464A8" w:rsidRDefault="006464A8" w:rsidP="006464A8">
      <w:pPr>
        <w:rPr>
          <w:lang w:val="es-419" w:eastAsia="es-CO"/>
        </w:rPr>
      </w:pPr>
      <w:r w:rsidRPr="006464A8">
        <w:rPr>
          <w:lang w:val="es-419" w:eastAsia="es-CO"/>
        </w:rPr>
        <w:lastRenderedPageBreak/>
        <w:t>Una vez gestionada la verificación, corrección o anulación de una planilla, el ciclo operativo de la liquidación continúa con el registro contable de los aportes. Este proceso permite relacionar los valores reportados y pagados al sistema con la información financiera de la organización, garantizando coherencia entre la nómina, la PILA y la contabilidad.</w:t>
      </w:r>
    </w:p>
    <w:p w14:paraId="457D4DFB" w14:textId="77777777" w:rsidR="006D6CEB" w:rsidRPr="006464A8" w:rsidRDefault="006D6CEB" w:rsidP="006464A8">
      <w:pPr>
        <w:rPr>
          <w:lang w:val="es-419" w:eastAsia="es-CO"/>
        </w:rPr>
      </w:pPr>
    </w:p>
    <w:p w14:paraId="2CE424D0" w14:textId="6FC96157" w:rsidR="00831C29" w:rsidRDefault="00E23A14" w:rsidP="00733366">
      <w:pPr>
        <w:pStyle w:val="Ttulo2"/>
      </w:pPr>
      <w:bookmarkStart w:id="19" w:name="_Toc235611020"/>
      <w:r w:rsidRPr="00E23A14">
        <w:t>Registro contable de los aportes al sistema</w:t>
      </w:r>
      <w:bookmarkEnd w:id="19"/>
    </w:p>
    <w:p w14:paraId="5D7EC07F" w14:textId="77777777" w:rsidR="006464A8" w:rsidRPr="006464A8" w:rsidRDefault="006464A8" w:rsidP="006464A8">
      <w:pPr>
        <w:rPr>
          <w:lang w:val="es-419" w:eastAsia="es-CO"/>
        </w:rPr>
      </w:pPr>
      <w:r w:rsidRPr="006464A8">
        <w:rPr>
          <w:lang w:val="es-419" w:eastAsia="es-CO"/>
        </w:rPr>
        <w:t>El registro contable de los aportes al Sistema de Seguridad Social Integral permite relacionar la nómina liquidada, los valores reportados en la PILA y la información financiera de la organización. Este proceso es necesario para reconocer correctamente los gastos a cargo del empleador, las retenciones realizadas al trabajador y las obligaciones pendientes de pago frente a las entidades administradoras del sistema.</w:t>
      </w:r>
    </w:p>
    <w:p w14:paraId="62AB9F47" w14:textId="77777777" w:rsidR="006464A8" w:rsidRPr="006464A8" w:rsidRDefault="006464A8" w:rsidP="006464A8">
      <w:pPr>
        <w:rPr>
          <w:lang w:val="es-419" w:eastAsia="es-CO"/>
        </w:rPr>
      </w:pPr>
      <w:r w:rsidRPr="006464A8">
        <w:rPr>
          <w:lang w:val="es-419" w:eastAsia="es-CO"/>
        </w:rPr>
        <w:t>En este registro intervienen diferentes tipos de cuentas contables. Los aportes a cargo del empleador se reconocen como gasto cuando se causa la nómina; los aportes descontados al trabajador se registran como una obligación por pagar, y los valores anticipados o compensables, como licencias o incapacidades reconocidas por una EPS o una ARL, deben controlarse con los soportes correspondientes. Esta organización favorece la coherencia entre nómina, contabilidad y planilla.</w:t>
      </w:r>
    </w:p>
    <w:p w14:paraId="6D0A4A25" w14:textId="77777777" w:rsidR="006464A8" w:rsidRPr="006464A8" w:rsidRDefault="006464A8" w:rsidP="006464A8">
      <w:pPr>
        <w:rPr>
          <w:lang w:val="es-419" w:eastAsia="es-CO"/>
        </w:rPr>
      </w:pPr>
      <w:r w:rsidRPr="006464A8">
        <w:rPr>
          <w:lang w:val="es-419" w:eastAsia="es-CO"/>
        </w:rPr>
        <w:t>Para comprender el registro contable de los aportes, se deben diferenciar tres elementos:</w:t>
      </w:r>
    </w:p>
    <w:p w14:paraId="3ECB6819" w14:textId="687002EB" w:rsidR="006464A8" w:rsidRPr="006464A8" w:rsidRDefault="006464A8" w:rsidP="00F65317">
      <w:pPr>
        <w:pStyle w:val="Prrafodelista"/>
        <w:numPr>
          <w:ilvl w:val="0"/>
          <w:numId w:val="30"/>
        </w:numPr>
        <w:rPr>
          <w:lang w:val="es-419" w:eastAsia="es-CO"/>
        </w:rPr>
      </w:pPr>
      <w:r w:rsidRPr="006464A8">
        <w:rPr>
          <w:b/>
          <w:bCs/>
          <w:lang w:val="es-419" w:eastAsia="es-CO"/>
        </w:rPr>
        <w:t>Aportes a cargo del empleador:</w:t>
      </w:r>
      <w:r w:rsidRPr="006464A8">
        <w:rPr>
          <w:lang w:val="es-419" w:eastAsia="es-CO"/>
        </w:rPr>
        <w:t xml:space="preserve"> corresponden a los valores que asume la organización por salud patronal, pensión, riesgos laborales y aportes parafiscales, cuando apliquen. </w:t>
      </w:r>
    </w:p>
    <w:p w14:paraId="1C656E43" w14:textId="4D333334" w:rsidR="006464A8" w:rsidRPr="006464A8" w:rsidRDefault="006464A8" w:rsidP="00F65317">
      <w:pPr>
        <w:pStyle w:val="Prrafodelista"/>
        <w:numPr>
          <w:ilvl w:val="0"/>
          <w:numId w:val="30"/>
        </w:numPr>
        <w:rPr>
          <w:lang w:val="es-419" w:eastAsia="es-CO"/>
        </w:rPr>
      </w:pPr>
      <w:r w:rsidRPr="006464A8">
        <w:rPr>
          <w:b/>
          <w:bCs/>
          <w:lang w:val="es-419" w:eastAsia="es-CO"/>
        </w:rPr>
        <w:lastRenderedPageBreak/>
        <w:t>Aportes a cargo del trabajador:</w:t>
      </w:r>
      <w:r w:rsidRPr="006464A8">
        <w:rPr>
          <w:lang w:val="es-419" w:eastAsia="es-CO"/>
        </w:rPr>
        <w:t xml:space="preserve"> corresponden a los valores descontados del salario, como el 4 % de salud, el 4 % de pensión y el aporte al Fondo de Solidaridad Pensional, cuando corresponda. </w:t>
      </w:r>
    </w:p>
    <w:p w14:paraId="7A43B862" w14:textId="7A1B994B" w:rsidR="006464A8" w:rsidRPr="006464A8" w:rsidRDefault="006464A8" w:rsidP="00F65317">
      <w:pPr>
        <w:pStyle w:val="Prrafodelista"/>
        <w:numPr>
          <w:ilvl w:val="0"/>
          <w:numId w:val="30"/>
        </w:numPr>
        <w:rPr>
          <w:lang w:val="es-419" w:eastAsia="es-CO"/>
        </w:rPr>
      </w:pPr>
      <w:r w:rsidRPr="006464A8">
        <w:rPr>
          <w:b/>
          <w:bCs/>
          <w:lang w:val="es-419" w:eastAsia="es-CO"/>
        </w:rPr>
        <w:t>Valores compensables o por recuperar:</w:t>
      </w:r>
      <w:r w:rsidRPr="006464A8">
        <w:rPr>
          <w:lang w:val="es-419" w:eastAsia="es-CO"/>
        </w:rPr>
        <w:t xml:space="preserve"> corresponden a pagos anticipados por el empleador que pueden ser reconocidos o compensados por la entidad administradora, según la normativa y los soportes exigidos.</w:t>
      </w:r>
    </w:p>
    <w:p w14:paraId="1BA830C8" w14:textId="77F23303" w:rsidR="006464A8" w:rsidRDefault="006464A8" w:rsidP="006464A8">
      <w:pPr>
        <w:rPr>
          <w:lang w:val="es-419" w:eastAsia="es-CO"/>
        </w:rPr>
      </w:pPr>
      <w:r w:rsidRPr="006464A8">
        <w:rPr>
          <w:lang w:val="es-419" w:eastAsia="es-CO"/>
        </w:rPr>
        <w:t>Estos elementos permiten identificar si el valor registrado corresponde a un gasto de la empresa, una retención al trabajador o una cuenta por cobrar a una entidad del sistema. Por ello, el área de nómina debe entregar a contabilidad la información clara, completa y conciliada con la planilla pagada.</w:t>
      </w:r>
    </w:p>
    <w:p w14:paraId="219BE829" w14:textId="20F98D27" w:rsidR="006464A8" w:rsidRDefault="006464A8" w:rsidP="006464A8">
      <w:pPr>
        <w:rPr>
          <w:lang w:val="es-419" w:eastAsia="es-CO"/>
        </w:rPr>
      </w:pPr>
      <w:r w:rsidRPr="006464A8">
        <w:rPr>
          <w:lang w:val="es-419" w:eastAsia="es-CO"/>
        </w:rPr>
        <w:t>El registro contable de los aportes garantiza coherencia entre la nómina, la PILA y la información financiera de la organización.</w:t>
      </w:r>
    </w:p>
    <w:p w14:paraId="0C52B4CE" w14:textId="77777777" w:rsidR="006464A8" w:rsidRPr="006464A8" w:rsidRDefault="006464A8" w:rsidP="006464A8">
      <w:pPr>
        <w:rPr>
          <w:lang w:val="es-419" w:eastAsia="es-CO"/>
        </w:rPr>
      </w:pPr>
      <w:r w:rsidRPr="006464A8">
        <w:rPr>
          <w:lang w:val="es-419" w:eastAsia="es-CO"/>
        </w:rPr>
        <w:t>Los aportes a cargo del empleador se registran en el período en que se causa la nómina, aunque el pago se realice posteriormente mediante la PILA. Esta aplicación responde al principio de acumulación o devengo, según el cual las partidas se reconocen cuando cumplen los criterios de reconocimiento contable, no únicamente cuando se realiza el pago.</w:t>
      </w:r>
    </w:p>
    <w:p w14:paraId="5BEEF57C" w14:textId="77777777" w:rsidR="006464A8" w:rsidRPr="006464A8" w:rsidRDefault="006464A8" w:rsidP="006464A8">
      <w:pPr>
        <w:rPr>
          <w:lang w:val="es-419" w:eastAsia="es-CO"/>
        </w:rPr>
      </w:pPr>
      <w:r w:rsidRPr="006464A8">
        <w:rPr>
          <w:lang w:val="es-419" w:eastAsia="es-CO"/>
        </w:rPr>
        <w:t>Los aportes a cargo del trabajador se registran como valores retenidos de la nómina. Aunque estos recursos se descuentan del salario, el empleador tiene la responsabilidad de trasladarlos oportunamente al sistema mediante la planilla. Por esta razón, deben quedar registrados como obligaciones por pagar hasta el momento en que se realice el pago correspondiente.</w:t>
      </w:r>
    </w:p>
    <w:p w14:paraId="08F674E5" w14:textId="77777777" w:rsidR="006464A8" w:rsidRPr="006464A8" w:rsidRDefault="006464A8" w:rsidP="006464A8">
      <w:pPr>
        <w:rPr>
          <w:lang w:val="es-419" w:eastAsia="es-CO"/>
        </w:rPr>
      </w:pPr>
      <w:r w:rsidRPr="006464A8">
        <w:rPr>
          <w:lang w:val="es-419" w:eastAsia="es-CO"/>
        </w:rPr>
        <w:lastRenderedPageBreak/>
        <w:t>La compensación de incapacidades y licencias exige un control documental especial. Cuando el empleador reconoce valores al trabajador que posteriormente deben ser asumidos o compensados por la EPS o la ARL, se requiere conservar incapacidades, licencias, comprobantes de pago, planillas y soportes de la entidad administradora. Estos documentos permiten sustentar el valor registrado y facilitan la conciliación posterior.</w:t>
      </w:r>
    </w:p>
    <w:p w14:paraId="71EF1914" w14:textId="77777777" w:rsidR="006464A8" w:rsidRPr="006464A8" w:rsidRDefault="006464A8" w:rsidP="006464A8">
      <w:pPr>
        <w:rPr>
          <w:lang w:val="es-419" w:eastAsia="es-CO"/>
        </w:rPr>
      </w:pPr>
      <w:r w:rsidRPr="006464A8">
        <w:rPr>
          <w:lang w:val="es-419" w:eastAsia="es-CO"/>
        </w:rPr>
        <w:t>Para fortalecer el control del proceso, se recomienda aplicar las siguientes verificaciones:</w:t>
      </w:r>
    </w:p>
    <w:p w14:paraId="7CA214B0" w14:textId="59A7FFD4" w:rsidR="006464A8" w:rsidRPr="006464A8" w:rsidRDefault="006464A8" w:rsidP="00F65317">
      <w:pPr>
        <w:pStyle w:val="Prrafodelista"/>
        <w:numPr>
          <w:ilvl w:val="0"/>
          <w:numId w:val="31"/>
        </w:numPr>
        <w:rPr>
          <w:lang w:val="es-419" w:eastAsia="es-CO"/>
        </w:rPr>
      </w:pPr>
      <w:r w:rsidRPr="006464A8">
        <w:rPr>
          <w:b/>
          <w:bCs/>
          <w:lang w:val="es-419" w:eastAsia="es-CO"/>
        </w:rPr>
        <w:t>Conciliar nómina y PILA:</w:t>
      </w:r>
      <w:r w:rsidRPr="006464A8">
        <w:rPr>
          <w:lang w:val="es-419" w:eastAsia="es-CO"/>
        </w:rPr>
        <w:t xml:space="preserve"> comprobar que los aportes liquidados en nómina coincidan con los valores pagados en la planilla. </w:t>
      </w:r>
    </w:p>
    <w:p w14:paraId="7100B106" w14:textId="7739507E" w:rsidR="006464A8" w:rsidRPr="006464A8" w:rsidRDefault="006464A8" w:rsidP="00F65317">
      <w:pPr>
        <w:pStyle w:val="Prrafodelista"/>
        <w:numPr>
          <w:ilvl w:val="0"/>
          <w:numId w:val="31"/>
        </w:numPr>
        <w:rPr>
          <w:lang w:val="es-419" w:eastAsia="es-CO"/>
        </w:rPr>
      </w:pPr>
      <w:r w:rsidRPr="006464A8">
        <w:rPr>
          <w:b/>
          <w:bCs/>
          <w:lang w:val="es-419" w:eastAsia="es-CO"/>
        </w:rPr>
        <w:t>Separar gastos y retenciones:</w:t>
      </w:r>
      <w:r w:rsidRPr="006464A8">
        <w:rPr>
          <w:lang w:val="es-419" w:eastAsia="es-CO"/>
        </w:rPr>
        <w:t xml:space="preserve"> diferenciar los valores asumidos por el empleador de los aportes descontados al trabajador. </w:t>
      </w:r>
    </w:p>
    <w:p w14:paraId="42943495" w14:textId="060C794A" w:rsidR="006464A8" w:rsidRPr="006464A8" w:rsidRDefault="006464A8" w:rsidP="00F65317">
      <w:pPr>
        <w:pStyle w:val="Prrafodelista"/>
        <w:numPr>
          <w:ilvl w:val="0"/>
          <w:numId w:val="31"/>
        </w:numPr>
        <w:rPr>
          <w:lang w:val="es-419" w:eastAsia="es-CO"/>
        </w:rPr>
      </w:pPr>
      <w:r w:rsidRPr="006464A8">
        <w:rPr>
          <w:b/>
          <w:bCs/>
          <w:lang w:val="es-419" w:eastAsia="es-CO"/>
        </w:rPr>
        <w:t>Revisar compensaciones:</w:t>
      </w:r>
      <w:r w:rsidRPr="006464A8">
        <w:rPr>
          <w:lang w:val="es-419" w:eastAsia="es-CO"/>
        </w:rPr>
        <w:t xml:space="preserve"> verificar que las licencias, incapacidades o valores por recuperar cuenten con soporte de la entidad correspondiente. </w:t>
      </w:r>
    </w:p>
    <w:p w14:paraId="4AB20647" w14:textId="54BE7AD1" w:rsidR="006464A8" w:rsidRPr="006464A8" w:rsidRDefault="006464A8" w:rsidP="00F65317">
      <w:pPr>
        <w:pStyle w:val="Prrafodelista"/>
        <w:numPr>
          <w:ilvl w:val="0"/>
          <w:numId w:val="31"/>
        </w:numPr>
        <w:rPr>
          <w:lang w:val="es-419" w:eastAsia="es-CO"/>
        </w:rPr>
      </w:pPr>
      <w:r w:rsidRPr="006464A8">
        <w:rPr>
          <w:b/>
          <w:bCs/>
          <w:lang w:val="es-419" w:eastAsia="es-CO"/>
        </w:rPr>
        <w:t>Registrar obligaciones pendientes:</w:t>
      </w:r>
      <w:r w:rsidRPr="006464A8">
        <w:rPr>
          <w:lang w:val="es-419" w:eastAsia="es-CO"/>
        </w:rPr>
        <w:t xml:space="preserve"> reconocer como pasivo los aportes causados que aún no han sido pagados. </w:t>
      </w:r>
    </w:p>
    <w:p w14:paraId="2AA7BCF1" w14:textId="327DCEEF" w:rsidR="006464A8" w:rsidRPr="006464A8" w:rsidRDefault="006464A8" w:rsidP="00F65317">
      <w:pPr>
        <w:pStyle w:val="Prrafodelista"/>
        <w:numPr>
          <w:ilvl w:val="0"/>
          <w:numId w:val="31"/>
        </w:numPr>
        <w:rPr>
          <w:lang w:val="es-419" w:eastAsia="es-CO"/>
        </w:rPr>
      </w:pPr>
      <w:r w:rsidRPr="006464A8">
        <w:rPr>
          <w:b/>
          <w:bCs/>
          <w:lang w:val="es-419" w:eastAsia="es-CO"/>
        </w:rPr>
        <w:t>Conservar soportes contables:</w:t>
      </w:r>
      <w:r w:rsidRPr="006464A8">
        <w:rPr>
          <w:lang w:val="es-419" w:eastAsia="es-CO"/>
        </w:rPr>
        <w:t xml:space="preserve"> guardar nómina, comprobante de pago de la PILA, conciliaciones, incapacidades, licencias y documentos de respaldo. </w:t>
      </w:r>
    </w:p>
    <w:p w14:paraId="000839A7" w14:textId="77777777" w:rsidR="006464A8" w:rsidRPr="006464A8" w:rsidRDefault="006464A8" w:rsidP="006464A8">
      <w:pPr>
        <w:rPr>
          <w:lang w:val="es-419" w:eastAsia="es-CO"/>
        </w:rPr>
      </w:pPr>
      <w:r w:rsidRPr="006464A8">
        <w:rPr>
          <w:lang w:val="es-419" w:eastAsia="es-CO"/>
        </w:rPr>
        <w:t>Estas verificaciones permiten mantener trazabilidad entre la liquidación de nómina, la planilla pagada y los registros contables. Además, facilitan la atención de auditorías internas, revisiones financieras o requerimientos de entidades de control.</w:t>
      </w:r>
    </w:p>
    <w:p w14:paraId="20A8D6EE" w14:textId="09F1108E" w:rsidR="006D6CEB" w:rsidRDefault="006464A8" w:rsidP="006464A8">
      <w:pPr>
        <w:rPr>
          <w:lang w:val="es-419" w:eastAsia="es-CO"/>
        </w:rPr>
      </w:pPr>
      <w:r w:rsidRPr="006464A8">
        <w:rPr>
          <w:lang w:val="es-419" w:eastAsia="es-CO"/>
        </w:rPr>
        <w:t xml:space="preserve">El dominio del IBC, los regímenes de cotización, la PILA y el registro contable adquiere sentido cuando se aplica a situaciones laborales concretas. Por ello, el </w:t>
      </w:r>
      <w:r w:rsidRPr="006464A8">
        <w:rPr>
          <w:lang w:val="es-419" w:eastAsia="es-CO"/>
        </w:rPr>
        <w:lastRenderedPageBreak/>
        <w:t>siguiente apartado presenta casos prácticos de liquidación, en los que se integran el cálculo de aportes, el registro de novedades, la selección de planilla y la validación de la información antes del pago.</w:t>
      </w:r>
    </w:p>
    <w:p w14:paraId="0014BB2E" w14:textId="77777777" w:rsidR="006D6CEB" w:rsidRDefault="006D6CEB">
      <w:pPr>
        <w:spacing w:before="0" w:after="160" w:line="259" w:lineRule="auto"/>
        <w:ind w:firstLine="0"/>
        <w:rPr>
          <w:lang w:val="es-419" w:eastAsia="es-CO"/>
        </w:rPr>
      </w:pPr>
      <w:r>
        <w:rPr>
          <w:lang w:val="es-419" w:eastAsia="es-CO"/>
        </w:rPr>
        <w:br w:type="page"/>
      </w:r>
    </w:p>
    <w:p w14:paraId="7AEAD678" w14:textId="32D15BD2" w:rsidR="00E23A14" w:rsidRDefault="00E23A14" w:rsidP="00E23A14">
      <w:pPr>
        <w:pStyle w:val="Ttulo1"/>
      </w:pPr>
      <w:bookmarkStart w:id="20" w:name="_Toc235611021"/>
      <w:r w:rsidRPr="00E23A14">
        <w:lastRenderedPageBreak/>
        <w:t>Casos prácticos de liquidación en la PILA</w:t>
      </w:r>
      <w:bookmarkEnd w:id="20"/>
    </w:p>
    <w:p w14:paraId="467D47EA" w14:textId="5B3E1F10" w:rsidR="006464A8" w:rsidRPr="006464A8" w:rsidRDefault="006464A8" w:rsidP="006464A8">
      <w:pPr>
        <w:rPr>
          <w:lang w:val="es-419" w:eastAsia="es-CO"/>
        </w:rPr>
      </w:pPr>
      <w:r w:rsidRPr="006464A8">
        <w:rPr>
          <w:lang w:val="es-419" w:eastAsia="es-CO"/>
        </w:rPr>
        <w:t>Los casos prácticos que se presentan a continuación integran todos los conceptos desarrollados en este componente formativo</w:t>
      </w:r>
      <w:r w:rsidR="00C70197">
        <w:rPr>
          <w:lang w:val="es-419" w:eastAsia="es-CO"/>
        </w:rPr>
        <w:t>:</w:t>
      </w:r>
      <w:r w:rsidRPr="006464A8">
        <w:rPr>
          <w:lang w:val="es-419" w:eastAsia="es-CO"/>
        </w:rPr>
        <w:t xml:space="preserve"> el IBC, porcentajes, novedades, tipos de planilla y plazos, en situaciones laborales completas que el profesional de nómina puede encontrar en su práctica diaria. Cada caso está diseñado para ilustrar una combinación específica de variables que afectan la liquidación y para mostrar el proceso paso a paso que debe seguirse para llegar a una planilla correcta y completa. </w:t>
      </w:r>
    </w:p>
    <w:p w14:paraId="4F3CB027" w14:textId="77777777" w:rsidR="006464A8" w:rsidRPr="006464A8" w:rsidRDefault="006464A8" w:rsidP="006464A8">
      <w:pPr>
        <w:rPr>
          <w:lang w:val="es-419" w:eastAsia="es-CO"/>
        </w:rPr>
      </w:pPr>
      <w:r w:rsidRPr="006464A8">
        <w:rPr>
          <w:lang w:val="es-419" w:eastAsia="es-CO"/>
        </w:rPr>
        <w:t>La resolución de cada caso sigue una secuencia metodológica estructurada que permite abordar con precisión cualquier situación de liquidación, incluso aquellas que combinan múltiples variables de forma simultánea. Los pasos que la conforman son:</w:t>
      </w:r>
    </w:p>
    <w:p w14:paraId="663EA155" w14:textId="039BBB9B" w:rsidR="006464A8" w:rsidRPr="006D6CEB" w:rsidRDefault="006464A8" w:rsidP="00F65317">
      <w:pPr>
        <w:pStyle w:val="Prrafodelista"/>
        <w:numPr>
          <w:ilvl w:val="0"/>
          <w:numId w:val="32"/>
        </w:numPr>
        <w:rPr>
          <w:lang w:val="es-419" w:eastAsia="es-CO"/>
        </w:rPr>
      </w:pPr>
      <w:r w:rsidRPr="006D6CEB">
        <w:rPr>
          <w:b/>
          <w:bCs/>
          <w:lang w:val="es-419" w:eastAsia="es-CO"/>
        </w:rPr>
        <w:t>Identificar el tipo de vinculación y el régimen de cotización aplicable:</w:t>
      </w:r>
      <w:r w:rsidRPr="006D6CEB">
        <w:rPr>
          <w:lang w:val="es-419" w:eastAsia="es-CO"/>
        </w:rPr>
        <w:t xml:space="preserve"> determinar si el cotizante es trabajador dependiente, contratista independiente o aprendiz, y establecer los porcentajes correspondientes a salud, pensión y riesgos laborales.</w:t>
      </w:r>
    </w:p>
    <w:p w14:paraId="0BC01991" w14:textId="0AE6894B" w:rsidR="006464A8" w:rsidRPr="006D6CEB" w:rsidRDefault="006464A8" w:rsidP="00F65317">
      <w:pPr>
        <w:pStyle w:val="Prrafodelista"/>
        <w:numPr>
          <w:ilvl w:val="0"/>
          <w:numId w:val="32"/>
        </w:numPr>
        <w:rPr>
          <w:lang w:val="es-419" w:eastAsia="es-CO"/>
        </w:rPr>
      </w:pPr>
      <w:r w:rsidRPr="006D6CEB">
        <w:rPr>
          <w:b/>
          <w:bCs/>
          <w:lang w:val="es-419" w:eastAsia="es-CO"/>
        </w:rPr>
        <w:t>Determinar el IBC del período con sus particularidades:</w:t>
      </w:r>
      <w:r w:rsidRPr="006D6CEB">
        <w:rPr>
          <w:lang w:val="es-419" w:eastAsia="es-CO"/>
        </w:rPr>
        <w:t xml:space="preserve"> aplicar el método de cálculo según el tipo de remuneración, el número de días cotizados y las novedades que afectan el salario del período.</w:t>
      </w:r>
    </w:p>
    <w:p w14:paraId="63A1816D" w14:textId="011869DD" w:rsidR="006464A8" w:rsidRPr="006D6CEB" w:rsidRDefault="006464A8" w:rsidP="00F65317">
      <w:pPr>
        <w:pStyle w:val="Prrafodelista"/>
        <w:numPr>
          <w:ilvl w:val="0"/>
          <w:numId w:val="32"/>
        </w:numPr>
        <w:rPr>
          <w:lang w:val="es-419" w:eastAsia="es-CO"/>
        </w:rPr>
      </w:pPr>
      <w:r w:rsidRPr="006D6CEB">
        <w:rPr>
          <w:b/>
          <w:bCs/>
          <w:lang w:val="es-419" w:eastAsia="es-CO"/>
        </w:rPr>
        <w:t>Identificar las novedades y sus códigos en la PILA:</w:t>
      </w:r>
      <w:r w:rsidRPr="006D6CEB">
        <w:rPr>
          <w:lang w:val="es-419" w:eastAsia="es-CO"/>
        </w:rPr>
        <w:t xml:space="preserve"> reconocer las novedades presentes en el período, como ingresos, retiros, incapacidades o licencias, y asignar el código correcto para cada una en la planilla.</w:t>
      </w:r>
    </w:p>
    <w:p w14:paraId="45EF23D0" w14:textId="32FFD8EA" w:rsidR="006464A8" w:rsidRPr="006D6CEB" w:rsidRDefault="006464A8" w:rsidP="00F65317">
      <w:pPr>
        <w:pStyle w:val="Prrafodelista"/>
        <w:numPr>
          <w:ilvl w:val="0"/>
          <w:numId w:val="32"/>
        </w:numPr>
        <w:rPr>
          <w:lang w:val="es-419" w:eastAsia="es-CO"/>
        </w:rPr>
      </w:pPr>
      <w:r w:rsidRPr="006D6CEB">
        <w:rPr>
          <w:b/>
          <w:bCs/>
          <w:lang w:val="es-419" w:eastAsia="es-CO"/>
        </w:rPr>
        <w:t>Calcular los aportes y verificar el total liquidado:</w:t>
      </w:r>
      <w:r w:rsidRPr="006D6CEB">
        <w:rPr>
          <w:lang w:val="es-419" w:eastAsia="es-CO"/>
        </w:rPr>
        <w:t xml:space="preserve"> determinar el valor de los aportes a cada componente del sistema y confirmar que el total calculado en el sistema de nómina coincide con el generado por el operador de la PILA antes de realizar el pago.</w:t>
      </w:r>
    </w:p>
    <w:p w14:paraId="023DCE04" w14:textId="77777777" w:rsidR="006464A8" w:rsidRPr="006464A8" w:rsidRDefault="006464A8" w:rsidP="006464A8">
      <w:pPr>
        <w:rPr>
          <w:lang w:val="es-419" w:eastAsia="es-CO"/>
        </w:rPr>
      </w:pPr>
      <w:r w:rsidRPr="006464A8">
        <w:rPr>
          <w:lang w:val="es-419" w:eastAsia="es-CO"/>
        </w:rPr>
        <w:lastRenderedPageBreak/>
        <w:t>La aplicación sistemática de esta secuencia en cada período de liquidación reduce significativamente el riesgo de errores en la PILA, garantiza que los aportes de cada cotizante lleguen con exactitud a las entidades del sistema y protege a la organización frente a posibles investigaciones de la Unidad de Gestión Pensional y Parafiscal (UGPP). El profesional que interioriza y aplica estos cuatro pasos de manera habitual desarrolla una competencia técnica que le permite enfrentar con confianza, en cualquier situación de liquidación, independientemente de la complejidad de la estructura de contratación de la organización.</w:t>
      </w:r>
    </w:p>
    <w:p w14:paraId="18150EB3" w14:textId="59466DAD" w:rsidR="006464A8" w:rsidRPr="006464A8" w:rsidRDefault="006464A8" w:rsidP="006464A8">
      <w:pPr>
        <w:rPr>
          <w:lang w:val="es-419" w:eastAsia="es-CO"/>
        </w:rPr>
      </w:pPr>
      <w:r w:rsidRPr="006464A8">
        <w:rPr>
          <w:lang w:val="es-419" w:eastAsia="es-CO"/>
        </w:rPr>
        <w:t>Los cuatro casos que se presentan a continuación ilustran las situaciones de liquidación más frecuentes en la práctica profesional</w:t>
      </w:r>
      <w:r w:rsidR="00C70197">
        <w:rPr>
          <w:lang w:val="es-419" w:eastAsia="es-CO"/>
        </w:rPr>
        <w:t>:</w:t>
      </w:r>
      <w:r w:rsidRPr="006464A8">
        <w:rPr>
          <w:lang w:val="es-419" w:eastAsia="es-CO"/>
        </w:rPr>
        <w:t xml:space="preserve"> una empresa con trabajadores dependientes de diferente tipo de remuneración, novedades de incapacidad y licencia de maternidad, contratistas independientes con contratos de distinto valor y duración, y la corrección de una planilla con IBC </w:t>
      </w:r>
      <w:proofErr w:type="spellStart"/>
      <w:r w:rsidRPr="006464A8">
        <w:rPr>
          <w:lang w:val="es-419" w:eastAsia="es-CO"/>
        </w:rPr>
        <w:t>subdeclarado</w:t>
      </w:r>
      <w:proofErr w:type="spellEnd"/>
      <w:r w:rsidRPr="006464A8">
        <w:rPr>
          <w:lang w:val="es-419" w:eastAsia="es-CO"/>
        </w:rPr>
        <w:t>. Cada caso integra los conceptos desarrollados en este componente formativo y muestra el proceso de cálculo paso a paso, desde la determinación del IBC hasta la transmisión de la planilla y el pago oportuno de los aportes al sistema.</w:t>
      </w:r>
    </w:p>
    <w:p w14:paraId="40851844" w14:textId="77777777" w:rsidR="006464A8" w:rsidRPr="006464A8" w:rsidRDefault="006464A8" w:rsidP="006464A8">
      <w:pPr>
        <w:rPr>
          <w:b/>
          <w:bCs/>
          <w:lang w:val="es-419" w:eastAsia="es-CO"/>
        </w:rPr>
      </w:pPr>
      <w:r w:rsidRPr="006464A8">
        <w:rPr>
          <w:b/>
          <w:bCs/>
          <w:lang w:val="es-419" w:eastAsia="es-CO"/>
        </w:rPr>
        <w:t>Caso 1: empresa con trabajadores dependientes</w:t>
      </w:r>
    </w:p>
    <w:p w14:paraId="4D00BBF3" w14:textId="77777777" w:rsidR="006464A8" w:rsidRPr="006464A8" w:rsidRDefault="006464A8" w:rsidP="006464A8">
      <w:pPr>
        <w:rPr>
          <w:lang w:val="es-419" w:eastAsia="es-CO"/>
        </w:rPr>
      </w:pPr>
      <w:r w:rsidRPr="006464A8">
        <w:rPr>
          <w:lang w:val="es-419" w:eastAsia="es-CO"/>
        </w:rPr>
        <w:t xml:space="preserve">La empresa El Progreso S.A.S., con NIT terminado en 5, liquida los aportes de octubre de 2024 con tres trabajadores de diferentes tipos de remuneración. Pedro Gómez, auxiliar administrativo con salario fijo de $1.800.000, tiene un IBC igual a su salario. María López, vendedora con salario variable, tiene un IBC de $2.067.000, calculado como promedio de los tres meses anteriores: julio $2.200.000, agosto $1.900.000 y septiembre $2.100.000. Carlos Rueda, mensajero con salario mínimo de $1.300.000, tiene ese mismo valor como IBC; el auxilio de transporte de $162.000 se </w:t>
      </w:r>
      <w:r w:rsidRPr="006464A8">
        <w:rPr>
          <w:lang w:val="es-419" w:eastAsia="es-CO"/>
        </w:rPr>
        <w:lastRenderedPageBreak/>
        <w:t>excluye. La nómina total de $5.200.000 equivale a 4 SMLMV: la empresa está exonerada del SENA e ICBF y paga únicamente la Caja de Compensación Familiar ($208.000). La fecha límite de pago es el 19 de noviembre de 2024.</w:t>
      </w:r>
    </w:p>
    <w:p w14:paraId="30372B8D" w14:textId="77777777" w:rsidR="006464A8" w:rsidRPr="006464A8" w:rsidRDefault="006464A8" w:rsidP="006464A8">
      <w:pPr>
        <w:rPr>
          <w:b/>
          <w:bCs/>
          <w:lang w:val="es-419" w:eastAsia="es-CO"/>
        </w:rPr>
      </w:pPr>
      <w:r w:rsidRPr="006464A8">
        <w:rPr>
          <w:b/>
          <w:bCs/>
          <w:lang w:val="es-419" w:eastAsia="es-CO"/>
        </w:rPr>
        <w:t>Caso 2: incapacidad y licencia de maternidad</w:t>
      </w:r>
    </w:p>
    <w:p w14:paraId="4F8E84A2" w14:textId="77777777" w:rsidR="006464A8" w:rsidRPr="006464A8" w:rsidRDefault="006464A8" w:rsidP="006464A8">
      <w:pPr>
        <w:rPr>
          <w:lang w:val="es-419" w:eastAsia="es-CO"/>
        </w:rPr>
      </w:pPr>
      <w:r w:rsidRPr="006464A8">
        <w:rPr>
          <w:lang w:val="es-419" w:eastAsia="es-CO"/>
        </w:rPr>
        <w:t>La empresa Distribuciones del Centro Ltda. presenta dos novedades en noviembre de 2024 que requieren un tratamiento diferenciado en la PILA. Alejandra Castro (salario $3.500.000) inicia licencia de maternidad el 1 de noviembre: los aportes a pensión y ARL continúan sobre el IBC de $3.500.000; la cotización a salud no se paga en la PILA porque la EPS la asume directamente. Se reporta la novedad LAM. Rodrigo Peña (salario $2.000.000) presenta incapacidad del 10 al 25 de noviembre (16 días): los dos primeros días los asume el empleador al 100 % del IBC diario ($66.667 × 2 = $133.333); los 14 días restantes los asume la EPS al 66,67 % del IBC diario ($44.445 × 14 = $622.222). Se reporta la novedad ING. Los IBC para salud y para pensión y ARL deben reportarse por separado en la PILA.</w:t>
      </w:r>
    </w:p>
    <w:p w14:paraId="29830E79" w14:textId="77777777" w:rsidR="006464A8" w:rsidRPr="006464A8" w:rsidRDefault="006464A8" w:rsidP="006464A8">
      <w:pPr>
        <w:rPr>
          <w:b/>
          <w:bCs/>
          <w:lang w:val="es-419" w:eastAsia="es-CO"/>
        </w:rPr>
      </w:pPr>
      <w:r w:rsidRPr="006464A8">
        <w:rPr>
          <w:b/>
          <w:bCs/>
          <w:lang w:val="es-419" w:eastAsia="es-CO"/>
        </w:rPr>
        <w:t>Caso 3: contratistas independientes</w:t>
      </w:r>
    </w:p>
    <w:p w14:paraId="23CF06B5" w14:textId="77777777" w:rsidR="006464A8" w:rsidRPr="006464A8" w:rsidRDefault="006464A8" w:rsidP="006464A8">
      <w:pPr>
        <w:rPr>
          <w:lang w:val="es-419" w:eastAsia="es-CO"/>
        </w:rPr>
      </w:pPr>
      <w:r w:rsidRPr="006464A8">
        <w:rPr>
          <w:lang w:val="es-419" w:eastAsia="es-CO"/>
        </w:rPr>
        <w:t xml:space="preserve">La empresa Consultores Asociados S.A.S. verifica los aportes de tres contratistas activos en octubre de 2024 antes de cancelar sus honorarios. Andrés Morales tiene un contrato por $6.000.000 a tres meses: el valor mensualizado es $2.000.000 y el 40 % es $800.000, que resulta inferior al SMLMV; por tanto, el IBC definitivo es $1.300.000. Lucía Fernández tiene un contrato mensual de $4.500.000: el 40 % es $1.800.000, que supera el SMLMV y se aplica como IBC. Felipe Ríos tiene un contrato de un mes por $1.000.000: el 40 % es $400.000, inferior al SMLMV; el IBC definitivo es $1.300.000. Los tres contratistas asumen el 100 % de sus aportes mediante planilla tipo T. La empresa </w:t>
      </w:r>
      <w:r w:rsidRPr="006464A8">
        <w:rPr>
          <w:lang w:val="es-419" w:eastAsia="es-CO"/>
        </w:rPr>
        <w:lastRenderedPageBreak/>
        <w:t>verifica el comprobante de pago de la PILA antes de realizar cada desembolso de honorarios, protegiendo su responsabilidad solidaria ante la UGPP.</w:t>
      </w:r>
    </w:p>
    <w:p w14:paraId="584123EC" w14:textId="77777777" w:rsidR="006464A8" w:rsidRPr="006464A8" w:rsidRDefault="006464A8" w:rsidP="006464A8">
      <w:pPr>
        <w:rPr>
          <w:b/>
          <w:bCs/>
          <w:lang w:val="es-419" w:eastAsia="es-CO"/>
        </w:rPr>
      </w:pPr>
      <w:r w:rsidRPr="006464A8">
        <w:rPr>
          <w:b/>
          <w:bCs/>
          <w:lang w:val="es-419" w:eastAsia="es-CO"/>
        </w:rPr>
        <w:t>Caso 4: corrección de la planilla</w:t>
      </w:r>
    </w:p>
    <w:p w14:paraId="560BEA3A" w14:textId="77777777" w:rsidR="006464A8" w:rsidRPr="006464A8" w:rsidRDefault="006464A8" w:rsidP="006464A8">
      <w:pPr>
        <w:rPr>
          <w:lang w:val="es-419" w:eastAsia="es-CO"/>
        </w:rPr>
      </w:pPr>
      <w:r w:rsidRPr="006464A8">
        <w:rPr>
          <w:lang w:val="es-419" w:eastAsia="es-CO"/>
        </w:rPr>
        <w:t xml:space="preserve">La empresa Manufacturas del Tolima S.A.S. detecta en diciembre de 2024 que declaró el IBC de Sandra Cifuentes sobre $1.800.000 en agosto, septiembre y octubre, cuando el salario real era de $2.200.000 desde agosto, tras un incremento que no fue reportado como novedad VSP. La diferencia de $400.000 mensual generó aportes </w:t>
      </w:r>
      <w:proofErr w:type="spellStart"/>
      <w:r w:rsidRPr="006464A8">
        <w:rPr>
          <w:lang w:val="es-419" w:eastAsia="es-CO"/>
        </w:rPr>
        <w:t>subdeclarados</w:t>
      </w:r>
      <w:proofErr w:type="spellEnd"/>
      <w:r w:rsidRPr="006464A8">
        <w:rPr>
          <w:lang w:val="es-419" w:eastAsia="es-CO"/>
        </w:rPr>
        <w:t xml:space="preserve"> en salud, pensión y ARL durante tres períodos consecutivos. El total </w:t>
      </w:r>
      <w:proofErr w:type="spellStart"/>
      <w:r w:rsidRPr="006464A8">
        <w:rPr>
          <w:lang w:val="es-419" w:eastAsia="es-CO"/>
        </w:rPr>
        <w:t>subdeclarado</w:t>
      </w:r>
      <w:proofErr w:type="spellEnd"/>
      <w:r w:rsidRPr="006464A8">
        <w:rPr>
          <w:lang w:val="es-419" w:eastAsia="es-CO"/>
        </w:rPr>
        <w:t xml:space="preserve"> asciende aproximadamente a $342.000 sin ARL, más los intereses moratorios calculados desde el vencimiento de cada planilla original. Para corregir la situación, la empresa tramita las planillas tipo A ante el operador de la PILA para los tres períodos afectados, reportando el IBC correcto de $2.200.000 para Sandra. El operador calcula las diferencias y genera los valores adicionales a pagar. La detección oportuna del error reduce significativamente el costo total de la corrección.</w:t>
      </w:r>
    </w:p>
    <w:p w14:paraId="170E67A3" w14:textId="77777777" w:rsidR="006464A8" w:rsidRPr="006464A8" w:rsidRDefault="006464A8" w:rsidP="006464A8">
      <w:pPr>
        <w:rPr>
          <w:lang w:val="es-419" w:eastAsia="es-CO"/>
        </w:rPr>
      </w:pPr>
      <w:r w:rsidRPr="006464A8">
        <w:rPr>
          <w:lang w:val="es-419" w:eastAsia="es-CO"/>
        </w:rPr>
        <w:t>El análisis conjunto de los cuatro casos permite cerrar la sección con una síntesis de los errores más frecuentes en la práctica profesional y que concentran la mayoría de las investigaciones de la UGPP, junto con las estrategias de control que permiten prevenirlos de manera sistemática.</w:t>
      </w:r>
    </w:p>
    <w:p w14:paraId="1EAA90B7" w14:textId="77777777" w:rsidR="006464A8" w:rsidRPr="006464A8" w:rsidRDefault="006464A8" w:rsidP="006464A8">
      <w:pPr>
        <w:rPr>
          <w:b/>
          <w:bCs/>
          <w:lang w:val="es-419" w:eastAsia="es-CO"/>
        </w:rPr>
      </w:pPr>
      <w:r w:rsidRPr="006464A8">
        <w:rPr>
          <w:b/>
          <w:bCs/>
          <w:lang w:val="es-419" w:eastAsia="es-CO"/>
        </w:rPr>
        <w:t xml:space="preserve">Síntesis de los casos prácticos y errores frecuentes </w:t>
      </w:r>
    </w:p>
    <w:p w14:paraId="107E6E50" w14:textId="69CC2744" w:rsidR="006464A8" w:rsidRPr="006464A8" w:rsidRDefault="006464A8" w:rsidP="006464A8">
      <w:pPr>
        <w:rPr>
          <w:lang w:val="es-419" w:eastAsia="es-CO"/>
        </w:rPr>
      </w:pPr>
      <w:r w:rsidRPr="006464A8">
        <w:rPr>
          <w:lang w:val="es-419" w:eastAsia="es-CO"/>
        </w:rPr>
        <w:t xml:space="preserve">El análisis de los casos prácticos presentados permite identificar los errores más frecuentes que cometen los profesionales en el proceso de liquidación de la seguridad social y que, de manera acumulada, representan la mayoría de las investigaciones de la UGPP. El primer error frecuente es la omisión de trabajadores en la PILA, ya sea por </w:t>
      </w:r>
      <w:r w:rsidRPr="006464A8">
        <w:rPr>
          <w:lang w:val="es-419" w:eastAsia="es-CO"/>
        </w:rPr>
        <w:lastRenderedPageBreak/>
        <w:t>descuido, por sistemas de nómina mal configurados o por la incorporación tardía de nuevos empleados al sistema</w:t>
      </w:r>
      <w:r w:rsidR="00C70197">
        <w:rPr>
          <w:lang w:val="es-419" w:eastAsia="es-CO"/>
        </w:rPr>
        <w:t>.</w:t>
      </w:r>
      <w:r w:rsidRPr="006464A8">
        <w:rPr>
          <w:lang w:val="es-419" w:eastAsia="es-CO"/>
        </w:rPr>
        <w:t xml:space="preserve"> </w:t>
      </w:r>
      <w:r w:rsidR="00C70197">
        <w:rPr>
          <w:lang w:val="es-419" w:eastAsia="es-CO"/>
        </w:rPr>
        <w:t>L</w:t>
      </w:r>
      <w:r w:rsidRPr="006464A8">
        <w:rPr>
          <w:lang w:val="es-419" w:eastAsia="es-CO"/>
        </w:rPr>
        <w:t>a omisión de un trabajador en la planilla es una de las infracciones que la UGPP detecta con mayor facilidad al cruzar los registros laborales con los aportes reportados.</w:t>
      </w:r>
    </w:p>
    <w:p w14:paraId="78803BA4" w14:textId="36C80F3E" w:rsidR="006464A8" w:rsidRPr="006464A8" w:rsidRDefault="006464A8" w:rsidP="006464A8">
      <w:pPr>
        <w:rPr>
          <w:lang w:val="es-419" w:eastAsia="es-CO"/>
        </w:rPr>
      </w:pPr>
      <w:r w:rsidRPr="006464A8">
        <w:rPr>
          <w:lang w:val="es-419" w:eastAsia="es-CO"/>
        </w:rPr>
        <w:t xml:space="preserve">El segundo error frecuente es la </w:t>
      </w:r>
      <w:proofErr w:type="spellStart"/>
      <w:r w:rsidRPr="006464A8">
        <w:rPr>
          <w:lang w:val="es-419" w:eastAsia="es-CO"/>
        </w:rPr>
        <w:t>subdeclaración</w:t>
      </w:r>
      <w:proofErr w:type="spellEnd"/>
      <w:r w:rsidRPr="006464A8">
        <w:rPr>
          <w:lang w:val="es-419" w:eastAsia="es-CO"/>
        </w:rPr>
        <w:t xml:space="preserve"> del IBC, que puede producirse por incluir conceptos no salariales en la base de cotización, lo que resulta en sobrepago</w:t>
      </w:r>
      <w:r w:rsidR="00453268">
        <w:rPr>
          <w:lang w:val="es-419" w:eastAsia="es-CO"/>
        </w:rPr>
        <w:t>;</w:t>
      </w:r>
      <w:r w:rsidRPr="006464A8">
        <w:rPr>
          <w:lang w:val="es-419" w:eastAsia="es-CO"/>
        </w:rPr>
        <w:t xml:space="preserve"> más frecuentemente, por excluir conceptos salariales, lo que resulta en </w:t>
      </w:r>
      <w:proofErr w:type="spellStart"/>
      <w:r w:rsidRPr="006464A8">
        <w:rPr>
          <w:lang w:val="es-419" w:eastAsia="es-CO"/>
        </w:rPr>
        <w:t>subdeclaración</w:t>
      </w:r>
      <w:proofErr w:type="spellEnd"/>
      <w:r w:rsidRPr="006464A8">
        <w:rPr>
          <w:lang w:val="es-419" w:eastAsia="es-CO"/>
        </w:rPr>
        <w:t xml:space="preserve">. La incorrecta clasificación de las horas extras habituales como no salariales, la omisión de comisiones recurrentes en el IBC o el no reporte de incrementos salariales como novedades VSP son las causas más comunes de </w:t>
      </w:r>
      <w:proofErr w:type="spellStart"/>
      <w:r w:rsidRPr="006464A8">
        <w:rPr>
          <w:lang w:val="es-419" w:eastAsia="es-CO"/>
        </w:rPr>
        <w:t>subdeclaración</w:t>
      </w:r>
      <w:proofErr w:type="spellEnd"/>
      <w:r w:rsidRPr="006464A8">
        <w:rPr>
          <w:lang w:val="es-419" w:eastAsia="es-CO"/>
        </w:rPr>
        <w:t xml:space="preserve"> que la UGPP investiga y sanciona. Una revisión semestral de la coherencia entre los conceptos salariales pagados y el IBC reportado en la PILA es una práctica preventiva altamente recomendable.</w:t>
      </w:r>
    </w:p>
    <w:p w14:paraId="6A7CEEEC" w14:textId="22E6B97C" w:rsidR="006464A8" w:rsidRPr="006464A8" w:rsidRDefault="006464A8" w:rsidP="006464A8">
      <w:pPr>
        <w:rPr>
          <w:lang w:val="es-419" w:eastAsia="es-CO"/>
        </w:rPr>
      </w:pPr>
      <w:r w:rsidRPr="006464A8">
        <w:rPr>
          <w:lang w:val="es-419" w:eastAsia="es-CO"/>
        </w:rPr>
        <w:t>El tercer error frecuente es el manejo incorrecto de las novedades, especialmente las de incapacidad y licencia. Confundir los días a cargo del empleador con los días a cargo de la EPS en las incapacidades por enfermedad común, no reportar la novedad ING cuando corresponde o no segregar correctamente el IBC para salud del IBC para pensión y ARL durante los períodos de novedad, son errores que afectan tanto al empleador</w:t>
      </w:r>
      <w:r w:rsidR="00453268">
        <w:rPr>
          <w:lang w:val="es-419" w:eastAsia="es-CO"/>
        </w:rPr>
        <w:t>,</w:t>
      </w:r>
      <w:r w:rsidRPr="006464A8">
        <w:rPr>
          <w:lang w:val="es-419" w:eastAsia="es-CO"/>
        </w:rPr>
        <w:t xml:space="preserve"> que puede pagar valores incorrectos, como al trabajador, cuyo historial de cotizaciones puede quedar incompleto o incorrecto. El dominio técnico de las novedades y sus códigos en la PILA es una competencia central que diferencia al profesional experto del operador de nómina básico.</w:t>
      </w:r>
    </w:p>
    <w:p w14:paraId="61760B31" w14:textId="7EC655D1" w:rsidR="00831C29" w:rsidRDefault="006464A8" w:rsidP="00831C29">
      <w:r w:rsidRPr="006464A8">
        <w:rPr>
          <w:lang w:val="es-419" w:eastAsia="es-CO"/>
        </w:rPr>
        <w:t xml:space="preserve">Finalmente, el cuarto error frecuente es el pago tardío de la PILA. Los intereses moratorios que genera el pago fuera de plazo pueden parecer menores en el corto </w:t>
      </w:r>
      <w:r w:rsidRPr="006464A8">
        <w:rPr>
          <w:lang w:val="es-419" w:eastAsia="es-CO"/>
        </w:rPr>
        <w:lastRenderedPageBreak/>
        <w:t>plazo, pero se acumulan y pueden representar un costo significativo a lo largo del año. Además, el historial de pagos tardíos es un indicador de riesgo para la UGPP, que puede priorizar las empresas con incumplimientos frecuentes para sus procesos de fiscalización. La implementación de un calendario de vencimientos, la automatización del proceso de pago mediante débito automático y la definición clara de responsabilidades internas son las medidas más eficaces para garantizar el pago oportuno de la PILA en todas las situaciones, incluso en los meses con festivos o cierres de período simultáneos.</w:t>
      </w:r>
    </w:p>
    <w:p w14:paraId="427B7F23" w14:textId="44611825" w:rsidR="00EE4C61" w:rsidRPr="00D9781F" w:rsidRDefault="00EE4C61" w:rsidP="003574CB">
      <w:pPr>
        <w:pStyle w:val="Titulosgenerales"/>
        <w:ind w:left="-360"/>
        <w:rPr>
          <w:u w:val="single"/>
        </w:rPr>
      </w:pPr>
      <w:bookmarkStart w:id="21" w:name="_Toc235611022"/>
      <w:r w:rsidRPr="57EB970B">
        <w:lastRenderedPageBreak/>
        <w:t>Síntesis</w:t>
      </w:r>
      <w:bookmarkEnd w:id="21"/>
      <w:r w:rsidRPr="57EB970B">
        <w:t xml:space="preserve"> </w:t>
      </w:r>
    </w:p>
    <w:p w14:paraId="410C08EE" w14:textId="523866C3" w:rsidR="006464A8" w:rsidRDefault="006464A8" w:rsidP="00B73C80">
      <w:pPr>
        <w:rPr>
          <w:noProof/>
          <w:lang w:eastAsia="es-CO"/>
        </w:rPr>
      </w:pPr>
      <w:r w:rsidRPr="006464A8">
        <w:rPr>
          <w:noProof/>
          <w:lang w:eastAsia="es-CO"/>
        </w:rPr>
        <w:t>La liquidación y el registro de los aportes al Sistema de Seguridad Social Integral mediante la Planilla Integrada de Liquidación de Aportes (PILA) constituyen competencias técnicas esenciales para la gestión de la nómina y el cumplimiento de las obligaciones laborales en el contexto colombiano. A lo largo de los contenidos se analizan el Ingreso Base de Cotización (IBC), los regímenes de afiliación y los porcentajes de cotización a salud, pensión y riesgos laborales, los aportes parafiscales, los tipos de planilla PILA, los plazos de pago, los mecanismos de corrección y el registro contable de los aportes, como elementos interrelacionados que determinan la precisión de cada liquidación y la protección de los derechos del trabajador. La comprensión y la aplicación de estos elementos permiten desarrollar habilidades para calcular el IBC, seleccionar el tipo de planilla correcto, gestionar las novedades de nómina y garantizar el cumplimiento normativo frente a las entidades del sistema. El mapa conceptual presenta, de manera visual, la organización de los contenidos y la relación entre sus ejes temáticos.</w:t>
      </w:r>
    </w:p>
    <w:p w14:paraId="58CB32A9" w14:textId="238D1824" w:rsidR="00C3113E" w:rsidRDefault="00C3113E" w:rsidP="00C3113E">
      <w:pPr>
        <w:ind w:firstLine="0"/>
        <w:rPr>
          <w:noProof/>
          <w:lang w:eastAsia="es-CO"/>
        </w:rPr>
      </w:pPr>
      <w:r w:rsidRPr="00C3113E">
        <w:rPr>
          <w:noProof/>
          <w:lang w:eastAsia="es-CO"/>
        </w:rPr>
        <w:lastRenderedPageBreak/>
        <w:drawing>
          <wp:inline distT="0" distB="0" distL="0" distR="0" wp14:anchorId="76E3F0C5" wp14:editId="209B7A6A">
            <wp:extent cx="6332220" cy="3367405"/>
            <wp:effectExtent l="0" t="0" r="0" b="4445"/>
            <wp:docPr id="1" name="Gráfico 1" descr="El mapa conceptual titulado &quot;Liquidación y registro en la Planilla Integrada de Seguridad Social (PILA)&quot; comprende cuatro ejes temáticos: el Ingreso Base de Cotización (IBC), con su cálculo y topes normativos; los regímenes de afiliación y los porcentajes de cotización al sistema; los tipos de planilla PILA, su elaboración y los plazos de pago; y los mecanismos de control, corrección y registro contable de los aportes, ejes que en conjunto integran los fundamentos técnicos y normativos para liquidar correctamente los aportes al Sistema de Seguridad Social Integral colombian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El mapa conceptual titulado &quot;Liquidación y registro en la Planilla Integrada de Seguridad Social (PILA)&quot; comprende cuatro ejes temáticos: el Ingreso Base de Cotización (IBC), con su cálculo y topes normativos; los regímenes de afiliación y los porcentajes de cotización al sistema; los tipos de planilla PILA, su elaboración y los plazos de pago; y los mecanismos de control, corrección y registro contable de los aportes, ejes que en conjunto integran los fundamentos técnicos y normativos para liquidar correctamente los aportes al Sistema de Seguridad Social Integral colombiano. "/>
                    <pic:cNvPicPr/>
                  </pic:nvPicPr>
                  <pic:blipFill>
                    <a:blip r:embed="rId15">
                      <a:extLst>
                        <a:ext uri="{96DAC541-7B7A-43D3-8B79-37D633B846F1}">
                          <asvg:svgBlip xmlns:asvg="http://schemas.microsoft.com/office/drawing/2016/SVG/main" r:embed="rId16"/>
                        </a:ext>
                      </a:extLst>
                    </a:blip>
                    <a:stretch>
                      <a:fillRect/>
                    </a:stretch>
                  </pic:blipFill>
                  <pic:spPr>
                    <a:xfrm>
                      <a:off x="0" y="0"/>
                      <a:ext cx="6332220" cy="3367405"/>
                    </a:xfrm>
                    <a:prstGeom prst="rect">
                      <a:avLst/>
                    </a:prstGeom>
                  </pic:spPr>
                </pic:pic>
              </a:graphicData>
            </a:graphic>
          </wp:inline>
        </w:drawing>
      </w:r>
    </w:p>
    <w:p w14:paraId="5D26D052" w14:textId="07B3F3D3" w:rsidR="00322D71" w:rsidRDefault="00322D71" w:rsidP="00322D71">
      <w:pPr>
        <w:ind w:firstLine="0"/>
        <w:rPr>
          <w:noProof/>
          <w:lang w:eastAsia="es-CO"/>
        </w:rPr>
      </w:pPr>
    </w:p>
    <w:p w14:paraId="429E6E20" w14:textId="59D3F8FF" w:rsidR="006D6CEB" w:rsidRDefault="006D6CEB" w:rsidP="006D6CEB">
      <w:pPr>
        <w:ind w:firstLine="0"/>
        <w:rPr>
          <w:noProof/>
          <w:lang w:eastAsia="es-CO"/>
        </w:rPr>
      </w:pPr>
    </w:p>
    <w:p w14:paraId="56B3F55F" w14:textId="2FE82F79" w:rsidR="006464A8" w:rsidRDefault="006464A8" w:rsidP="006464A8">
      <w:pPr>
        <w:jc w:val="center"/>
        <w:rPr>
          <w:noProof/>
          <w:lang w:eastAsia="es-CO"/>
        </w:rPr>
      </w:pPr>
    </w:p>
    <w:p w14:paraId="1C276251" w14:textId="30BD785F" w:rsidR="00F36C9D" w:rsidRPr="003758F7" w:rsidRDefault="00F36C9D" w:rsidP="003574CB">
      <w:pPr>
        <w:pStyle w:val="Titulosgenerales"/>
      </w:pPr>
      <w:bookmarkStart w:id="22" w:name="_Toc235611023"/>
      <w:r w:rsidRPr="003758F7">
        <w:lastRenderedPageBreak/>
        <w:t>Glosario</w:t>
      </w:r>
      <w:bookmarkEnd w:id="22"/>
    </w:p>
    <w:p w14:paraId="353D7605" w14:textId="77777777" w:rsidR="006464A8" w:rsidRDefault="006464A8" w:rsidP="006464A8">
      <w:r w:rsidRPr="006464A8">
        <w:rPr>
          <w:b/>
          <w:bCs/>
        </w:rPr>
        <w:t>Clase de riesgo del SGRL:</w:t>
      </w:r>
      <w:r>
        <w:t xml:space="preserve"> clasificación de la actividad económica de la empresa en cinco niveles según su peligrosidad. Determina la tarifa de cotización al Sistema General de Riesgos Laborales, que oscila entre 0,522 % (clase I — riesgo mínimo) y 6,960 % (clase V — riesgo máximo).</w:t>
      </w:r>
    </w:p>
    <w:p w14:paraId="29045289" w14:textId="77777777" w:rsidR="006464A8" w:rsidRDefault="006464A8" w:rsidP="006464A8">
      <w:r w:rsidRPr="006464A8">
        <w:rPr>
          <w:b/>
          <w:bCs/>
        </w:rPr>
        <w:t>Fondo de Solidaridad Pensional (FSP):</w:t>
      </w:r>
      <w:r>
        <w:t xml:space="preserve"> aporte adicional a cargo del trabajador destinado a subsidiar las pensiones de cotizantes de menores ingresos. Oscila entre el 1 % y el 2 % del IBC para trabajadores con IBC superior a 4 SMLMV.</w:t>
      </w:r>
    </w:p>
    <w:p w14:paraId="7B5FAAF2" w14:textId="61E40D14" w:rsidR="006464A8" w:rsidRDefault="006464A8" w:rsidP="006464A8">
      <w:r w:rsidRPr="006464A8">
        <w:rPr>
          <w:b/>
          <w:bCs/>
        </w:rPr>
        <w:t>Ingreso Base de Cotización (IBC):</w:t>
      </w:r>
      <w:r>
        <w:t xml:space="preserve"> valor mensual sobre el que se aplican los porcentajes de cotización al Sistema de Seguridad Social Integral. Para trabajadores dependientes</w:t>
      </w:r>
      <w:r w:rsidR="00453268">
        <w:t>,</w:t>
      </w:r>
      <w:r>
        <w:t xml:space="preserve"> equivale al salario devengado (mínimo 1 SMLMV, máximo 25 SMLMV); para independientes</w:t>
      </w:r>
      <w:r w:rsidR="00453268">
        <w:t>,</w:t>
      </w:r>
      <w:r>
        <w:t xml:space="preserve"> corresponde al 40 % del valor mensualizado del contrato.</w:t>
      </w:r>
    </w:p>
    <w:p w14:paraId="2228ED94" w14:textId="77777777" w:rsidR="006464A8" w:rsidRDefault="006464A8" w:rsidP="006464A8">
      <w:r w:rsidRPr="006464A8">
        <w:rPr>
          <w:b/>
          <w:bCs/>
        </w:rPr>
        <w:t>Operador de Información PILA (OI):</w:t>
      </w:r>
      <w:r>
        <w:t xml:space="preserve"> persona jurídica autorizada por el Ministerio de Salud y Protección Social para procesar las planillas, validar la información reportada por los aportantes, distribuir los recursos entre las entidades del sistema y generar los comprobantes de pago.</w:t>
      </w:r>
    </w:p>
    <w:p w14:paraId="00348ED9" w14:textId="77777777" w:rsidR="006464A8" w:rsidRDefault="006464A8" w:rsidP="006464A8">
      <w:r w:rsidRPr="006464A8">
        <w:rPr>
          <w:b/>
          <w:bCs/>
        </w:rPr>
        <w:t>Parafiscales:</w:t>
      </w:r>
      <w:r>
        <w:t xml:space="preserve"> aportes del empleador sobre el total de la nómina mensual destinados a la Caja de Compensación Familiar (4 %), el SENA (2 %) y el ICBF (3 %). Los aportes al SENA y al ICBF aplican únicamente para nóminas iguales o superiores a 10 SMLMV.</w:t>
      </w:r>
    </w:p>
    <w:p w14:paraId="1634FDCD" w14:textId="77777777" w:rsidR="006464A8" w:rsidRDefault="006464A8" w:rsidP="006464A8">
      <w:r w:rsidRPr="006464A8">
        <w:rPr>
          <w:b/>
          <w:bCs/>
        </w:rPr>
        <w:t>Planilla Integrada de Liquidación de Aportes (PILA):</w:t>
      </w:r>
      <w:r>
        <w:t xml:space="preserve"> mecanismo electrónico obligatorio mediante el cual empleadores, contratantes y trabajadores independientes </w:t>
      </w:r>
      <w:r>
        <w:lastRenderedPageBreak/>
        <w:t xml:space="preserve">reportan y pagan en una sola transacción los aportes a salud, pensión, ARL y parafiscales. </w:t>
      </w:r>
    </w:p>
    <w:p w14:paraId="3FEEA0E9" w14:textId="77777777" w:rsidR="006464A8" w:rsidRDefault="006464A8" w:rsidP="006464A8">
      <w:r w:rsidRPr="006464A8">
        <w:rPr>
          <w:b/>
          <w:bCs/>
        </w:rPr>
        <w:t>Planilla tipo E:</w:t>
      </w:r>
      <w:r>
        <w:t xml:space="preserve"> tipo de planilla PILA utilizado por los empleadores con trabajadores dependientes vinculados mediante contrato laboral. Permite reportar todas las novedades del período: ingresos, retiros, variaciones salariales, incapacidades y licencias.</w:t>
      </w:r>
    </w:p>
    <w:p w14:paraId="523DED02" w14:textId="77777777" w:rsidR="006464A8" w:rsidRDefault="006464A8" w:rsidP="006464A8">
      <w:r w:rsidRPr="006464A8">
        <w:rPr>
          <w:b/>
          <w:bCs/>
        </w:rPr>
        <w:t>Planilla tipo T:</w:t>
      </w:r>
      <w:r>
        <w:t xml:space="preserve"> tipo de planilla PILA para contratistas independientes con contrato de prestación de servicios de duración igual o superior a un mes. El IBC corresponde al 40 % del valor mensualizado del contrato.</w:t>
      </w:r>
    </w:p>
    <w:p w14:paraId="6DF327DB" w14:textId="63E4E90B" w:rsidR="00B20EEB" w:rsidRDefault="006464A8" w:rsidP="006464A8">
      <w:r w:rsidRPr="006464A8">
        <w:rPr>
          <w:b/>
          <w:bCs/>
        </w:rPr>
        <w:t>Salario constitutivo (art. 127 CST):</w:t>
      </w:r>
      <w:r>
        <w:t xml:space="preserve"> todo pago que el trabajador recibe habitualmente como retribución directa del servicio, entre ellos el salario básico, las horas extras habituales, las comisiones regulares y las primas habituales.</w:t>
      </w:r>
    </w:p>
    <w:p w14:paraId="40B682D2" w14:textId="55A1BD8D" w:rsidR="002E5B3A" w:rsidRPr="003758F7" w:rsidRDefault="002E5B3A" w:rsidP="003574CB">
      <w:pPr>
        <w:pStyle w:val="Titulosgenerales"/>
      </w:pPr>
      <w:bookmarkStart w:id="23" w:name="_Toc235611024"/>
      <w:r w:rsidRPr="003758F7">
        <w:lastRenderedPageBreak/>
        <w:t>Referencias bibliográficas</w:t>
      </w:r>
      <w:bookmarkEnd w:id="23"/>
      <w:r w:rsidRPr="003758F7">
        <w:t xml:space="preserve"> </w:t>
      </w:r>
    </w:p>
    <w:p w14:paraId="1581CB90" w14:textId="77777777" w:rsidR="00D63EED" w:rsidRDefault="006464A8" w:rsidP="00D63EED">
      <w:r>
        <w:t>Congreso de la República de Colombia. (1963). Ley 1 de 1963, por la cual se establece el subsidio de transporte. Diario Oficial n.° 31.014.</w:t>
      </w:r>
    </w:p>
    <w:p w14:paraId="347AB7C1" w14:textId="77777777" w:rsidR="00D63EED" w:rsidRDefault="006464A8" w:rsidP="00D63EED">
      <w:r>
        <w:t>Congreso de la República de Colombia. (1993). Ley 100 de 1993, por la cual se crea el sistema de seguridad social integral y se dictan otras disposiciones. Diario Oficial N.° 41.148.</w:t>
      </w:r>
    </w:p>
    <w:p w14:paraId="284B1351" w14:textId="3BCFF870" w:rsidR="006464A8" w:rsidRDefault="006464A8" w:rsidP="00D63EED">
      <w:r>
        <w:t>Congreso de la República de Colombia. (2012). Ley 1607 de 2012, por la cual se expiden normas en materia tributaria y se dictan otras disposiciones. Diario Oficial n.° 48.655.</w:t>
      </w:r>
    </w:p>
    <w:p w14:paraId="6330C2EB" w14:textId="77777777" w:rsidR="006464A8" w:rsidRDefault="006464A8" w:rsidP="006464A8">
      <w:r>
        <w:t>Congreso de la República de Colombia. (2016). Ley 1780 de 2016, por medio de la cual se promueve el empleo y el emprendimiento juvenil y se dictan otras disposiciones. Diario Oficial n.° 49.861.</w:t>
      </w:r>
    </w:p>
    <w:p w14:paraId="60B2AFEC" w14:textId="77777777" w:rsidR="006464A8" w:rsidRDefault="006464A8" w:rsidP="006464A8">
      <w:r>
        <w:t>Congreso de la República de Colombia. (2019). Ley 1955 de 2019, por el cual se expide el plan nacional de desarrollo 2018-2022 "Pacto por Colombia, Pacto por la Equidad". Diario Oficial n.° 50.964.</w:t>
      </w:r>
    </w:p>
    <w:p w14:paraId="4213E8EB" w14:textId="77777777" w:rsidR="006464A8" w:rsidRDefault="006464A8" w:rsidP="006464A8">
      <w:r>
        <w:t>Ministerio de Salud. (1999). Decreto 1406 de 1999, por el cual se adoptan unas disposiciones reglamentarias de la Ley 100 de 1993. Diario Oficial n.° 43.686.</w:t>
      </w:r>
    </w:p>
    <w:p w14:paraId="10DB66B3" w14:textId="77777777" w:rsidR="006464A8" w:rsidRDefault="006464A8" w:rsidP="006464A8">
      <w:r>
        <w:t>Ministerio de Salud. (2002). Decreto 1703 de 2002, por el cual se adoptan medidas para promover y controlar la afiliación y el pago de aportes en el Sistema General de Seguridad Social en Salud. Diario Oficial n.° 44.901.</w:t>
      </w:r>
    </w:p>
    <w:p w14:paraId="4BFFA703" w14:textId="77777777" w:rsidR="006464A8" w:rsidRDefault="006464A8" w:rsidP="006464A8">
      <w:r>
        <w:lastRenderedPageBreak/>
        <w:t>Ministerio de Salud y Protección Social. (2016). Decreto 780 de 2016, por medio del cual se expide el decreto único reglamentario del sector salud y protección social. Diario Oficial n.° 49.865.</w:t>
      </w:r>
    </w:p>
    <w:p w14:paraId="29B6EA98" w14:textId="77777777" w:rsidR="006464A8" w:rsidRDefault="006464A8" w:rsidP="006464A8">
      <w:r>
        <w:t>Ministerio de Trabajo y Seguridad Social. (2002). Decreto 1607 de 2002, por el cual se modifica la tabla de clasificación de actividades económicas para el Sistema General de Riesgos Profesionales. Diario Oficial n.° 44.892.</w:t>
      </w:r>
    </w:p>
    <w:p w14:paraId="69528E27" w14:textId="77777777" w:rsidR="006464A8" w:rsidRDefault="006464A8" w:rsidP="006464A8">
      <w:r>
        <w:t>Ministerio del Trabajo. (2015). Decreto 1072 de 2015, por medio del cual se expide el decreto único reglamentario del sector trabajo. Diario Oficial n.° 49.523.</w:t>
      </w:r>
    </w:p>
    <w:p w14:paraId="5E9B17BD" w14:textId="4A5B02FE" w:rsidR="006464A8" w:rsidRDefault="006464A8" w:rsidP="006464A8">
      <w:r>
        <w:t>Presidencia de la República de Colombia. (1950). Decreto-Ley 2663 de 1950, código sustantivo del trabajo. Diario Oficial n.° 27.622.</w:t>
      </w:r>
    </w:p>
    <w:p w14:paraId="0ACDF4A3" w14:textId="7B12755B" w:rsidR="002E5B3A" w:rsidRPr="003758F7" w:rsidRDefault="00F36C9D" w:rsidP="003574CB">
      <w:pPr>
        <w:pStyle w:val="Titulosgenerales"/>
      </w:pPr>
      <w:bookmarkStart w:id="24" w:name="_Toc235611025"/>
      <w:r w:rsidRPr="57EB970B">
        <w:lastRenderedPageBreak/>
        <w:t>Créditos</w:t>
      </w:r>
      <w:bookmarkEnd w:id="24"/>
    </w:p>
    <w:tbl>
      <w:tblPr>
        <w:tblStyle w:val="SENA"/>
        <w:tblW w:w="9776" w:type="dxa"/>
        <w:tblLayout w:type="fixed"/>
        <w:tblLook w:val="04A0" w:firstRow="1" w:lastRow="0" w:firstColumn="1" w:lastColumn="0" w:noHBand="0" w:noVBand="1"/>
      </w:tblPr>
      <w:tblGrid>
        <w:gridCol w:w="3114"/>
        <w:gridCol w:w="3260"/>
        <w:gridCol w:w="3402"/>
      </w:tblGrid>
      <w:tr w:rsidR="002D5B05" w:rsidRPr="003E290F" w14:paraId="1F97E7C8" w14:textId="77777777" w:rsidTr="00443816">
        <w:trPr>
          <w:cnfStyle w:val="100000000000" w:firstRow="1" w:lastRow="0" w:firstColumn="0" w:lastColumn="0" w:oddVBand="0" w:evenVBand="0" w:oddHBand="0" w:evenHBand="0" w:firstRowFirstColumn="0" w:firstRowLastColumn="0" w:lastRowFirstColumn="0" w:lastRowLastColumn="0"/>
          <w:tblHeader/>
        </w:trPr>
        <w:tc>
          <w:tcPr>
            <w:tcW w:w="3114" w:type="dxa"/>
          </w:tcPr>
          <w:p w14:paraId="2FF53901" w14:textId="77777777" w:rsidR="002D5B05" w:rsidRPr="003E290F" w:rsidRDefault="002D5B05" w:rsidP="00443816">
            <w:pPr>
              <w:pStyle w:val="TextoTablas"/>
            </w:pPr>
            <w:bookmarkStart w:id="25" w:name="_Hlk154833079"/>
            <w:r w:rsidRPr="003E290F">
              <w:t>Nombre</w:t>
            </w:r>
          </w:p>
        </w:tc>
        <w:tc>
          <w:tcPr>
            <w:tcW w:w="3260" w:type="dxa"/>
          </w:tcPr>
          <w:p w14:paraId="6D98A41E" w14:textId="77777777" w:rsidR="002D5B05" w:rsidRPr="003E290F" w:rsidRDefault="002D5B05" w:rsidP="00443816">
            <w:pPr>
              <w:pStyle w:val="TextoTablas"/>
            </w:pPr>
            <w:r w:rsidRPr="003E290F">
              <w:t>Cargo</w:t>
            </w:r>
          </w:p>
        </w:tc>
        <w:tc>
          <w:tcPr>
            <w:tcW w:w="3402" w:type="dxa"/>
          </w:tcPr>
          <w:p w14:paraId="13DCFB0D" w14:textId="77777777" w:rsidR="002D5B05" w:rsidRPr="003E290F" w:rsidRDefault="002D5B05" w:rsidP="00443816">
            <w:pPr>
              <w:pStyle w:val="TextoTablas"/>
            </w:pPr>
            <w:r w:rsidRPr="003E290F">
              <w:t>Centro de Formación y Regional</w:t>
            </w:r>
          </w:p>
        </w:tc>
      </w:tr>
      <w:tr w:rsidR="002D5B05" w:rsidRPr="003E290F" w14:paraId="75C185D8"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21A3B721" w14:textId="77777777" w:rsidR="002D5B05" w:rsidRPr="003E290F" w:rsidRDefault="002D5B05" w:rsidP="00443816">
            <w:pPr>
              <w:pStyle w:val="TextoTablas"/>
            </w:pPr>
            <w:r w:rsidRPr="003E290F">
              <w:t>Claudia Johanna Gómez Pérez</w:t>
            </w:r>
          </w:p>
        </w:tc>
        <w:tc>
          <w:tcPr>
            <w:tcW w:w="3260" w:type="dxa"/>
          </w:tcPr>
          <w:p w14:paraId="20B52DCE" w14:textId="77777777" w:rsidR="002D5B05" w:rsidRPr="003E290F" w:rsidRDefault="002D5B05" w:rsidP="00443816">
            <w:pPr>
              <w:pStyle w:val="TextoTablas"/>
            </w:pPr>
            <w:r w:rsidRPr="00775C1A">
              <w:t>Profesional G06. Responsable Ecosistema Virtual de Recursos Educativos Digitales</w:t>
            </w:r>
          </w:p>
        </w:tc>
        <w:tc>
          <w:tcPr>
            <w:tcW w:w="3402" w:type="dxa"/>
          </w:tcPr>
          <w:p w14:paraId="61AAEFE1" w14:textId="77777777" w:rsidR="002D5B05" w:rsidRPr="003E290F" w:rsidRDefault="002D5B05" w:rsidP="00443816">
            <w:pPr>
              <w:pStyle w:val="TextoTablas"/>
            </w:pPr>
            <w:r w:rsidRPr="00AD327E">
              <w:t>Centro Agroturístico – Regional Santander</w:t>
            </w:r>
          </w:p>
        </w:tc>
      </w:tr>
      <w:tr w:rsidR="002D5B05" w:rsidRPr="003E290F" w14:paraId="2AB15325" w14:textId="77777777" w:rsidTr="00443816">
        <w:tc>
          <w:tcPr>
            <w:tcW w:w="3114" w:type="dxa"/>
          </w:tcPr>
          <w:p w14:paraId="1C389A05" w14:textId="77777777" w:rsidR="002D5B05" w:rsidRPr="003E290F" w:rsidRDefault="002D5B05" w:rsidP="00443816">
            <w:pPr>
              <w:pStyle w:val="TextoTablas"/>
            </w:pPr>
            <w:r w:rsidRPr="003E290F">
              <w:t xml:space="preserve">Diana Rocío </w:t>
            </w:r>
            <w:proofErr w:type="spellStart"/>
            <w:r w:rsidRPr="003E290F">
              <w:t>Possos</w:t>
            </w:r>
            <w:proofErr w:type="spellEnd"/>
            <w:r w:rsidRPr="003E290F">
              <w:t xml:space="preserve"> Beltrán</w:t>
            </w:r>
          </w:p>
        </w:tc>
        <w:tc>
          <w:tcPr>
            <w:tcW w:w="3260" w:type="dxa"/>
          </w:tcPr>
          <w:p w14:paraId="427970AE" w14:textId="77777777" w:rsidR="002D5B05" w:rsidRPr="003E290F" w:rsidRDefault="002D5B05" w:rsidP="00443816">
            <w:pPr>
              <w:pStyle w:val="TextoTablas"/>
            </w:pPr>
            <w:r w:rsidRPr="003E290F">
              <w:t xml:space="preserve">Responsable de línea de producción </w:t>
            </w:r>
          </w:p>
        </w:tc>
        <w:tc>
          <w:tcPr>
            <w:tcW w:w="3402" w:type="dxa"/>
          </w:tcPr>
          <w:p w14:paraId="47E4AC43" w14:textId="77777777" w:rsidR="002D5B05" w:rsidRPr="003E290F" w:rsidRDefault="002D5B05" w:rsidP="00443816">
            <w:pPr>
              <w:pStyle w:val="TextoTablas"/>
            </w:pPr>
            <w:r w:rsidRPr="003E290F">
              <w:t>Centro de Comercio y Servicios - Regional Tolima</w:t>
            </w:r>
          </w:p>
        </w:tc>
      </w:tr>
      <w:tr w:rsidR="001F592C" w:rsidRPr="003E290F" w14:paraId="01D9237D"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270DF5F5" w14:textId="5CF8E738" w:rsidR="001F592C" w:rsidRPr="003E290F" w:rsidRDefault="001F592C" w:rsidP="00443816">
            <w:pPr>
              <w:pStyle w:val="TextoTablas"/>
            </w:pPr>
            <w:r w:rsidRPr="001F592C">
              <w:t>Gustavo Ernesto Mariño Puentes</w:t>
            </w:r>
          </w:p>
        </w:tc>
        <w:tc>
          <w:tcPr>
            <w:tcW w:w="3260" w:type="dxa"/>
          </w:tcPr>
          <w:p w14:paraId="5DA1766B" w14:textId="5E11524B" w:rsidR="001F592C" w:rsidRPr="003E290F" w:rsidRDefault="001F592C" w:rsidP="001F592C">
            <w:pPr>
              <w:pStyle w:val="TextoTablas"/>
            </w:pPr>
            <w:r w:rsidRPr="001F592C">
              <w:t>Experto temático</w:t>
            </w:r>
          </w:p>
        </w:tc>
        <w:tc>
          <w:tcPr>
            <w:tcW w:w="3402" w:type="dxa"/>
          </w:tcPr>
          <w:p w14:paraId="1648CC7A" w14:textId="660F3F72" w:rsidR="001F592C" w:rsidRPr="003E290F" w:rsidRDefault="001F592C" w:rsidP="00443816">
            <w:pPr>
              <w:pStyle w:val="TextoTablas"/>
            </w:pPr>
            <w:r w:rsidRPr="001F592C">
              <w:t>Centro de Comercio y Servicios - Regional Tolima</w:t>
            </w:r>
          </w:p>
        </w:tc>
      </w:tr>
      <w:tr w:rsidR="002D5B05" w:rsidRPr="003E290F" w14:paraId="4446D3EB" w14:textId="77777777" w:rsidTr="00443816">
        <w:tc>
          <w:tcPr>
            <w:tcW w:w="3114" w:type="dxa"/>
          </w:tcPr>
          <w:p w14:paraId="6FCF6CE2" w14:textId="14D38240" w:rsidR="002D5B05" w:rsidRPr="003E290F" w:rsidRDefault="001F592C" w:rsidP="00443816">
            <w:pPr>
              <w:pStyle w:val="TextoTablas"/>
            </w:pPr>
            <w:r w:rsidRPr="001F592C">
              <w:t xml:space="preserve">Gloria Lida </w:t>
            </w:r>
            <w:proofErr w:type="spellStart"/>
            <w:r w:rsidRPr="001F592C">
              <w:t>Alzate</w:t>
            </w:r>
            <w:proofErr w:type="spellEnd"/>
            <w:r w:rsidRPr="001F592C">
              <w:t xml:space="preserve"> Suárez</w:t>
            </w:r>
          </w:p>
        </w:tc>
        <w:tc>
          <w:tcPr>
            <w:tcW w:w="3260" w:type="dxa"/>
          </w:tcPr>
          <w:p w14:paraId="03910E05" w14:textId="11387CB6" w:rsidR="002D5B05" w:rsidRPr="003E290F" w:rsidRDefault="002D5B05" w:rsidP="00443816">
            <w:pPr>
              <w:pStyle w:val="TextoTablas"/>
            </w:pPr>
            <w:r w:rsidRPr="002948F3">
              <w:t>Evaluador</w:t>
            </w:r>
            <w:r w:rsidR="001F592C">
              <w:t>a</w:t>
            </w:r>
            <w:r w:rsidRPr="002948F3">
              <w:t xml:space="preserve"> instruccional </w:t>
            </w:r>
          </w:p>
        </w:tc>
        <w:tc>
          <w:tcPr>
            <w:tcW w:w="3402" w:type="dxa"/>
          </w:tcPr>
          <w:p w14:paraId="6ED3894A" w14:textId="77777777" w:rsidR="002D5B05" w:rsidRPr="003E290F" w:rsidRDefault="002D5B05" w:rsidP="00443816">
            <w:pPr>
              <w:pStyle w:val="TextoTablas"/>
            </w:pPr>
            <w:r w:rsidRPr="003E290F">
              <w:t>Centro de Comercio y Servicios - Regional Tolima</w:t>
            </w:r>
          </w:p>
        </w:tc>
      </w:tr>
      <w:tr w:rsidR="002D5B05" w:rsidRPr="003E290F" w14:paraId="329D83A9"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6C3CB7E8" w14:textId="2EB1FBF3" w:rsidR="002D5B05" w:rsidRPr="003E290F" w:rsidRDefault="001F592C" w:rsidP="00443816">
            <w:pPr>
              <w:pStyle w:val="TextoTablas"/>
            </w:pPr>
            <w:r w:rsidRPr="001F592C">
              <w:t>Juan Daniel Polanco Muñoz</w:t>
            </w:r>
          </w:p>
        </w:tc>
        <w:tc>
          <w:tcPr>
            <w:tcW w:w="3260" w:type="dxa"/>
          </w:tcPr>
          <w:p w14:paraId="706841CE" w14:textId="77777777" w:rsidR="002D5B05" w:rsidRPr="003E290F" w:rsidRDefault="002D5B05" w:rsidP="00443816">
            <w:pPr>
              <w:pStyle w:val="TextoTablas"/>
            </w:pPr>
            <w:r w:rsidRPr="002948F3">
              <w:t>Diseñador de contenidos digitales</w:t>
            </w:r>
          </w:p>
        </w:tc>
        <w:tc>
          <w:tcPr>
            <w:tcW w:w="3402" w:type="dxa"/>
          </w:tcPr>
          <w:p w14:paraId="6AB165DB" w14:textId="77777777" w:rsidR="002D5B05" w:rsidRPr="003E290F" w:rsidRDefault="002D5B05" w:rsidP="00443816">
            <w:pPr>
              <w:pStyle w:val="TextoTablas"/>
            </w:pPr>
            <w:r w:rsidRPr="003E290F">
              <w:t>Centro de Comercio y Servicios - Regional Tolima</w:t>
            </w:r>
          </w:p>
        </w:tc>
      </w:tr>
      <w:tr w:rsidR="002D5B05" w:rsidRPr="003E290F" w14:paraId="23F29D54" w14:textId="77777777" w:rsidTr="00443816">
        <w:tc>
          <w:tcPr>
            <w:tcW w:w="3114" w:type="dxa"/>
          </w:tcPr>
          <w:p w14:paraId="5FD0C2F5" w14:textId="05D15D7D" w:rsidR="002D5B05" w:rsidRPr="002948F3" w:rsidRDefault="001F592C" w:rsidP="00443816">
            <w:pPr>
              <w:pStyle w:val="TextoTablas"/>
            </w:pPr>
            <w:proofErr w:type="spellStart"/>
            <w:r w:rsidRPr="001F592C">
              <w:t>Veimar</w:t>
            </w:r>
            <w:proofErr w:type="spellEnd"/>
            <w:r w:rsidRPr="001F592C">
              <w:t xml:space="preserve"> Celis Meléndez</w:t>
            </w:r>
          </w:p>
        </w:tc>
        <w:tc>
          <w:tcPr>
            <w:tcW w:w="3260" w:type="dxa"/>
          </w:tcPr>
          <w:p w14:paraId="66D425AA" w14:textId="77777777" w:rsidR="002D5B05" w:rsidRPr="002948F3" w:rsidRDefault="002D5B05" w:rsidP="00443816">
            <w:pPr>
              <w:pStyle w:val="TextoTablas"/>
            </w:pPr>
            <w:r w:rsidRPr="003E290F">
              <w:t xml:space="preserve">Desarrollador </w:t>
            </w:r>
            <w:r w:rsidRPr="001F592C">
              <w:rPr>
                <w:rStyle w:val="Extranjerismo"/>
              </w:rPr>
              <w:t>full stack </w:t>
            </w:r>
          </w:p>
        </w:tc>
        <w:tc>
          <w:tcPr>
            <w:tcW w:w="3402" w:type="dxa"/>
          </w:tcPr>
          <w:p w14:paraId="73B5E3D7" w14:textId="77777777" w:rsidR="002D5B05" w:rsidRPr="003E290F" w:rsidRDefault="002D5B05" w:rsidP="00443816">
            <w:pPr>
              <w:pStyle w:val="TextoTablas"/>
            </w:pPr>
            <w:r w:rsidRPr="003E290F">
              <w:t>Centro de Comercio y Servicios - Regional Tolima</w:t>
            </w:r>
          </w:p>
        </w:tc>
      </w:tr>
      <w:tr w:rsidR="002D5B05" w:rsidRPr="003E290F" w14:paraId="4504EA8D"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3B3A62F7" w14:textId="77777777" w:rsidR="002D5B05" w:rsidRPr="003E290F" w:rsidRDefault="002D5B05" w:rsidP="00443816">
            <w:pPr>
              <w:pStyle w:val="TextoTablas"/>
            </w:pPr>
            <w:r w:rsidRPr="003E290F">
              <w:t xml:space="preserve">Ernesto Navarro </w:t>
            </w:r>
            <w:proofErr w:type="spellStart"/>
            <w:r w:rsidRPr="003E290F">
              <w:t>Jaimes</w:t>
            </w:r>
            <w:proofErr w:type="spellEnd"/>
          </w:p>
        </w:tc>
        <w:tc>
          <w:tcPr>
            <w:tcW w:w="3260" w:type="dxa"/>
          </w:tcPr>
          <w:p w14:paraId="49F374CC" w14:textId="77777777" w:rsidR="002D5B05" w:rsidRPr="003E290F" w:rsidRDefault="002D5B05" w:rsidP="00443816">
            <w:pPr>
              <w:pStyle w:val="TextoTablas"/>
            </w:pPr>
            <w:r w:rsidRPr="003E290F">
              <w:t>Animador y productor audiovisual</w:t>
            </w:r>
          </w:p>
        </w:tc>
        <w:tc>
          <w:tcPr>
            <w:tcW w:w="3402" w:type="dxa"/>
          </w:tcPr>
          <w:p w14:paraId="1BD49280" w14:textId="77777777" w:rsidR="002D5B05" w:rsidRPr="003E290F" w:rsidRDefault="002D5B05" w:rsidP="00443816">
            <w:pPr>
              <w:pStyle w:val="TextoTablas"/>
            </w:pPr>
            <w:r w:rsidRPr="003E290F">
              <w:t>Centro de Comercio y Servicios - Regional Tolima</w:t>
            </w:r>
          </w:p>
        </w:tc>
      </w:tr>
      <w:tr w:rsidR="002D5B05" w:rsidRPr="003E290F" w14:paraId="629A8FDD" w14:textId="77777777" w:rsidTr="00443816">
        <w:tc>
          <w:tcPr>
            <w:tcW w:w="3114" w:type="dxa"/>
          </w:tcPr>
          <w:p w14:paraId="68A709F2" w14:textId="77777777" w:rsidR="002D5B05" w:rsidRPr="003E290F" w:rsidRDefault="002D5B05" w:rsidP="00443816">
            <w:pPr>
              <w:pStyle w:val="TextoTablas"/>
            </w:pPr>
            <w:r w:rsidRPr="003E290F">
              <w:t>María Fernanda Pineda Mora</w:t>
            </w:r>
          </w:p>
        </w:tc>
        <w:tc>
          <w:tcPr>
            <w:tcW w:w="3260" w:type="dxa"/>
          </w:tcPr>
          <w:p w14:paraId="6B358A3D" w14:textId="77777777" w:rsidR="002D5B05" w:rsidRPr="003E290F" w:rsidRDefault="002D5B05" w:rsidP="00443816">
            <w:pPr>
              <w:pStyle w:val="TextoTablas"/>
            </w:pPr>
            <w:r w:rsidRPr="003E290F">
              <w:t>Evaluadora de contenidos inclusivos y accesibles</w:t>
            </w:r>
          </w:p>
        </w:tc>
        <w:tc>
          <w:tcPr>
            <w:tcW w:w="3402" w:type="dxa"/>
          </w:tcPr>
          <w:p w14:paraId="000533A2" w14:textId="77777777" w:rsidR="002D5B05" w:rsidRPr="003E290F" w:rsidRDefault="002D5B05" w:rsidP="00443816">
            <w:pPr>
              <w:pStyle w:val="TextoTablas"/>
            </w:pPr>
            <w:r w:rsidRPr="003E290F">
              <w:t>Centro de Comercio y Servicios - Regional Tolima</w:t>
            </w:r>
          </w:p>
        </w:tc>
      </w:tr>
      <w:tr w:rsidR="002D5B05" w:rsidRPr="003E290F" w14:paraId="35C66BA2"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5E8DEC19" w14:textId="77777777" w:rsidR="002D5B05" w:rsidRPr="003E290F" w:rsidRDefault="002D5B05" w:rsidP="00443816">
            <w:pPr>
              <w:pStyle w:val="TextoTablas"/>
            </w:pPr>
            <w:r w:rsidRPr="003E290F">
              <w:t>Javier Mauricio Oviedo</w:t>
            </w:r>
          </w:p>
        </w:tc>
        <w:tc>
          <w:tcPr>
            <w:tcW w:w="3260" w:type="dxa"/>
          </w:tcPr>
          <w:p w14:paraId="05A7687B" w14:textId="77777777" w:rsidR="002D5B05" w:rsidRPr="003E290F" w:rsidRDefault="002D5B05" w:rsidP="00443816">
            <w:pPr>
              <w:pStyle w:val="TextoTablas"/>
            </w:pPr>
            <w:r w:rsidRPr="003E290F">
              <w:t>Validador y vinculador de recursos educativos digitales</w:t>
            </w:r>
          </w:p>
        </w:tc>
        <w:tc>
          <w:tcPr>
            <w:tcW w:w="3402" w:type="dxa"/>
          </w:tcPr>
          <w:p w14:paraId="025FF1A8" w14:textId="77777777" w:rsidR="002D5B05" w:rsidRPr="003E290F" w:rsidRDefault="002D5B05" w:rsidP="00443816">
            <w:pPr>
              <w:pStyle w:val="TextoTablas"/>
            </w:pPr>
            <w:r w:rsidRPr="003E290F">
              <w:t>Centro de Comercio y Servicios - Regional Tolima</w:t>
            </w:r>
          </w:p>
        </w:tc>
      </w:tr>
      <w:bookmarkEnd w:id="25"/>
    </w:tbl>
    <w:p w14:paraId="77109462" w14:textId="77777777" w:rsidR="004554CA" w:rsidRPr="003758F7" w:rsidRDefault="004554CA" w:rsidP="004554CA">
      <w:pPr>
        <w:rPr>
          <w:lang w:eastAsia="es-CO"/>
        </w:rPr>
      </w:pPr>
    </w:p>
    <w:sectPr w:rsidR="004554CA" w:rsidRPr="003758F7" w:rsidSect="00A4197A">
      <w:headerReference w:type="default" r:id="rId17"/>
      <w:footerReference w:type="default" r:id="rId1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DDEA26" w14:textId="77777777" w:rsidR="000C1129" w:rsidRPr="003758F7" w:rsidRDefault="000C1129" w:rsidP="00EC0858">
      <w:pPr>
        <w:spacing w:before="0" w:after="0" w:line="240" w:lineRule="auto"/>
      </w:pPr>
      <w:r w:rsidRPr="003758F7">
        <w:separator/>
      </w:r>
    </w:p>
  </w:endnote>
  <w:endnote w:type="continuationSeparator" w:id="0">
    <w:p w14:paraId="0F357F21" w14:textId="77777777" w:rsidR="000C1129" w:rsidRPr="003758F7" w:rsidRDefault="000C1129"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D502D8" w14:textId="77777777" w:rsidR="000C1129" w:rsidRPr="003758F7" w:rsidRDefault="000C1129" w:rsidP="00EC0858">
      <w:pPr>
        <w:spacing w:before="0" w:after="0" w:line="240" w:lineRule="auto"/>
      </w:pPr>
      <w:r w:rsidRPr="003758F7">
        <w:separator/>
      </w:r>
    </w:p>
  </w:footnote>
  <w:footnote w:type="continuationSeparator" w:id="0">
    <w:p w14:paraId="7F13FCFD" w14:textId="77777777" w:rsidR="000C1129" w:rsidRPr="003758F7" w:rsidRDefault="000C1129"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227F9A"/>
    <w:multiLevelType w:val="hybridMultilevel"/>
    <w:tmpl w:val="FAAC271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0DDA17C7"/>
    <w:multiLevelType w:val="hybridMultilevel"/>
    <w:tmpl w:val="E59E970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12737958"/>
    <w:multiLevelType w:val="hybridMultilevel"/>
    <w:tmpl w:val="7A5EFEF2"/>
    <w:lvl w:ilvl="0" w:tplc="4FBC7432">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1DDB128F"/>
    <w:multiLevelType w:val="hybridMultilevel"/>
    <w:tmpl w:val="44A8695C"/>
    <w:lvl w:ilvl="0" w:tplc="4FBC7432">
      <w:start w:val="1"/>
      <w:numFmt w:val="upperLetter"/>
      <w:lvlText w:val="%1."/>
      <w:lvlJc w:val="left"/>
      <w:pPr>
        <w:ind w:left="1080" w:hanging="360"/>
      </w:pPr>
      <w:rPr>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 w15:restartNumberingAfterBreak="0">
    <w:nsid w:val="22C1045E"/>
    <w:multiLevelType w:val="hybridMultilevel"/>
    <w:tmpl w:val="5F9ECD5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8EB737F"/>
    <w:multiLevelType w:val="hybridMultilevel"/>
    <w:tmpl w:val="3CFA9D0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2ED427C6"/>
    <w:multiLevelType w:val="hybridMultilevel"/>
    <w:tmpl w:val="189A31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319F6F99"/>
    <w:multiLevelType w:val="hybridMultilevel"/>
    <w:tmpl w:val="1C344F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1" w15:restartNumberingAfterBreak="0">
    <w:nsid w:val="3CCB74D5"/>
    <w:multiLevelType w:val="hybridMultilevel"/>
    <w:tmpl w:val="BD28541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4A212619"/>
    <w:multiLevelType w:val="hybridMultilevel"/>
    <w:tmpl w:val="371EDE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E416539"/>
    <w:multiLevelType w:val="hybridMultilevel"/>
    <w:tmpl w:val="10CE2A3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6" w15:restartNumberingAfterBreak="0">
    <w:nsid w:val="4F75738F"/>
    <w:multiLevelType w:val="hybridMultilevel"/>
    <w:tmpl w:val="721ABE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53BB6785"/>
    <w:multiLevelType w:val="hybridMultilevel"/>
    <w:tmpl w:val="A2CE3D8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590B32AF"/>
    <w:multiLevelType w:val="hybridMultilevel"/>
    <w:tmpl w:val="E8AA5E7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597C3442"/>
    <w:multiLevelType w:val="hybridMultilevel"/>
    <w:tmpl w:val="110694D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5D3D37E8"/>
    <w:multiLevelType w:val="hybridMultilevel"/>
    <w:tmpl w:val="05BE8A9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 w15:restartNumberingAfterBreak="0">
    <w:nsid w:val="68282567"/>
    <w:multiLevelType w:val="hybridMultilevel"/>
    <w:tmpl w:val="0FA0BC4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 w15:restartNumberingAfterBreak="0">
    <w:nsid w:val="68C92987"/>
    <w:multiLevelType w:val="hybridMultilevel"/>
    <w:tmpl w:val="97A66AB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 w15:restartNumberingAfterBreak="0">
    <w:nsid w:val="710476CF"/>
    <w:multiLevelType w:val="hybridMultilevel"/>
    <w:tmpl w:val="EEF487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71C55AC4"/>
    <w:multiLevelType w:val="hybridMultilevel"/>
    <w:tmpl w:val="DDE2DA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73247D57"/>
    <w:multiLevelType w:val="hybridMultilevel"/>
    <w:tmpl w:val="A724C14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73E430B4"/>
    <w:multiLevelType w:val="hybridMultilevel"/>
    <w:tmpl w:val="3DB22E1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7" w15:restartNumberingAfterBreak="0">
    <w:nsid w:val="75807FE7"/>
    <w:multiLevelType w:val="hybridMultilevel"/>
    <w:tmpl w:val="2702DB8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8" w15:restartNumberingAfterBreak="0">
    <w:nsid w:val="77182184"/>
    <w:multiLevelType w:val="hybridMultilevel"/>
    <w:tmpl w:val="DE0897C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 w15:restartNumberingAfterBreak="0">
    <w:nsid w:val="7847019C"/>
    <w:multiLevelType w:val="hybridMultilevel"/>
    <w:tmpl w:val="035E98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8B03839"/>
    <w:multiLevelType w:val="hybridMultilevel"/>
    <w:tmpl w:val="222AFC6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1" w15:restartNumberingAfterBreak="0">
    <w:nsid w:val="7E3E6CC2"/>
    <w:multiLevelType w:val="hybridMultilevel"/>
    <w:tmpl w:val="516E55A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abstractNumId w:val="0"/>
  </w:num>
  <w:num w:numId="2">
    <w:abstractNumId w:val="6"/>
  </w:num>
  <w:num w:numId="3">
    <w:abstractNumId w:val="15"/>
  </w:num>
  <w:num w:numId="4">
    <w:abstractNumId w:val="10"/>
  </w:num>
  <w:num w:numId="5">
    <w:abstractNumId w:val="12"/>
  </w:num>
  <w:num w:numId="6">
    <w:abstractNumId w:val="23"/>
  </w:num>
  <w:num w:numId="7">
    <w:abstractNumId w:val="29"/>
  </w:num>
  <w:num w:numId="8">
    <w:abstractNumId w:val="3"/>
  </w:num>
  <w:num w:numId="9">
    <w:abstractNumId w:val="16"/>
  </w:num>
  <w:num w:numId="10">
    <w:abstractNumId w:val="13"/>
  </w:num>
  <w:num w:numId="11">
    <w:abstractNumId w:val="24"/>
  </w:num>
  <w:num w:numId="12">
    <w:abstractNumId w:val="1"/>
  </w:num>
  <w:num w:numId="13">
    <w:abstractNumId w:val="8"/>
  </w:num>
  <w:num w:numId="14">
    <w:abstractNumId w:val="17"/>
  </w:num>
  <w:num w:numId="15">
    <w:abstractNumId w:val="18"/>
  </w:num>
  <w:num w:numId="16">
    <w:abstractNumId w:val="27"/>
  </w:num>
  <w:num w:numId="17">
    <w:abstractNumId w:val="9"/>
  </w:num>
  <w:num w:numId="18">
    <w:abstractNumId w:val="22"/>
  </w:num>
  <w:num w:numId="19">
    <w:abstractNumId w:val="28"/>
  </w:num>
  <w:num w:numId="20">
    <w:abstractNumId w:val="30"/>
  </w:num>
  <w:num w:numId="21">
    <w:abstractNumId w:val="20"/>
  </w:num>
  <w:num w:numId="22">
    <w:abstractNumId w:val="31"/>
  </w:num>
  <w:num w:numId="23">
    <w:abstractNumId w:val="4"/>
  </w:num>
  <w:num w:numId="24">
    <w:abstractNumId w:val="19"/>
  </w:num>
  <w:num w:numId="25">
    <w:abstractNumId w:val="11"/>
  </w:num>
  <w:num w:numId="26">
    <w:abstractNumId w:val="14"/>
  </w:num>
  <w:num w:numId="27">
    <w:abstractNumId w:val="21"/>
  </w:num>
  <w:num w:numId="28">
    <w:abstractNumId w:val="5"/>
  </w:num>
  <w:num w:numId="29">
    <w:abstractNumId w:val="7"/>
  </w:num>
  <w:num w:numId="30">
    <w:abstractNumId w:val="25"/>
  </w:num>
  <w:num w:numId="31">
    <w:abstractNumId w:val="2"/>
  </w:num>
  <w:num w:numId="32">
    <w:abstractNumId w:val="2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17C"/>
    <w:rsid w:val="000434FA"/>
    <w:rsid w:val="000447D2"/>
    <w:rsid w:val="00044D54"/>
    <w:rsid w:val="0004747D"/>
    <w:rsid w:val="0005476E"/>
    <w:rsid w:val="00054AF9"/>
    <w:rsid w:val="00054E48"/>
    <w:rsid w:val="000571E8"/>
    <w:rsid w:val="00060A58"/>
    <w:rsid w:val="00061C22"/>
    <w:rsid w:val="00062F0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29"/>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4BDB"/>
    <w:rsid w:val="001150F3"/>
    <w:rsid w:val="00115575"/>
    <w:rsid w:val="00115E35"/>
    <w:rsid w:val="00123EA6"/>
    <w:rsid w:val="00125AFB"/>
    <w:rsid w:val="00127C17"/>
    <w:rsid w:val="00130C4C"/>
    <w:rsid w:val="0013118C"/>
    <w:rsid w:val="001319EA"/>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592C"/>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45E79"/>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B05"/>
    <w:rsid w:val="002D5C42"/>
    <w:rsid w:val="002D6D62"/>
    <w:rsid w:val="002E2A0A"/>
    <w:rsid w:val="002E5AEE"/>
    <w:rsid w:val="002E5B3A"/>
    <w:rsid w:val="002E673C"/>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398"/>
    <w:rsid w:val="003177F7"/>
    <w:rsid w:val="003219FD"/>
    <w:rsid w:val="00322635"/>
    <w:rsid w:val="00322D71"/>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128C"/>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3F9D"/>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475E3"/>
    <w:rsid w:val="00451242"/>
    <w:rsid w:val="00452336"/>
    <w:rsid w:val="00453268"/>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463"/>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1A36"/>
    <w:rsid w:val="0056288F"/>
    <w:rsid w:val="00567517"/>
    <w:rsid w:val="00570601"/>
    <w:rsid w:val="00570C2A"/>
    <w:rsid w:val="005712EB"/>
    <w:rsid w:val="005718F8"/>
    <w:rsid w:val="00572AB2"/>
    <w:rsid w:val="005751B9"/>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3889"/>
    <w:rsid w:val="006247CD"/>
    <w:rsid w:val="00630992"/>
    <w:rsid w:val="00631AE8"/>
    <w:rsid w:val="006345AD"/>
    <w:rsid w:val="0063496C"/>
    <w:rsid w:val="00643115"/>
    <w:rsid w:val="0064331C"/>
    <w:rsid w:val="006464A8"/>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0E8E"/>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CEB"/>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4BC"/>
    <w:rsid w:val="00844B50"/>
    <w:rsid w:val="008456E8"/>
    <w:rsid w:val="00845BCB"/>
    <w:rsid w:val="0084646F"/>
    <w:rsid w:val="0084666C"/>
    <w:rsid w:val="00850D92"/>
    <w:rsid w:val="008511C6"/>
    <w:rsid w:val="00854F38"/>
    <w:rsid w:val="00855831"/>
    <w:rsid w:val="0085604C"/>
    <w:rsid w:val="0085782B"/>
    <w:rsid w:val="00861B22"/>
    <w:rsid w:val="00862091"/>
    <w:rsid w:val="00862096"/>
    <w:rsid w:val="0086642E"/>
    <w:rsid w:val="00867C0E"/>
    <w:rsid w:val="008731BA"/>
    <w:rsid w:val="0087370F"/>
    <w:rsid w:val="00873B99"/>
    <w:rsid w:val="0087499E"/>
    <w:rsid w:val="00876973"/>
    <w:rsid w:val="008775DD"/>
    <w:rsid w:val="00877656"/>
    <w:rsid w:val="00880BC2"/>
    <w:rsid w:val="00882A64"/>
    <w:rsid w:val="008843D5"/>
    <w:rsid w:val="0088563B"/>
    <w:rsid w:val="008866BD"/>
    <w:rsid w:val="0089046B"/>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BE2"/>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0E43"/>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38F"/>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33C7"/>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3BE2"/>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1638"/>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57392"/>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13E"/>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0197"/>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5A92"/>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13AE"/>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3EED"/>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894"/>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4561"/>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3A14"/>
    <w:rsid w:val="00E24B84"/>
    <w:rsid w:val="00E25BC5"/>
    <w:rsid w:val="00E2626D"/>
    <w:rsid w:val="00E30E69"/>
    <w:rsid w:val="00E3240F"/>
    <w:rsid w:val="00E32886"/>
    <w:rsid w:val="00E32E48"/>
    <w:rsid w:val="00E35C7E"/>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67E0F"/>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720"/>
    <w:rsid w:val="00EC1AB3"/>
    <w:rsid w:val="00EC279D"/>
    <w:rsid w:val="00EC41F4"/>
    <w:rsid w:val="00EC5915"/>
    <w:rsid w:val="00EC6801"/>
    <w:rsid w:val="00ED0D13"/>
    <w:rsid w:val="00ED15CE"/>
    <w:rsid w:val="00ED4374"/>
    <w:rsid w:val="00ED50EA"/>
    <w:rsid w:val="00ED5B28"/>
    <w:rsid w:val="00EE05AE"/>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531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styleId="Tablanormal1">
    <w:name w:val="Plain Table 1"/>
    <w:basedOn w:val="Tablanormal"/>
    <w:uiPriority w:val="41"/>
    <w:rsid w:val="00AD3BE2"/>
    <w:pPr>
      <w:spacing w:after="0" w:line="240" w:lineRule="auto"/>
    </w:pPr>
    <w:rPr>
      <w:rFonts w:ascii="Arial" w:eastAsia="Arial" w:hAnsi="Arial" w:cs="Arial"/>
      <w:kern w:val="0"/>
      <w:sz w:val="20"/>
      <w:szCs w:val="20"/>
      <w:lang w:val="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317398"/>
    <w:pPr>
      <w:spacing w:after="0" w:line="240" w:lineRule="auto"/>
    </w:pPr>
    <w:rPr>
      <w:rFonts w:ascii="Arial" w:eastAsia="Arial" w:hAnsi="Arial" w:cs="Arial"/>
      <w:kern w:val="0"/>
      <w:sz w:val="20"/>
      <w:szCs w:val="20"/>
      <w:lang w:val="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4673743">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RWTSp3u4YOY"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84</Pages>
  <Words>16802</Words>
  <Characters>100982</Characters>
  <Application>Microsoft Office Word</Application>
  <DocSecurity>0</DocSecurity>
  <Lines>2103</Lines>
  <Paragraphs>965</Paragraphs>
  <ScaleCrop>false</ScaleCrop>
  <HeadingPairs>
    <vt:vector size="2" baseType="variant">
      <vt:variant>
        <vt:lpstr>Título</vt:lpstr>
      </vt:variant>
      <vt:variant>
        <vt:i4>1</vt:i4>
      </vt:variant>
    </vt:vector>
  </HeadingPairs>
  <TitlesOfParts>
    <vt:vector size="1" baseType="lpstr">
      <vt:lpstr>Liquidación y registro en la Planilla Integrada de Seguridad Social (PILA)</vt:lpstr>
    </vt:vector>
  </TitlesOfParts>
  <Company/>
  <LinksUpToDate>false</LinksUpToDate>
  <CharactersWithSpaces>116819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Liquidación y registro en la Planilla Integrada de Seguridad Social (PILA)</dc:title>
  <dc:subject/>
  <dc:creator>SENA</dc:creator>
  <cp:keywords/>
  <dc:description/>
  <cp:lastModifiedBy>Fernanda Mora</cp:lastModifiedBy>
  <cp:revision>27</cp:revision>
  <cp:lastPrinted>2026-05-07T00:36:00Z</cp:lastPrinted>
  <dcterms:created xsi:type="dcterms:W3CDTF">2026-06-01T19:31:00Z</dcterms:created>
  <dcterms:modified xsi:type="dcterms:W3CDTF">2026-07-24T16:09:00Z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