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4C00F3" w:rsidR="00422835" w:rsidP="00422835" w:rsidRDefault="00E14988" w14:paraId="20932FDB" w14:textId="1EB68FD5">
      <w:pPr>
        <w:jc w:val="center"/>
        <w:rPr>
          <w:rFonts w:ascii="Arial" w:hAnsi="Arial" w:cs="Arial"/>
          <w:b/>
          <w:lang w:val="es-ES"/>
        </w:rPr>
      </w:pPr>
      <w:r w:rsidRPr="004C00F3">
        <w:rPr>
          <w:rFonts w:ascii="Arial" w:hAnsi="Arial" w:cs="Arial"/>
          <w:b/>
          <w:lang w:val="es-ES"/>
        </w:rPr>
        <w:t xml:space="preserve">GUION INTRODUCCIÓN </w:t>
      </w:r>
      <w:r w:rsidR="00FE67F8">
        <w:rPr>
          <w:rFonts w:ascii="Arial" w:hAnsi="Arial" w:cs="Arial"/>
          <w:b/>
          <w:lang w:val="es-ES"/>
        </w:rPr>
        <w:t xml:space="preserve">VIDEO </w:t>
      </w:r>
      <w:r w:rsidRPr="004C00F3">
        <w:rPr>
          <w:rFonts w:ascii="Arial" w:hAnsi="Arial" w:cs="Arial"/>
          <w:b/>
          <w:lang w:val="es-ES"/>
        </w:rPr>
        <w:t>COMPONENTE FORMATIVO 0</w:t>
      </w:r>
      <w:r w:rsidR="00700466">
        <w:rPr>
          <w:rFonts w:ascii="Arial" w:hAnsi="Arial" w:cs="Arial"/>
          <w:b/>
          <w:lang w:val="es-ES"/>
        </w:rPr>
        <w:t>2</w:t>
      </w:r>
    </w:p>
    <w:p w:rsidR="002244E0" w:rsidP="00700466" w:rsidRDefault="007B608A" w14:paraId="5DA3DC15" w14:textId="04EC194F">
      <w:pPr>
        <w:jc w:val="center"/>
        <w:rPr>
          <w:rFonts w:ascii="Arial" w:hAnsi="Arial" w:cs="Arial"/>
          <w:color w:val="000000" w:themeColor="text1"/>
        </w:rPr>
      </w:pPr>
      <w:r w:rsidRPr="004C00F3">
        <w:rPr>
          <w:rFonts w:ascii="Arial" w:hAnsi="Arial" w:cs="Arial"/>
          <w:lang w:val="es-ES"/>
        </w:rPr>
        <w:t>Título del video:</w:t>
      </w:r>
      <w:r w:rsidRPr="004C00F3">
        <w:rPr>
          <w:rFonts w:ascii="Arial" w:hAnsi="Arial" w:cs="Arial"/>
          <w:b/>
          <w:lang w:val="es-ES"/>
        </w:rPr>
        <w:t xml:space="preserve"> </w:t>
      </w:r>
      <w:r w:rsidRPr="00700466" w:rsidR="00700466">
        <w:rPr>
          <w:rFonts w:ascii="Arial" w:hAnsi="Arial" w:cs="Arial"/>
          <w:b/>
          <w:bCs/>
        </w:rPr>
        <w:t>Liquidación y registro en la Planilla Integrada de Seguridad Social (PILA)</w:t>
      </w:r>
    </w:p>
    <w:p w:rsidRPr="00A250BD" w:rsidR="008D0602" w:rsidP="3F9DCDD4" w:rsidRDefault="008D0602" w14:paraId="5A9A9B9B" w14:textId="133A3D47">
      <w:pPr>
        <w:pStyle w:val="g-p"/>
        <w:spacing w:before="0" w:beforeAutospacing="off" w:after="0" w:afterAutospacing="off"/>
        <w:jc w:val="both"/>
        <w:rPr>
          <w:rFonts w:ascii="Arial" w:hAnsi="Arial" w:cs="Arial"/>
          <w:sz w:val="21"/>
          <w:szCs w:val="21"/>
        </w:rPr>
      </w:pPr>
      <w:r w:rsidRPr="3F9DCDD4" w:rsidR="5E1AAEE0">
        <w:rPr>
          <w:rFonts w:ascii="Arial" w:hAnsi="Arial" w:cs="Arial"/>
          <w:sz w:val="21"/>
          <w:szCs w:val="21"/>
        </w:rPr>
        <w:t>La </w:t>
      </w:r>
      <w:r w:rsidRPr="3F9DCDD4" w:rsidR="5E1AAEE0">
        <w:rPr>
          <w:rStyle w:val="Fuerte"/>
          <w:rFonts w:ascii="Arial" w:hAnsi="Arial" w:cs="Arial"/>
          <w:sz w:val="21"/>
          <w:szCs w:val="21"/>
        </w:rPr>
        <w:t>liquidación de aportes al sistema de seguridad social</w:t>
      </w:r>
      <w:r w:rsidRPr="3F9DCDD4" w:rsidR="5E1AAEE0">
        <w:rPr>
          <w:rFonts w:ascii="Arial" w:hAnsi="Arial" w:cs="Arial"/>
          <w:sz w:val="21"/>
          <w:szCs w:val="21"/>
        </w:rPr>
        <w:t> traduce la normativa en valores concretos de </w:t>
      </w:r>
      <w:r w:rsidRPr="3F9DCDD4" w:rsidR="5E1AAEE0">
        <w:rPr>
          <w:rStyle w:val="Fuerte"/>
          <w:rFonts w:ascii="Arial" w:hAnsi="Arial" w:cs="Arial"/>
          <w:sz w:val="21"/>
          <w:szCs w:val="21"/>
        </w:rPr>
        <w:t>cotización</w:t>
      </w:r>
      <w:r w:rsidRPr="3F9DCDD4" w:rsidR="5E1AAEE0">
        <w:rPr>
          <w:rFonts w:ascii="Arial" w:hAnsi="Arial" w:cs="Arial"/>
          <w:sz w:val="21"/>
          <w:szCs w:val="21"/>
        </w:rPr>
        <w:t>. Errores en el </w:t>
      </w:r>
      <w:r w:rsidRPr="3F9DCDD4" w:rsidR="5E1AAEE0">
        <w:rPr>
          <w:rStyle w:val="Fuerte"/>
          <w:rFonts w:ascii="Arial" w:hAnsi="Arial" w:cs="Arial"/>
          <w:sz w:val="21"/>
          <w:szCs w:val="21"/>
        </w:rPr>
        <w:t>Ingreso Base de Cotización (IBC)</w:t>
      </w:r>
      <w:r w:rsidRPr="3F9DCDD4" w:rsidR="5E1AAEE0">
        <w:rPr>
          <w:rFonts w:ascii="Arial" w:hAnsi="Arial" w:cs="Arial"/>
          <w:sz w:val="21"/>
          <w:szCs w:val="21"/>
        </w:rPr>
        <w:t>, los </w:t>
      </w:r>
      <w:r w:rsidRPr="3F9DCDD4" w:rsidR="5E1AAEE0">
        <w:rPr>
          <w:rStyle w:val="Fuerte"/>
          <w:rFonts w:ascii="Arial" w:hAnsi="Arial" w:cs="Arial"/>
          <w:sz w:val="21"/>
          <w:szCs w:val="21"/>
        </w:rPr>
        <w:t>porcentajes</w:t>
      </w:r>
      <w:r w:rsidRPr="3F9DCDD4" w:rsidR="5E1AAEE0">
        <w:rPr>
          <w:rFonts w:ascii="Arial" w:hAnsi="Arial" w:cs="Arial"/>
          <w:sz w:val="21"/>
          <w:szCs w:val="21"/>
        </w:rPr>
        <w:t> o las </w:t>
      </w:r>
      <w:r w:rsidRPr="3F9DCDD4" w:rsidR="5E1AAEE0">
        <w:rPr>
          <w:rStyle w:val="Fuerte"/>
          <w:rFonts w:ascii="Arial" w:hAnsi="Arial" w:cs="Arial"/>
          <w:sz w:val="21"/>
          <w:szCs w:val="21"/>
        </w:rPr>
        <w:t>novedades</w:t>
      </w:r>
      <w:r w:rsidRPr="3F9DCDD4" w:rsidR="045918B5">
        <w:rPr>
          <w:rStyle w:val="Fuerte"/>
          <w:rFonts w:ascii="Arial" w:hAnsi="Arial" w:cs="Arial"/>
          <w:sz w:val="21"/>
          <w:szCs w:val="21"/>
        </w:rPr>
        <w:t>,</w:t>
      </w:r>
      <w:r w:rsidRPr="3F9DCDD4" w:rsidR="5E1AAEE0">
        <w:rPr>
          <w:rFonts w:ascii="Arial" w:hAnsi="Arial" w:cs="Arial"/>
          <w:sz w:val="21"/>
          <w:szCs w:val="21"/>
        </w:rPr>
        <w:t> pueden derivar en investigaciones y sanciones económicas significativas.</w:t>
      </w:r>
    </w:p>
    <w:p w:rsidRPr="00A250BD" w:rsidR="00250025" w:rsidP="008D0602" w:rsidRDefault="00250025" w14:paraId="439B1CEB" w14:textId="77777777">
      <w:pPr>
        <w:pStyle w:val="g-p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</w:p>
    <w:p w:rsidR="008D0602" w:rsidP="008D0602" w:rsidRDefault="008D0602" w14:paraId="785066E4" w14:textId="77777777">
      <w:pPr>
        <w:pStyle w:val="g-p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A250BD">
        <w:rPr>
          <w:rFonts w:ascii="Arial" w:hAnsi="Arial" w:cs="Arial"/>
          <w:sz w:val="21"/>
          <w:szCs w:val="21"/>
        </w:rPr>
        <w:t>En este componente formativo se desarrollan las competencias para </w:t>
      </w:r>
      <w:r w:rsidRPr="00A250BD">
        <w:rPr>
          <w:rStyle w:val="Fuerte"/>
          <w:rFonts w:ascii="Arial" w:hAnsi="Arial" w:cs="Arial"/>
          <w:sz w:val="21"/>
          <w:szCs w:val="21"/>
        </w:rPr>
        <w:t>calcular</w:t>
      </w:r>
      <w:r w:rsidRPr="00A250BD">
        <w:rPr>
          <w:rStyle w:val="Fuerte"/>
          <w:rFonts w:ascii="Arial" w:hAnsi="Arial" w:cs="Arial"/>
          <w:b w:val="0"/>
          <w:bCs w:val="0"/>
          <w:sz w:val="21"/>
          <w:szCs w:val="21"/>
        </w:rPr>
        <w:t xml:space="preserve">, </w:t>
      </w:r>
      <w:r w:rsidRPr="00A250BD">
        <w:rPr>
          <w:rStyle w:val="Fuerte"/>
          <w:rFonts w:ascii="Arial" w:hAnsi="Arial" w:cs="Arial"/>
          <w:sz w:val="21"/>
          <w:szCs w:val="21"/>
        </w:rPr>
        <w:t>liquidar</w:t>
      </w:r>
      <w:r w:rsidRPr="00A250BD">
        <w:rPr>
          <w:rStyle w:val="Fuerte"/>
          <w:rFonts w:ascii="Arial" w:hAnsi="Arial" w:cs="Arial"/>
          <w:b w:val="0"/>
          <w:bCs w:val="0"/>
          <w:sz w:val="21"/>
          <w:szCs w:val="21"/>
        </w:rPr>
        <w:t xml:space="preserve"> y </w:t>
      </w:r>
      <w:r w:rsidRPr="00A250BD">
        <w:rPr>
          <w:rStyle w:val="Fuerte"/>
          <w:rFonts w:ascii="Arial" w:hAnsi="Arial" w:cs="Arial"/>
          <w:sz w:val="21"/>
          <w:szCs w:val="21"/>
        </w:rPr>
        <w:t>registrar</w:t>
      </w:r>
      <w:r w:rsidRPr="00A250BD">
        <w:rPr>
          <w:rFonts w:ascii="Arial" w:hAnsi="Arial" w:cs="Arial"/>
          <w:sz w:val="21"/>
          <w:szCs w:val="21"/>
        </w:rPr>
        <w:t> correctamente los aportes al </w:t>
      </w:r>
      <w:r w:rsidRPr="00A250BD">
        <w:rPr>
          <w:rStyle w:val="Fuerte"/>
          <w:rFonts w:ascii="Arial" w:hAnsi="Arial" w:cs="Arial"/>
          <w:sz w:val="21"/>
          <w:szCs w:val="21"/>
        </w:rPr>
        <w:t>Sistema de Seguridad Social Integral</w:t>
      </w:r>
      <w:r w:rsidRPr="00A250BD">
        <w:rPr>
          <w:rFonts w:ascii="Arial" w:hAnsi="Arial" w:cs="Arial"/>
          <w:sz w:val="21"/>
          <w:szCs w:val="21"/>
        </w:rPr>
        <w:t> mediante la </w:t>
      </w:r>
      <w:r w:rsidRPr="00A250BD">
        <w:rPr>
          <w:rStyle w:val="Fuerte"/>
          <w:rFonts w:ascii="Arial" w:hAnsi="Arial" w:cs="Arial"/>
          <w:sz w:val="21"/>
          <w:szCs w:val="21"/>
        </w:rPr>
        <w:t>Planilla Integrada de Liquidación de Aportes (PILA)</w:t>
      </w:r>
      <w:r w:rsidRPr="00A250BD">
        <w:rPr>
          <w:rFonts w:ascii="Arial" w:hAnsi="Arial" w:cs="Arial"/>
          <w:sz w:val="21"/>
          <w:szCs w:val="21"/>
        </w:rPr>
        <w:t>, con base en la </w:t>
      </w:r>
      <w:r w:rsidRPr="00A250BD">
        <w:rPr>
          <w:rStyle w:val="Fuerte"/>
          <w:rFonts w:ascii="Arial" w:hAnsi="Arial" w:cs="Arial"/>
          <w:sz w:val="21"/>
          <w:szCs w:val="21"/>
        </w:rPr>
        <w:t>normativa colombiana vigente</w:t>
      </w:r>
      <w:r w:rsidRPr="00A250BD">
        <w:rPr>
          <w:rFonts w:ascii="Arial" w:hAnsi="Arial" w:cs="Arial"/>
          <w:sz w:val="21"/>
          <w:szCs w:val="21"/>
        </w:rPr>
        <w:t>.</w:t>
      </w:r>
    </w:p>
    <w:p w:rsidRPr="00A250BD" w:rsidR="00740E38" w:rsidP="008D0602" w:rsidRDefault="00740E38" w14:paraId="6F7CEAC6" w14:textId="77777777">
      <w:pPr>
        <w:pStyle w:val="g-p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</w:p>
    <w:p w:rsidRPr="00A250BD" w:rsidR="008D0602" w:rsidP="008D0602" w:rsidRDefault="008D0602" w14:paraId="3F883403" w14:textId="77777777">
      <w:pPr>
        <w:pStyle w:val="g-p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A250BD">
        <w:rPr>
          <w:rFonts w:ascii="Arial" w:hAnsi="Arial" w:cs="Arial"/>
          <w:sz w:val="21"/>
          <w:szCs w:val="21"/>
        </w:rPr>
        <w:t>Inicialmente, se estudia el </w:t>
      </w:r>
      <w:r w:rsidRPr="00A250BD">
        <w:rPr>
          <w:rStyle w:val="Fuerte"/>
          <w:rFonts w:ascii="Arial" w:hAnsi="Arial" w:cs="Arial"/>
          <w:sz w:val="21"/>
          <w:szCs w:val="21"/>
        </w:rPr>
        <w:t>IBC</w:t>
      </w:r>
      <w:r w:rsidRPr="00A250BD">
        <w:rPr>
          <w:rFonts w:ascii="Arial" w:hAnsi="Arial" w:cs="Arial"/>
          <w:sz w:val="21"/>
          <w:szCs w:val="21"/>
        </w:rPr>
        <w:t>: su concepto, los </w:t>
      </w:r>
      <w:r w:rsidRPr="00A250BD">
        <w:rPr>
          <w:rStyle w:val="Fuerte"/>
          <w:rFonts w:ascii="Arial" w:hAnsi="Arial" w:cs="Arial"/>
          <w:sz w:val="21"/>
          <w:szCs w:val="21"/>
        </w:rPr>
        <w:t>elementos salariales y no salariales</w:t>
      </w:r>
      <w:r w:rsidRPr="00A250BD">
        <w:rPr>
          <w:rFonts w:ascii="Arial" w:hAnsi="Arial" w:cs="Arial"/>
          <w:sz w:val="21"/>
          <w:szCs w:val="21"/>
        </w:rPr>
        <w:t> que lo conforman, los métodos de cálculo para </w:t>
      </w:r>
      <w:r w:rsidRPr="00A250BD">
        <w:rPr>
          <w:rStyle w:val="Fuerte"/>
          <w:rFonts w:ascii="Arial" w:hAnsi="Arial" w:cs="Arial"/>
          <w:sz w:val="21"/>
          <w:szCs w:val="21"/>
        </w:rPr>
        <w:t>dependientes</w:t>
      </w:r>
      <w:r w:rsidRPr="00A250BD">
        <w:rPr>
          <w:rStyle w:val="Fuerte"/>
          <w:rFonts w:ascii="Arial" w:hAnsi="Arial" w:cs="Arial"/>
          <w:b w:val="0"/>
          <w:bCs w:val="0"/>
          <w:sz w:val="21"/>
          <w:szCs w:val="21"/>
        </w:rPr>
        <w:t xml:space="preserve">, </w:t>
      </w:r>
      <w:r w:rsidRPr="00A250BD">
        <w:rPr>
          <w:rStyle w:val="Fuerte"/>
          <w:rFonts w:ascii="Arial" w:hAnsi="Arial" w:cs="Arial"/>
          <w:sz w:val="21"/>
          <w:szCs w:val="21"/>
        </w:rPr>
        <w:t>independientes</w:t>
      </w:r>
      <w:r w:rsidRPr="00A250BD">
        <w:rPr>
          <w:rStyle w:val="Fuerte"/>
          <w:rFonts w:ascii="Arial" w:hAnsi="Arial" w:cs="Arial"/>
          <w:b w:val="0"/>
          <w:bCs w:val="0"/>
          <w:sz w:val="21"/>
          <w:szCs w:val="21"/>
        </w:rPr>
        <w:t xml:space="preserve"> y </w:t>
      </w:r>
      <w:r w:rsidRPr="00A250BD">
        <w:rPr>
          <w:rStyle w:val="Fuerte"/>
          <w:rFonts w:ascii="Arial" w:hAnsi="Arial" w:cs="Arial"/>
          <w:sz w:val="21"/>
          <w:szCs w:val="21"/>
        </w:rPr>
        <w:t>contratistas</w:t>
      </w:r>
      <w:r w:rsidRPr="00A250BD">
        <w:rPr>
          <w:rFonts w:ascii="Arial" w:hAnsi="Arial" w:cs="Arial"/>
          <w:sz w:val="21"/>
          <w:szCs w:val="21"/>
        </w:rPr>
        <w:t>, y los </w:t>
      </w:r>
      <w:r w:rsidRPr="00A250BD">
        <w:rPr>
          <w:rStyle w:val="Fuerte"/>
          <w:rFonts w:ascii="Arial" w:hAnsi="Arial" w:cs="Arial"/>
          <w:sz w:val="21"/>
          <w:szCs w:val="21"/>
        </w:rPr>
        <w:t>topes mínimos y máximos</w:t>
      </w:r>
      <w:r w:rsidRPr="00A250BD">
        <w:rPr>
          <w:rFonts w:ascii="Arial" w:hAnsi="Arial" w:cs="Arial"/>
          <w:sz w:val="21"/>
          <w:szCs w:val="21"/>
        </w:rPr>
        <w:t> que determina la normativa.</w:t>
      </w:r>
    </w:p>
    <w:p w:rsidRPr="00A250BD" w:rsidR="0079335C" w:rsidP="008D0602" w:rsidRDefault="0079335C" w14:paraId="68E041A3" w14:textId="77777777">
      <w:pPr>
        <w:pStyle w:val="g-p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</w:p>
    <w:p w:rsidRPr="00A250BD" w:rsidR="008D0602" w:rsidP="008D0602" w:rsidRDefault="008D0602" w14:paraId="6740223E" w14:textId="77777777">
      <w:pPr>
        <w:pStyle w:val="g-p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A250BD">
        <w:rPr>
          <w:rFonts w:ascii="Arial" w:hAnsi="Arial" w:cs="Arial"/>
          <w:sz w:val="21"/>
          <w:szCs w:val="21"/>
        </w:rPr>
        <w:t>Luego, se analizan los </w:t>
      </w:r>
      <w:r w:rsidRPr="00A250BD">
        <w:rPr>
          <w:rStyle w:val="Fuerte"/>
          <w:rFonts w:ascii="Arial" w:hAnsi="Arial" w:cs="Arial"/>
          <w:sz w:val="21"/>
          <w:szCs w:val="21"/>
        </w:rPr>
        <w:t>regímenes de afiliación</w:t>
      </w:r>
      <w:r w:rsidRPr="00A250BD">
        <w:rPr>
          <w:rFonts w:ascii="Arial" w:hAnsi="Arial" w:cs="Arial"/>
          <w:sz w:val="21"/>
          <w:szCs w:val="21"/>
        </w:rPr>
        <w:t> y los </w:t>
      </w:r>
      <w:r w:rsidRPr="00A250BD">
        <w:rPr>
          <w:rStyle w:val="Fuerte"/>
          <w:rFonts w:ascii="Arial" w:hAnsi="Arial" w:cs="Arial"/>
          <w:sz w:val="21"/>
          <w:szCs w:val="21"/>
        </w:rPr>
        <w:t>porcentajes de cotización</w:t>
      </w:r>
      <w:r w:rsidRPr="00A250BD">
        <w:rPr>
          <w:rFonts w:ascii="Arial" w:hAnsi="Arial" w:cs="Arial"/>
          <w:sz w:val="21"/>
          <w:szCs w:val="21"/>
        </w:rPr>
        <w:t> a </w:t>
      </w:r>
      <w:r w:rsidRPr="00A250BD">
        <w:rPr>
          <w:rStyle w:val="Fuerte"/>
          <w:rFonts w:ascii="Arial" w:hAnsi="Arial" w:cs="Arial"/>
          <w:sz w:val="21"/>
          <w:szCs w:val="21"/>
        </w:rPr>
        <w:t>salud</w:t>
      </w:r>
      <w:r w:rsidRPr="00A250BD">
        <w:rPr>
          <w:rStyle w:val="Fuerte"/>
          <w:rFonts w:ascii="Arial" w:hAnsi="Arial" w:cs="Arial"/>
          <w:b w:val="0"/>
          <w:bCs w:val="0"/>
          <w:sz w:val="21"/>
          <w:szCs w:val="21"/>
        </w:rPr>
        <w:t xml:space="preserve">, </w:t>
      </w:r>
      <w:r w:rsidRPr="00A250BD">
        <w:rPr>
          <w:rStyle w:val="Fuerte"/>
          <w:rFonts w:ascii="Arial" w:hAnsi="Arial" w:cs="Arial"/>
          <w:sz w:val="21"/>
          <w:szCs w:val="21"/>
        </w:rPr>
        <w:t>pensión y riesgos laborales</w:t>
      </w:r>
      <w:r w:rsidRPr="00A250BD">
        <w:rPr>
          <w:rFonts w:ascii="Arial" w:hAnsi="Arial" w:cs="Arial"/>
          <w:sz w:val="21"/>
          <w:szCs w:val="21"/>
        </w:rPr>
        <w:t>, junto con los </w:t>
      </w:r>
      <w:r w:rsidRPr="00A250BD">
        <w:rPr>
          <w:rStyle w:val="Fuerte"/>
          <w:rFonts w:ascii="Arial" w:hAnsi="Arial" w:cs="Arial"/>
          <w:sz w:val="21"/>
          <w:szCs w:val="21"/>
        </w:rPr>
        <w:t>aportes parafiscales</w:t>
      </w:r>
      <w:r w:rsidRPr="00A250BD">
        <w:rPr>
          <w:rFonts w:ascii="Arial" w:hAnsi="Arial" w:cs="Arial"/>
          <w:sz w:val="21"/>
          <w:szCs w:val="21"/>
        </w:rPr>
        <w:t> y las </w:t>
      </w:r>
      <w:r w:rsidRPr="00A250BD">
        <w:rPr>
          <w:rStyle w:val="Fuerte"/>
          <w:rFonts w:ascii="Arial" w:hAnsi="Arial" w:cs="Arial"/>
          <w:sz w:val="21"/>
          <w:szCs w:val="21"/>
        </w:rPr>
        <w:t>exoneraciones</w:t>
      </w:r>
      <w:r w:rsidRPr="00A250BD">
        <w:rPr>
          <w:rFonts w:ascii="Arial" w:hAnsi="Arial" w:cs="Arial"/>
          <w:sz w:val="21"/>
          <w:szCs w:val="21"/>
        </w:rPr>
        <w:t> que la ley establece para las pequeñas empresas.</w:t>
      </w:r>
    </w:p>
    <w:p w:rsidRPr="00A250BD" w:rsidR="00FB18F0" w:rsidP="008D0602" w:rsidRDefault="00FB18F0" w14:paraId="6A75ACB9" w14:textId="77777777">
      <w:pPr>
        <w:pStyle w:val="g-p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</w:p>
    <w:p w:rsidRPr="00A250BD" w:rsidR="00FB18F0" w:rsidP="00FB18F0" w:rsidRDefault="00FB18F0" w14:paraId="7E30E062" w14:textId="14FB8549">
      <w:pPr>
        <w:pStyle w:val="g-p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  <w:r w:rsidRPr="00A250BD">
        <w:rPr>
          <w:rFonts w:ascii="Arial" w:hAnsi="Arial" w:cs="Arial"/>
          <w:sz w:val="21"/>
          <w:szCs w:val="21"/>
        </w:rPr>
        <w:t>Seguidamente, se describen los </w:t>
      </w:r>
      <w:r w:rsidRPr="00A250BD">
        <w:rPr>
          <w:rStyle w:val="Fuerte"/>
          <w:rFonts w:ascii="Arial" w:hAnsi="Arial" w:cs="Arial"/>
          <w:sz w:val="21"/>
          <w:szCs w:val="21"/>
        </w:rPr>
        <w:t>tipos de planilla PILA</w:t>
      </w:r>
      <w:r w:rsidRPr="00A250BD">
        <w:rPr>
          <w:rFonts w:ascii="Arial" w:hAnsi="Arial" w:cs="Arial"/>
          <w:sz w:val="21"/>
          <w:szCs w:val="21"/>
        </w:rPr>
        <w:t> según el cotizante, el proceso de </w:t>
      </w:r>
      <w:r w:rsidRPr="00A250BD">
        <w:rPr>
          <w:rStyle w:val="Fuerte"/>
          <w:rFonts w:ascii="Arial" w:hAnsi="Arial" w:cs="Arial"/>
          <w:sz w:val="21"/>
          <w:szCs w:val="21"/>
        </w:rPr>
        <w:t>elaboración y diligenciamiento</w:t>
      </w:r>
      <w:r w:rsidRPr="00A250BD">
        <w:rPr>
          <w:rFonts w:ascii="Arial" w:hAnsi="Arial" w:cs="Arial"/>
          <w:sz w:val="21"/>
          <w:szCs w:val="21"/>
        </w:rPr>
        <w:t>, los </w:t>
      </w:r>
      <w:r w:rsidRPr="00A250BD">
        <w:rPr>
          <w:rStyle w:val="Fuerte"/>
          <w:rFonts w:ascii="Arial" w:hAnsi="Arial" w:cs="Arial"/>
          <w:sz w:val="21"/>
          <w:szCs w:val="21"/>
        </w:rPr>
        <w:t>plazos de pago</w:t>
      </w:r>
      <w:r w:rsidRPr="00A250BD">
        <w:rPr>
          <w:rFonts w:ascii="Arial" w:hAnsi="Arial" w:cs="Arial"/>
          <w:sz w:val="21"/>
          <w:szCs w:val="21"/>
        </w:rPr>
        <w:t>, los mecanismos de </w:t>
      </w:r>
      <w:r w:rsidRPr="00A250BD">
        <w:rPr>
          <w:rStyle w:val="Fuerte"/>
          <w:rFonts w:ascii="Arial" w:hAnsi="Arial" w:cs="Arial"/>
          <w:sz w:val="21"/>
          <w:szCs w:val="21"/>
        </w:rPr>
        <w:t>corrección</w:t>
      </w:r>
      <w:r w:rsidRPr="00A250BD">
        <w:rPr>
          <w:rStyle w:val="Fuerte"/>
          <w:rFonts w:ascii="Arial" w:hAnsi="Arial" w:cs="Arial"/>
          <w:b w:val="0"/>
          <w:bCs w:val="0"/>
          <w:sz w:val="21"/>
          <w:szCs w:val="21"/>
        </w:rPr>
        <w:t xml:space="preserve"> y </w:t>
      </w:r>
      <w:r w:rsidRPr="00A250BD">
        <w:rPr>
          <w:rStyle w:val="Fuerte"/>
          <w:rFonts w:ascii="Arial" w:hAnsi="Arial" w:cs="Arial"/>
          <w:sz w:val="21"/>
          <w:szCs w:val="21"/>
        </w:rPr>
        <w:t>anulación</w:t>
      </w:r>
      <w:r w:rsidRPr="00A250BD">
        <w:rPr>
          <w:rFonts w:ascii="Arial" w:hAnsi="Arial" w:cs="Arial"/>
          <w:sz w:val="21"/>
          <w:szCs w:val="21"/>
        </w:rPr>
        <w:t>,</w:t>
      </w:r>
      <w:r w:rsidR="00B867C0">
        <w:rPr>
          <w:rFonts w:ascii="Arial" w:hAnsi="Arial" w:cs="Arial"/>
          <w:sz w:val="21"/>
          <w:szCs w:val="21"/>
        </w:rPr>
        <w:t xml:space="preserve"> </w:t>
      </w:r>
      <w:r w:rsidRPr="00A250BD">
        <w:rPr>
          <w:rFonts w:ascii="Arial" w:hAnsi="Arial" w:cs="Arial"/>
          <w:sz w:val="21"/>
          <w:szCs w:val="21"/>
        </w:rPr>
        <w:t>el </w:t>
      </w:r>
      <w:r w:rsidRPr="00A250BD">
        <w:rPr>
          <w:rStyle w:val="Fuerte"/>
          <w:rFonts w:ascii="Arial" w:hAnsi="Arial" w:cs="Arial"/>
          <w:sz w:val="21"/>
          <w:szCs w:val="21"/>
        </w:rPr>
        <w:t>registro contable de los aportes</w:t>
      </w:r>
      <w:r w:rsidRPr="00A250BD">
        <w:rPr>
          <w:rFonts w:ascii="Arial" w:hAnsi="Arial" w:cs="Arial"/>
          <w:sz w:val="21"/>
          <w:szCs w:val="21"/>
        </w:rPr>
        <w:t> y la resolución de </w:t>
      </w:r>
      <w:r w:rsidRPr="00A250BD">
        <w:rPr>
          <w:rStyle w:val="Fuerte"/>
          <w:rFonts w:ascii="Arial" w:hAnsi="Arial" w:cs="Arial"/>
          <w:sz w:val="21"/>
          <w:szCs w:val="21"/>
        </w:rPr>
        <w:t>casos prácticos</w:t>
      </w:r>
      <w:r w:rsidRPr="00A250BD">
        <w:rPr>
          <w:rFonts w:ascii="Arial" w:hAnsi="Arial" w:cs="Arial"/>
          <w:sz w:val="21"/>
          <w:szCs w:val="21"/>
        </w:rPr>
        <w:t> de liquidación.</w:t>
      </w:r>
    </w:p>
    <w:p w:rsidRPr="00A250BD" w:rsidR="00FB18F0" w:rsidP="00FB18F0" w:rsidRDefault="00FB18F0" w14:paraId="47C0F5A1" w14:textId="77777777">
      <w:pPr>
        <w:pStyle w:val="g-p"/>
        <w:spacing w:before="0" w:beforeAutospacing="0" w:after="0" w:afterAutospacing="0"/>
        <w:jc w:val="both"/>
        <w:rPr>
          <w:rFonts w:ascii="Arial" w:hAnsi="Arial" w:cs="Arial"/>
          <w:sz w:val="21"/>
          <w:szCs w:val="21"/>
        </w:rPr>
      </w:pPr>
    </w:p>
    <w:p w:rsidRPr="00A250BD" w:rsidR="00FB18F0" w:rsidP="3F9DCDD4" w:rsidRDefault="00FB18F0" w14:paraId="341D0205" w14:textId="358D0066">
      <w:pPr>
        <w:pStyle w:val="g-p"/>
        <w:spacing w:before="0" w:beforeAutospacing="off" w:after="0" w:afterAutospacing="off"/>
        <w:jc w:val="both"/>
        <w:rPr>
          <w:rFonts w:ascii="Arial" w:hAnsi="Arial" w:cs="Arial"/>
          <w:sz w:val="21"/>
          <w:szCs w:val="21"/>
        </w:rPr>
      </w:pPr>
      <w:r w:rsidRPr="3F9DCDD4" w:rsidR="73E5084C">
        <w:rPr>
          <w:rFonts w:ascii="Arial" w:hAnsi="Arial" w:cs="Arial"/>
          <w:sz w:val="21"/>
          <w:szCs w:val="21"/>
        </w:rPr>
        <w:t>El estudio de estos contenidos permite al </w:t>
      </w:r>
      <w:r w:rsidRPr="3F9DCDD4" w:rsidR="73E5084C">
        <w:rPr>
          <w:rStyle w:val="Fuerte"/>
          <w:rFonts w:ascii="Arial" w:hAnsi="Arial" w:cs="Arial"/>
          <w:sz w:val="21"/>
          <w:szCs w:val="21"/>
        </w:rPr>
        <w:t>profesional de nómina</w:t>
      </w:r>
      <w:r w:rsidRPr="3F9DCDD4" w:rsidR="73E5084C">
        <w:rPr>
          <w:rFonts w:ascii="Arial" w:hAnsi="Arial" w:cs="Arial"/>
          <w:sz w:val="21"/>
          <w:szCs w:val="21"/>
        </w:rPr>
        <w:t>, al </w:t>
      </w:r>
      <w:r w:rsidRPr="3F9DCDD4" w:rsidR="73E5084C">
        <w:rPr>
          <w:rStyle w:val="Fuerte"/>
          <w:rFonts w:ascii="Arial" w:hAnsi="Arial" w:cs="Arial"/>
          <w:sz w:val="21"/>
          <w:szCs w:val="21"/>
        </w:rPr>
        <w:t>empleador</w:t>
      </w:r>
      <w:r w:rsidRPr="3F9DCDD4" w:rsidR="73E5084C">
        <w:rPr>
          <w:rFonts w:ascii="Arial" w:hAnsi="Arial" w:cs="Arial"/>
          <w:sz w:val="21"/>
          <w:szCs w:val="21"/>
        </w:rPr>
        <w:t> y al </w:t>
      </w:r>
      <w:r w:rsidRPr="3F9DCDD4" w:rsidR="73E5084C">
        <w:rPr>
          <w:rStyle w:val="Fuerte"/>
          <w:rFonts w:ascii="Arial" w:hAnsi="Arial" w:cs="Arial"/>
          <w:sz w:val="21"/>
          <w:szCs w:val="21"/>
        </w:rPr>
        <w:t>contratante</w:t>
      </w:r>
      <w:r w:rsidRPr="3F9DCDD4" w:rsidR="48D2EFED">
        <w:rPr>
          <w:rStyle w:val="Fuerte"/>
          <w:rFonts w:ascii="Arial" w:hAnsi="Arial" w:cs="Arial"/>
          <w:sz w:val="21"/>
          <w:szCs w:val="21"/>
        </w:rPr>
        <w:t>,</w:t>
      </w:r>
      <w:r w:rsidRPr="3F9DCDD4" w:rsidR="73E5084C">
        <w:rPr>
          <w:rFonts w:ascii="Arial" w:hAnsi="Arial" w:cs="Arial"/>
          <w:sz w:val="21"/>
          <w:szCs w:val="21"/>
        </w:rPr>
        <w:t> calcular con precisión los </w:t>
      </w:r>
      <w:r w:rsidRPr="3F9DCDD4" w:rsidR="73E5084C">
        <w:rPr>
          <w:rStyle w:val="Fuerte"/>
          <w:rFonts w:ascii="Arial" w:hAnsi="Arial" w:cs="Arial"/>
          <w:sz w:val="21"/>
          <w:szCs w:val="21"/>
        </w:rPr>
        <w:t>aportes al sistema</w:t>
      </w:r>
      <w:r w:rsidRPr="3F9DCDD4" w:rsidR="73E5084C">
        <w:rPr>
          <w:rFonts w:ascii="Arial" w:hAnsi="Arial" w:cs="Arial"/>
          <w:sz w:val="21"/>
          <w:szCs w:val="21"/>
        </w:rPr>
        <w:t>, garantizar el </w:t>
      </w:r>
      <w:r w:rsidRPr="3F9DCDD4" w:rsidR="73E5084C">
        <w:rPr>
          <w:rStyle w:val="Fuerte"/>
          <w:rFonts w:ascii="Arial" w:hAnsi="Arial" w:cs="Arial"/>
          <w:sz w:val="21"/>
          <w:szCs w:val="21"/>
        </w:rPr>
        <w:t>cumplimiento normativo</w:t>
      </w:r>
      <w:r w:rsidRPr="3F9DCDD4" w:rsidR="73E5084C">
        <w:rPr>
          <w:rFonts w:ascii="Arial" w:hAnsi="Arial" w:cs="Arial"/>
          <w:sz w:val="21"/>
          <w:szCs w:val="21"/>
        </w:rPr>
        <w:t> y proteger los derechos en </w:t>
      </w:r>
      <w:r w:rsidRPr="3F9DCDD4" w:rsidR="73E5084C">
        <w:rPr>
          <w:rStyle w:val="Fuerte"/>
          <w:rFonts w:ascii="Arial" w:hAnsi="Arial" w:cs="Arial"/>
          <w:sz w:val="21"/>
          <w:szCs w:val="21"/>
        </w:rPr>
        <w:t>salud, pensión y riesgos laborales</w:t>
      </w:r>
      <w:r w:rsidRPr="3F9DCDD4" w:rsidR="73E5084C">
        <w:rPr>
          <w:rFonts w:ascii="Arial" w:hAnsi="Arial" w:cs="Arial"/>
          <w:sz w:val="21"/>
          <w:szCs w:val="21"/>
        </w:rPr>
        <w:t> de cada trabajador colombiano.</w:t>
      </w:r>
    </w:p>
    <w:p w:rsidR="00822775" w:rsidP="00B13AAA" w:rsidRDefault="00822775" w14:paraId="525EBA7F" w14:textId="77777777">
      <w:pPr>
        <w:rPr>
          <w:rFonts w:ascii="Arial" w:hAnsi="Arial" w:cs="Arial"/>
          <w:b/>
          <w:bCs/>
          <w:color w:val="000000" w:themeColor="text1"/>
        </w:rPr>
      </w:pPr>
    </w:p>
    <w:p w:rsidRPr="00822775" w:rsidR="0034187D" w:rsidP="00B13AAA" w:rsidRDefault="00E56588" w14:paraId="1DA72FD2" w14:textId="4971C692">
      <w:pPr>
        <w:rPr>
          <w:rFonts w:ascii="Arial" w:hAnsi="Arial" w:cs="Arial"/>
          <w:color w:val="000000" w:themeColor="text1"/>
        </w:rPr>
      </w:pPr>
      <w:r w:rsidRPr="00E56588">
        <w:rPr>
          <w:rFonts w:ascii="Arial" w:hAnsi="Arial" w:cs="Arial"/>
          <w:b/>
          <w:bCs/>
          <w:color w:val="000000" w:themeColor="text1"/>
        </w:rPr>
        <w:t>Total:</w:t>
      </w:r>
      <w:r w:rsidRPr="00E56588">
        <w:rPr>
          <w:rFonts w:ascii="Arial" w:hAnsi="Arial" w:cs="Arial"/>
          <w:color w:val="000000" w:themeColor="text1"/>
        </w:rPr>
        <w:t xml:space="preserve"> 2</w:t>
      </w:r>
      <w:r w:rsidR="00A82904">
        <w:rPr>
          <w:rFonts w:ascii="Arial" w:hAnsi="Arial" w:cs="Arial"/>
          <w:color w:val="000000" w:themeColor="text1"/>
        </w:rPr>
        <w:t>26</w:t>
      </w:r>
      <w:r w:rsidRPr="00E56588">
        <w:rPr>
          <w:rFonts w:ascii="Arial" w:hAnsi="Arial" w:cs="Arial"/>
          <w:color w:val="000000" w:themeColor="text1"/>
        </w:rPr>
        <w:t xml:space="preserve"> palabras.</w:t>
      </w:r>
    </w:p>
    <w:sectPr w:rsidRPr="00822775" w:rsidR="0034187D"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40EC9"/>
    <w:multiLevelType w:val="hybridMultilevel"/>
    <w:tmpl w:val="CB40F4A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0313D3A"/>
    <w:multiLevelType w:val="hybridMultilevel"/>
    <w:tmpl w:val="4240E2E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93526186">
    <w:abstractNumId w:val="0"/>
  </w:num>
  <w:num w:numId="2" w16cid:durableId="6631656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187D"/>
    <w:rsid w:val="000138E6"/>
    <w:rsid w:val="00014EA1"/>
    <w:rsid w:val="00047745"/>
    <w:rsid w:val="0007490C"/>
    <w:rsid w:val="000A032F"/>
    <w:rsid w:val="000A2204"/>
    <w:rsid w:val="000B5069"/>
    <w:rsid w:val="00103092"/>
    <w:rsid w:val="00122354"/>
    <w:rsid w:val="0015231C"/>
    <w:rsid w:val="00155DF1"/>
    <w:rsid w:val="00160347"/>
    <w:rsid w:val="0018342C"/>
    <w:rsid w:val="00192FD9"/>
    <w:rsid w:val="001A53EA"/>
    <w:rsid w:val="001D6598"/>
    <w:rsid w:val="001E0849"/>
    <w:rsid w:val="00220B3D"/>
    <w:rsid w:val="002244E0"/>
    <w:rsid w:val="00235495"/>
    <w:rsid w:val="00241A0E"/>
    <w:rsid w:val="00242B75"/>
    <w:rsid w:val="00243793"/>
    <w:rsid w:val="002456CE"/>
    <w:rsid w:val="00250025"/>
    <w:rsid w:val="00263EA5"/>
    <w:rsid w:val="00270492"/>
    <w:rsid w:val="00277657"/>
    <w:rsid w:val="00277964"/>
    <w:rsid w:val="0028036C"/>
    <w:rsid w:val="00282254"/>
    <w:rsid w:val="002865F0"/>
    <w:rsid w:val="002A114A"/>
    <w:rsid w:val="002C3673"/>
    <w:rsid w:val="002F68D8"/>
    <w:rsid w:val="003006AD"/>
    <w:rsid w:val="00310A1F"/>
    <w:rsid w:val="00321909"/>
    <w:rsid w:val="00325FB5"/>
    <w:rsid w:val="0034187D"/>
    <w:rsid w:val="00352B3A"/>
    <w:rsid w:val="003824D8"/>
    <w:rsid w:val="00382BF9"/>
    <w:rsid w:val="00386732"/>
    <w:rsid w:val="00395D69"/>
    <w:rsid w:val="003B594B"/>
    <w:rsid w:val="003F0B40"/>
    <w:rsid w:val="00422835"/>
    <w:rsid w:val="004512AC"/>
    <w:rsid w:val="00475DC3"/>
    <w:rsid w:val="004C00F3"/>
    <w:rsid w:val="004D15A9"/>
    <w:rsid w:val="004F26B6"/>
    <w:rsid w:val="005176E4"/>
    <w:rsid w:val="00523ABB"/>
    <w:rsid w:val="00542D51"/>
    <w:rsid w:val="00550D97"/>
    <w:rsid w:val="00573BDE"/>
    <w:rsid w:val="0057787B"/>
    <w:rsid w:val="00585448"/>
    <w:rsid w:val="00590D97"/>
    <w:rsid w:val="00593A5B"/>
    <w:rsid w:val="005A01CC"/>
    <w:rsid w:val="005B5967"/>
    <w:rsid w:val="005E049F"/>
    <w:rsid w:val="006132D6"/>
    <w:rsid w:val="0061407B"/>
    <w:rsid w:val="00616C58"/>
    <w:rsid w:val="006353EE"/>
    <w:rsid w:val="00655FB5"/>
    <w:rsid w:val="00666672"/>
    <w:rsid w:val="006711B4"/>
    <w:rsid w:val="006F0C71"/>
    <w:rsid w:val="00700466"/>
    <w:rsid w:val="00713224"/>
    <w:rsid w:val="007246E8"/>
    <w:rsid w:val="0072619C"/>
    <w:rsid w:val="00727B47"/>
    <w:rsid w:val="00734FCE"/>
    <w:rsid w:val="00740E38"/>
    <w:rsid w:val="00750864"/>
    <w:rsid w:val="00755A14"/>
    <w:rsid w:val="00755B71"/>
    <w:rsid w:val="007767C2"/>
    <w:rsid w:val="00776ED2"/>
    <w:rsid w:val="0077777A"/>
    <w:rsid w:val="00790513"/>
    <w:rsid w:val="0079335C"/>
    <w:rsid w:val="007A4279"/>
    <w:rsid w:val="007B608A"/>
    <w:rsid w:val="007C13A9"/>
    <w:rsid w:val="0080726A"/>
    <w:rsid w:val="00814543"/>
    <w:rsid w:val="008214F4"/>
    <w:rsid w:val="00822775"/>
    <w:rsid w:val="00827B49"/>
    <w:rsid w:val="00835766"/>
    <w:rsid w:val="00844D29"/>
    <w:rsid w:val="00856931"/>
    <w:rsid w:val="008615D8"/>
    <w:rsid w:val="00863081"/>
    <w:rsid w:val="00896F06"/>
    <w:rsid w:val="008B5BA5"/>
    <w:rsid w:val="008D0602"/>
    <w:rsid w:val="008E0ADB"/>
    <w:rsid w:val="008F5429"/>
    <w:rsid w:val="00906060"/>
    <w:rsid w:val="009110C9"/>
    <w:rsid w:val="00913ECA"/>
    <w:rsid w:val="00936CBB"/>
    <w:rsid w:val="00975239"/>
    <w:rsid w:val="00987D84"/>
    <w:rsid w:val="00991D28"/>
    <w:rsid w:val="009925D4"/>
    <w:rsid w:val="009C50CC"/>
    <w:rsid w:val="009D5673"/>
    <w:rsid w:val="009D760E"/>
    <w:rsid w:val="00A02D94"/>
    <w:rsid w:val="00A250BD"/>
    <w:rsid w:val="00A82904"/>
    <w:rsid w:val="00A90A59"/>
    <w:rsid w:val="00A9199E"/>
    <w:rsid w:val="00AB68BC"/>
    <w:rsid w:val="00AD19E6"/>
    <w:rsid w:val="00AD7724"/>
    <w:rsid w:val="00AF60CA"/>
    <w:rsid w:val="00B10C04"/>
    <w:rsid w:val="00B13AAA"/>
    <w:rsid w:val="00B313AE"/>
    <w:rsid w:val="00B37054"/>
    <w:rsid w:val="00B55E05"/>
    <w:rsid w:val="00B7651B"/>
    <w:rsid w:val="00B76F52"/>
    <w:rsid w:val="00B77ED7"/>
    <w:rsid w:val="00B867C0"/>
    <w:rsid w:val="00B87676"/>
    <w:rsid w:val="00BA61B0"/>
    <w:rsid w:val="00BD5271"/>
    <w:rsid w:val="00BD7BF1"/>
    <w:rsid w:val="00BE1783"/>
    <w:rsid w:val="00BE19A7"/>
    <w:rsid w:val="00C009FD"/>
    <w:rsid w:val="00C06BD2"/>
    <w:rsid w:val="00C27E7C"/>
    <w:rsid w:val="00C748F8"/>
    <w:rsid w:val="00C75EF4"/>
    <w:rsid w:val="00C8699F"/>
    <w:rsid w:val="00CA29CD"/>
    <w:rsid w:val="00CA7AA0"/>
    <w:rsid w:val="00CB0677"/>
    <w:rsid w:val="00CD413A"/>
    <w:rsid w:val="00CE4220"/>
    <w:rsid w:val="00D05EF7"/>
    <w:rsid w:val="00D22D28"/>
    <w:rsid w:val="00D25CA3"/>
    <w:rsid w:val="00D2797B"/>
    <w:rsid w:val="00D47F5A"/>
    <w:rsid w:val="00DA4B31"/>
    <w:rsid w:val="00DB5190"/>
    <w:rsid w:val="00DD2A4C"/>
    <w:rsid w:val="00DE79C2"/>
    <w:rsid w:val="00DE79F8"/>
    <w:rsid w:val="00DF75F8"/>
    <w:rsid w:val="00E14988"/>
    <w:rsid w:val="00E157A2"/>
    <w:rsid w:val="00E165E1"/>
    <w:rsid w:val="00E56588"/>
    <w:rsid w:val="00E61E06"/>
    <w:rsid w:val="00E65E24"/>
    <w:rsid w:val="00E81A67"/>
    <w:rsid w:val="00EA1971"/>
    <w:rsid w:val="00EB5CE5"/>
    <w:rsid w:val="00EB6F90"/>
    <w:rsid w:val="00EC5E9A"/>
    <w:rsid w:val="00ED0679"/>
    <w:rsid w:val="00ED4BC2"/>
    <w:rsid w:val="00EF5756"/>
    <w:rsid w:val="00F1505C"/>
    <w:rsid w:val="00F22226"/>
    <w:rsid w:val="00F34F6E"/>
    <w:rsid w:val="00F507B8"/>
    <w:rsid w:val="00F545E1"/>
    <w:rsid w:val="00F8680C"/>
    <w:rsid w:val="00FA7096"/>
    <w:rsid w:val="00FB18F0"/>
    <w:rsid w:val="00FB293D"/>
    <w:rsid w:val="00FC197E"/>
    <w:rsid w:val="00FD12D9"/>
    <w:rsid w:val="00FE67F8"/>
    <w:rsid w:val="00FF7EFF"/>
    <w:rsid w:val="045918B5"/>
    <w:rsid w:val="0D07F5A2"/>
    <w:rsid w:val="1839B09C"/>
    <w:rsid w:val="206C7042"/>
    <w:rsid w:val="2467C599"/>
    <w:rsid w:val="2C1D3750"/>
    <w:rsid w:val="355076E0"/>
    <w:rsid w:val="3F9DCDD4"/>
    <w:rsid w:val="48D2EFED"/>
    <w:rsid w:val="570AC7F7"/>
    <w:rsid w:val="5BCDB0D9"/>
    <w:rsid w:val="5E1AAEE0"/>
    <w:rsid w:val="73E508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10ACB2"/>
  <w15:chartTrackingRefBased/>
  <w15:docId w15:val="{122460C4-5872-45D2-9D14-1AA8A48F25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uentedeprrafopredeter" w:default="1">
    <w:name w:val="Default Paragraph Font"/>
    <w:uiPriority w:val="1"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149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paragraph" w:styleId="Prrafodelista">
    <w:name w:val="List Paragraph"/>
    <w:basedOn w:val="Normal"/>
    <w:uiPriority w:val="34"/>
    <w:qFormat/>
    <w:rsid w:val="00242B75"/>
    <w:pPr>
      <w:ind w:left="720"/>
      <w:contextualSpacing/>
    </w:pPr>
  </w:style>
  <w:style w:type="paragraph" w:styleId="font-claude-response-body" w:customStyle="1">
    <w:name w:val="font-claude-response-body"/>
    <w:basedOn w:val="Normal"/>
    <w:rsid w:val="00755B71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  <w:style w:type="character" w:styleId="Fuerte">
    <w:name w:val="Strong"/>
    <w:basedOn w:val="Fuentedeprrafopredeter"/>
    <w:uiPriority w:val="22"/>
    <w:qFormat/>
    <w:rsid w:val="00755B71"/>
    <w:rPr>
      <w:b/>
      <w:bCs/>
    </w:rPr>
  </w:style>
  <w:style w:type="paragraph" w:styleId="g-p" w:customStyle="1">
    <w:name w:val="g-p"/>
    <w:basedOn w:val="Normal"/>
    <w:rsid w:val="008D06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03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1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56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4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67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microsoft.com/office/2020/10/relationships/intelligence" Target="intelligence2.xml" Id="rId10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40E4241-7D22-40D4-9F65-F8D3378A8CBC}">
  <ds:schemaRefs>
    <ds:schemaRef ds:uri="http://schemas.microsoft.com/office/2006/metadata/properties"/>
    <ds:schemaRef ds:uri="http://schemas.microsoft.com/office/infopath/2007/PartnerControls"/>
    <ds:schemaRef ds:uri="13c90a0b-73bc-4dc0-be5f-28d77b615beb"/>
    <ds:schemaRef ds:uri="13c93bba-48ce-428c-bfe5-88b42c19b028"/>
  </ds:schemaRefs>
</ds:datastoreItem>
</file>

<file path=customXml/itemProps2.xml><?xml version="1.0" encoding="utf-8"?>
<ds:datastoreItem xmlns:ds="http://schemas.openxmlformats.org/officeDocument/2006/customXml" ds:itemID="{A4CE464F-D60C-4CA7-8CA9-CDF0132F81A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3F51003-7E90-408F-8503-1186ECD202AE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InKulpado666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dellviviana@gmail.com</dc:creator>
  <keywords/>
  <dc:description/>
  <lastModifiedBy>Ernesto Navarro Jaimes</lastModifiedBy>
  <revision>155</revision>
  <dcterms:created xsi:type="dcterms:W3CDTF">2024-08-06T13:31:00.0000000Z</dcterms:created>
  <dcterms:modified xsi:type="dcterms:W3CDTF">2026-06-22T19:01:52.8815773Z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0x0101006A81D6BD42E8DF4C91013959704817E1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2024-07-25T19:51:13Z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a4d64981-9c5d-4346-9b19-46df69bb41aa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ediaServiceImageTags">
    <vt:lpwstr/>
  </property>
</Properties>
</file>