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C8C0" w14:textId="340915B1" w:rsidR="0011766A" w:rsidRPr="0011766A" w:rsidRDefault="0011766A" w:rsidP="0011766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GUION INTRODUCCIÓN COMPONENTE FORMATIVO </w:t>
      </w:r>
      <w:r>
        <w:rPr>
          <w:rFonts w:ascii="Arial" w:hAnsi="Arial" w:cs="Arial"/>
          <w:b/>
          <w:sz w:val="20"/>
          <w:szCs w:val="20"/>
          <w:lang w:val="es-ES_tradnl"/>
        </w:rPr>
        <w:t>3</w:t>
      </w:r>
    </w:p>
    <w:p w14:paraId="248762A4" w14:textId="0DE85065" w:rsidR="0011766A" w:rsidRPr="0011766A" w:rsidRDefault="0011766A" w:rsidP="0011766A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11766A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11766A">
        <w:rPr>
          <w:rFonts w:ascii="Arial" w:hAnsi="Arial" w:cs="Arial"/>
          <w:b/>
          <w:bCs/>
          <w:color w:val="000000" w:themeColor="text1"/>
          <w:sz w:val="20"/>
          <w:szCs w:val="20"/>
        </w:rPr>
        <w:t>Gestión de novedades en la afiliación al SGSSS con enfoque diferencial y atención al usuario</w:t>
      </w:r>
    </w:p>
    <w:p w14:paraId="6EC1FCAE" w14:textId="77777777" w:rsidR="006422F1" w:rsidRDefault="006422F1" w:rsidP="00110F1C">
      <w:pPr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232B8371" w14:textId="4D4F1ABF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  <w:r w:rsidRPr="00110F1C">
        <w:rPr>
          <w:rFonts w:ascii="Arial" w:hAnsi="Arial" w:cs="Arial"/>
          <w:sz w:val="20"/>
          <w:szCs w:val="20"/>
          <w:lang w:val="es-ES_tradnl"/>
        </w:rPr>
        <w:t xml:space="preserve">La afiliación al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Sistema General de Seguridad Social en Salud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(SGSSS</w:t>
      </w:r>
      <w:r>
        <w:rPr>
          <w:rFonts w:ascii="Arial" w:hAnsi="Arial" w:cs="Arial"/>
          <w:b/>
          <w:sz w:val="20"/>
          <w:szCs w:val="20"/>
          <w:lang w:val="es-ES_tradnl"/>
        </w:rPr>
        <w:t>)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contempla diversas novedades que pueden surgir durante la vida del usuario. Entre ellas se encuentran el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ingreso o afiliación inicial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traslado de EPS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cambio de datos personales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i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nclusión o retiro de beneficiarios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cambio de régimen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cambio de municipio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nacimiento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fallecimiento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y el </w:t>
      </w:r>
      <w:r w:rsidRPr="00110F1C">
        <w:rPr>
          <w:rFonts w:ascii="Arial" w:hAnsi="Arial" w:cs="Arial"/>
          <w:b/>
          <w:sz w:val="20"/>
          <w:szCs w:val="20"/>
          <w:lang w:val="es-ES_tradnl"/>
        </w:rPr>
        <w:t>retiro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por pérdida de condiciones.</w:t>
      </w:r>
    </w:p>
    <w:p w14:paraId="575E5001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</w:p>
    <w:p w14:paraId="58301AEA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  <w:r w:rsidRPr="00110F1C">
        <w:rPr>
          <w:rFonts w:ascii="Arial" w:hAnsi="Arial" w:cs="Arial"/>
          <w:sz w:val="20"/>
          <w:szCs w:val="20"/>
          <w:lang w:val="es-ES_tradnl"/>
        </w:rPr>
        <w:t xml:space="preserve">Estas situaciones están reguladas por un marco legal específico que incluye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Constitución Política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Decreto 780 de 2016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Resolución 4622 de 2016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del Ministerio de Salud y Protección Social,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Ley 1122 de 2007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y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Ley 1438 de 2011</w:t>
      </w:r>
      <w:r w:rsidRPr="00110F1C">
        <w:rPr>
          <w:rFonts w:ascii="Arial" w:hAnsi="Arial" w:cs="Arial"/>
          <w:sz w:val="20"/>
          <w:szCs w:val="20"/>
          <w:lang w:val="es-ES_tradnl"/>
        </w:rPr>
        <w:t>.</w:t>
      </w:r>
    </w:p>
    <w:p w14:paraId="48857A12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</w:p>
    <w:p w14:paraId="43A8D011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  <w:r w:rsidRPr="00110F1C">
        <w:rPr>
          <w:rFonts w:ascii="Arial" w:hAnsi="Arial" w:cs="Arial"/>
          <w:sz w:val="20"/>
          <w:szCs w:val="20"/>
          <w:lang w:val="es-ES_tradnl"/>
        </w:rPr>
        <w:t xml:space="preserve">El procedimiento para modificar una afiliación exige una atención cuidadosa. Inicia con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escucha activa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al usuario y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verificación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de su necesidad, seguido de la consulta normativa,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revisión de documentos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 xml:space="preserve">diligenciamiento del formulario 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o plataforma, el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registro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radicación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y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entrega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de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constancia</w:t>
      </w:r>
      <w:r w:rsidRPr="00110F1C">
        <w:rPr>
          <w:rFonts w:ascii="Arial" w:hAnsi="Arial" w:cs="Arial"/>
          <w:sz w:val="20"/>
          <w:szCs w:val="20"/>
          <w:lang w:val="es-ES_tradnl"/>
        </w:rPr>
        <w:t>. Posteriormente, se realiza seguimiento al caso, orientación al usuario y registro en la bitácora de atención.</w:t>
      </w:r>
    </w:p>
    <w:p w14:paraId="3E42F99D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</w:p>
    <w:p w14:paraId="2A6EC2EB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  <w:r w:rsidRPr="00110F1C">
        <w:rPr>
          <w:rFonts w:ascii="Arial" w:hAnsi="Arial" w:cs="Arial"/>
          <w:sz w:val="20"/>
          <w:szCs w:val="20"/>
          <w:lang w:val="es-ES_tradnl"/>
        </w:rPr>
        <w:t xml:space="preserve">Se incluye además la portabilidad, que garantiza la continuidad en la atención al cambiar de lugar de residencia. La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comunicación asertiva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es esencial para orientar adecuadamente al usuario, al igual que las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estrategias de servicio al cliente</w:t>
      </w:r>
      <w:r w:rsidRPr="00110F1C">
        <w:rPr>
          <w:rFonts w:ascii="Arial" w:hAnsi="Arial" w:cs="Arial"/>
          <w:sz w:val="20"/>
          <w:szCs w:val="20"/>
          <w:lang w:val="es-ES_tradnl"/>
        </w:rPr>
        <w:t>.</w:t>
      </w:r>
    </w:p>
    <w:p w14:paraId="763884C3" w14:textId="77777777" w:rsidR="00110F1C" w:rsidRP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</w:p>
    <w:p w14:paraId="10970E01" w14:textId="46906E15" w:rsidR="00FF7EFF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  <w:r w:rsidRPr="00110F1C">
        <w:rPr>
          <w:rFonts w:ascii="Arial" w:hAnsi="Arial" w:cs="Arial"/>
          <w:sz w:val="20"/>
          <w:szCs w:val="20"/>
          <w:lang w:val="es-ES_tradnl"/>
        </w:rPr>
        <w:t xml:space="preserve">Finalmente, se aplica el enfoque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diferencial en salud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, el cual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reconoce y respeta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las condiciones particulares de cada persona, asegurando un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trato equitativo y digno</w:t>
      </w:r>
      <w:r w:rsidRPr="00110F1C">
        <w:rPr>
          <w:rFonts w:ascii="Arial" w:hAnsi="Arial" w:cs="Arial"/>
          <w:sz w:val="20"/>
          <w:szCs w:val="20"/>
          <w:lang w:val="es-ES_tradnl"/>
        </w:rPr>
        <w:t xml:space="preserve"> en todos los procesos de </w:t>
      </w:r>
      <w:r w:rsidRPr="00656E47">
        <w:rPr>
          <w:rFonts w:ascii="Arial" w:hAnsi="Arial" w:cs="Arial"/>
          <w:b/>
          <w:sz w:val="20"/>
          <w:szCs w:val="20"/>
          <w:lang w:val="es-ES_tradnl"/>
        </w:rPr>
        <w:t>afiliación y gestión de novedades</w:t>
      </w:r>
      <w:r w:rsidRPr="00110F1C">
        <w:rPr>
          <w:rFonts w:ascii="Arial" w:hAnsi="Arial" w:cs="Arial"/>
          <w:sz w:val="20"/>
          <w:szCs w:val="20"/>
          <w:lang w:val="es-ES_tradnl"/>
        </w:rPr>
        <w:t>.</w:t>
      </w:r>
    </w:p>
    <w:p w14:paraId="2DDC032E" w14:textId="6C72D699" w:rsidR="00110F1C" w:rsidRDefault="00110F1C" w:rsidP="00110F1C">
      <w:pPr>
        <w:rPr>
          <w:rFonts w:ascii="Arial" w:hAnsi="Arial" w:cs="Arial"/>
          <w:sz w:val="20"/>
          <w:szCs w:val="20"/>
          <w:lang w:val="es-ES_tradnl"/>
        </w:rPr>
      </w:pPr>
    </w:p>
    <w:p w14:paraId="0C9F9216" w14:textId="27D188A0" w:rsidR="00110F1C" w:rsidRPr="00110F1C" w:rsidRDefault="00110F1C" w:rsidP="0011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11766A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TOTAL PALABRAS: </w:t>
      </w:r>
      <w:r w:rsidR="00656E4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242</w:t>
      </w:r>
    </w:p>
    <w:sectPr w:rsidR="00110F1C" w:rsidRPr="0011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101A68"/>
    <w:rsid w:val="00110F1C"/>
    <w:rsid w:val="0011766A"/>
    <w:rsid w:val="00122354"/>
    <w:rsid w:val="00172886"/>
    <w:rsid w:val="001744EC"/>
    <w:rsid w:val="00181E46"/>
    <w:rsid w:val="001938BB"/>
    <w:rsid w:val="001A32F7"/>
    <w:rsid w:val="001E0849"/>
    <w:rsid w:val="001E1895"/>
    <w:rsid w:val="00241A0E"/>
    <w:rsid w:val="00242B75"/>
    <w:rsid w:val="00262B28"/>
    <w:rsid w:val="00277964"/>
    <w:rsid w:val="002865F0"/>
    <w:rsid w:val="002F68D8"/>
    <w:rsid w:val="00325FB5"/>
    <w:rsid w:val="0033584F"/>
    <w:rsid w:val="0034187D"/>
    <w:rsid w:val="003836DC"/>
    <w:rsid w:val="00386732"/>
    <w:rsid w:val="003A1DFD"/>
    <w:rsid w:val="003B6C5E"/>
    <w:rsid w:val="003C39AB"/>
    <w:rsid w:val="003D4269"/>
    <w:rsid w:val="00422835"/>
    <w:rsid w:val="00475DC3"/>
    <w:rsid w:val="0055721D"/>
    <w:rsid w:val="005B0FED"/>
    <w:rsid w:val="005B5967"/>
    <w:rsid w:val="00633D66"/>
    <w:rsid w:val="006353EE"/>
    <w:rsid w:val="006422F1"/>
    <w:rsid w:val="00656E47"/>
    <w:rsid w:val="00666672"/>
    <w:rsid w:val="006A7E14"/>
    <w:rsid w:val="006C521F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70799"/>
    <w:rsid w:val="00887B2C"/>
    <w:rsid w:val="00896F06"/>
    <w:rsid w:val="00902FDC"/>
    <w:rsid w:val="00906060"/>
    <w:rsid w:val="00953207"/>
    <w:rsid w:val="0095335A"/>
    <w:rsid w:val="009570E7"/>
    <w:rsid w:val="00987D84"/>
    <w:rsid w:val="00991D28"/>
    <w:rsid w:val="009925D4"/>
    <w:rsid w:val="009D760E"/>
    <w:rsid w:val="00A80128"/>
    <w:rsid w:val="00AA11E1"/>
    <w:rsid w:val="00AB0F5A"/>
    <w:rsid w:val="00AB68BC"/>
    <w:rsid w:val="00AE2468"/>
    <w:rsid w:val="00AF0C89"/>
    <w:rsid w:val="00B37054"/>
    <w:rsid w:val="00B76F52"/>
    <w:rsid w:val="00B943AE"/>
    <w:rsid w:val="00BD5271"/>
    <w:rsid w:val="00BD7BF1"/>
    <w:rsid w:val="00BF49B4"/>
    <w:rsid w:val="00C009FD"/>
    <w:rsid w:val="00C75EF4"/>
    <w:rsid w:val="00CA7AA0"/>
    <w:rsid w:val="00CB0677"/>
    <w:rsid w:val="00D2797B"/>
    <w:rsid w:val="00DD2A4C"/>
    <w:rsid w:val="00E14410"/>
    <w:rsid w:val="00E14988"/>
    <w:rsid w:val="00E165E1"/>
    <w:rsid w:val="00E91C80"/>
    <w:rsid w:val="00E97AC5"/>
    <w:rsid w:val="00ED0679"/>
    <w:rsid w:val="00ED2886"/>
    <w:rsid w:val="00F8680C"/>
    <w:rsid w:val="00FA7096"/>
    <w:rsid w:val="00FD7CFA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12</cp:revision>
  <dcterms:created xsi:type="dcterms:W3CDTF">2025-06-03T16:43:00Z</dcterms:created>
  <dcterms:modified xsi:type="dcterms:W3CDTF">2025-07-14T17:45:00Z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