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comments.xml" ContentType="application/vnd.openxmlformats-officedocument.wordprocessingml.comments+xml"/>
  <Override PartName="/word/commentsExtended.xml" ContentType="application/vnd.openxmlformats-officedocument.wordprocessingml.commentsExtended+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0000002" w14:textId="43CACB61" w:rsidR="00AD17D4" w:rsidRPr="009B49E3" w:rsidRDefault="00C55557" w:rsidP="007A5C2D">
      <w:pPr>
        <w:pStyle w:val="Normal0"/>
        <w:tabs>
          <w:tab w:val="left" w:pos="3224"/>
        </w:tabs>
        <w:jc w:val="center"/>
        <w:rPr>
          <w:b/>
          <w:sz w:val="20"/>
          <w:szCs w:val="20"/>
        </w:rPr>
      </w:pPr>
      <w:r w:rsidRPr="009B49E3">
        <w:rPr>
          <w:b/>
          <w:sz w:val="20"/>
          <w:szCs w:val="20"/>
        </w:rPr>
        <w:t>ANEXO FORMATO COMPONENTE FORMATIVO</w:t>
      </w:r>
    </w:p>
    <w:p w14:paraId="55E91FFA" w14:textId="77777777" w:rsidR="00C55557" w:rsidRPr="009B49E3" w:rsidRDefault="00C55557" w:rsidP="007A5C2D">
      <w:pPr>
        <w:pStyle w:val="Normal0"/>
        <w:tabs>
          <w:tab w:val="left" w:pos="3224"/>
        </w:tabs>
        <w:jc w:val="center"/>
        <w:rPr>
          <w:sz w:val="20"/>
          <w:szCs w:val="20"/>
        </w:rPr>
      </w:pPr>
    </w:p>
    <w:tbl>
      <w:tblPr>
        <w:tblStyle w:val="Style64"/>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397"/>
        <w:gridCol w:w="6565"/>
      </w:tblGrid>
      <w:tr w:rsidR="00AD17D4" w:rsidRPr="009B49E3" w14:paraId="57121341" w14:textId="77777777" w:rsidTr="00C55557">
        <w:trPr>
          <w:trHeight w:val="340"/>
        </w:trPr>
        <w:tc>
          <w:tcPr>
            <w:tcW w:w="3397" w:type="dxa"/>
            <w:shd w:val="clear" w:color="auto" w:fill="auto"/>
            <w:vAlign w:val="center"/>
          </w:tcPr>
          <w:p w14:paraId="00000003" w14:textId="77777777" w:rsidR="00AD17D4" w:rsidRPr="009B49E3" w:rsidRDefault="00025888" w:rsidP="007A5C2D">
            <w:pPr>
              <w:pStyle w:val="Normal0"/>
              <w:rPr>
                <w:sz w:val="20"/>
                <w:szCs w:val="20"/>
              </w:rPr>
            </w:pPr>
            <w:r w:rsidRPr="009B49E3">
              <w:rPr>
                <w:sz w:val="20"/>
                <w:szCs w:val="20"/>
              </w:rPr>
              <w:t>PROGRAMA DE FORMACIÓN</w:t>
            </w:r>
          </w:p>
        </w:tc>
        <w:tc>
          <w:tcPr>
            <w:tcW w:w="6565" w:type="dxa"/>
            <w:shd w:val="clear" w:color="auto" w:fill="auto"/>
            <w:vAlign w:val="center"/>
          </w:tcPr>
          <w:p w14:paraId="00000004" w14:textId="1FCA4226" w:rsidR="00AD17D4" w:rsidRPr="009B49E3" w:rsidRDefault="009B1E3F" w:rsidP="007A5C2D">
            <w:pPr>
              <w:pStyle w:val="Normal0"/>
              <w:rPr>
                <w:b w:val="0"/>
                <w:color w:val="E36C09"/>
                <w:sz w:val="20"/>
                <w:szCs w:val="20"/>
              </w:rPr>
            </w:pPr>
            <w:r w:rsidRPr="009B1E3F">
              <w:rPr>
                <w:b w:val="0"/>
                <w:sz w:val="20"/>
                <w:szCs w:val="20"/>
                <w:lang w:val="es-ES"/>
              </w:rPr>
              <w:t>Elaboración de nota técnica en procesos de contratación en salud</w:t>
            </w:r>
            <w:r w:rsidR="00396FA1" w:rsidRPr="005561BB">
              <w:rPr>
                <w:b w:val="0"/>
                <w:sz w:val="20"/>
                <w:szCs w:val="20"/>
                <w:lang w:val="es-ES"/>
              </w:rPr>
              <w:t>.</w:t>
            </w:r>
          </w:p>
        </w:tc>
      </w:tr>
    </w:tbl>
    <w:p w14:paraId="00000005" w14:textId="77777777" w:rsidR="00AD17D4" w:rsidRPr="009B49E3" w:rsidRDefault="00AD17D4" w:rsidP="007A5C2D">
      <w:pPr>
        <w:pStyle w:val="Normal0"/>
        <w:rPr>
          <w:sz w:val="20"/>
          <w:szCs w:val="20"/>
        </w:rPr>
      </w:pPr>
    </w:p>
    <w:tbl>
      <w:tblPr>
        <w:tblStyle w:val="Style65"/>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38"/>
        <w:gridCol w:w="2835"/>
        <w:gridCol w:w="2126"/>
        <w:gridCol w:w="3163"/>
      </w:tblGrid>
      <w:tr w:rsidR="00AD17D4" w:rsidRPr="009B49E3" w14:paraId="3DB511B9" w14:textId="77777777" w:rsidTr="00C55557">
        <w:trPr>
          <w:trHeight w:val="340"/>
        </w:trPr>
        <w:tc>
          <w:tcPr>
            <w:tcW w:w="1838" w:type="dxa"/>
            <w:shd w:val="clear" w:color="auto" w:fill="auto"/>
            <w:vAlign w:val="center"/>
          </w:tcPr>
          <w:p w14:paraId="00000006" w14:textId="77777777" w:rsidR="00AD17D4" w:rsidRPr="009B49E3" w:rsidRDefault="00025888" w:rsidP="007A5C2D">
            <w:pPr>
              <w:pStyle w:val="Normal0"/>
              <w:rPr>
                <w:sz w:val="20"/>
                <w:szCs w:val="20"/>
              </w:rPr>
            </w:pPr>
            <w:r w:rsidRPr="009B49E3">
              <w:rPr>
                <w:sz w:val="20"/>
                <w:szCs w:val="20"/>
              </w:rPr>
              <w:t>COMPETENCIA</w:t>
            </w:r>
          </w:p>
        </w:tc>
        <w:tc>
          <w:tcPr>
            <w:tcW w:w="2835" w:type="dxa"/>
            <w:shd w:val="clear" w:color="auto" w:fill="auto"/>
            <w:vAlign w:val="center"/>
          </w:tcPr>
          <w:p w14:paraId="00000007" w14:textId="194369F8" w:rsidR="00AD17D4" w:rsidRPr="009B49E3" w:rsidRDefault="009B1E3F" w:rsidP="007A5C2D">
            <w:pPr>
              <w:pStyle w:val="Normal0"/>
              <w:rPr>
                <w:b w:val="0"/>
                <w:sz w:val="20"/>
                <w:szCs w:val="20"/>
                <w:u w:val="single"/>
              </w:rPr>
            </w:pPr>
            <w:r w:rsidRPr="009B1E3F">
              <w:rPr>
                <w:sz w:val="20"/>
                <w:szCs w:val="20"/>
                <w:lang w:val="es-ES"/>
              </w:rPr>
              <w:t xml:space="preserve">230101262. </w:t>
            </w:r>
            <w:r w:rsidRPr="009B1E3F">
              <w:rPr>
                <w:b w:val="0"/>
                <w:sz w:val="20"/>
                <w:szCs w:val="20"/>
                <w:lang w:val="es-ES"/>
              </w:rPr>
              <w:t>Evaluar soportes de atención medica según manual técnico y normativa de salud.</w:t>
            </w:r>
          </w:p>
        </w:tc>
        <w:tc>
          <w:tcPr>
            <w:tcW w:w="2126" w:type="dxa"/>
            <w:shd w:val="clear" w:color="auto" w:fill="auto"/>
            <w:vAlign w:val="center"/>
          </w:tcPr>
          <w:p w14:paraId="00000008" w14:textId="77777777" w:rsidR="00AD17D4" w:rsidRPr="009B49E3" w:rsidRDefault="00025888" w:rsidP="007A5C2D">
            <w:pPr>
              <w:pStyle w:val="Normal0"/>
              <w:rPr>
                <w:sz w:val="20"/>
                <w:szCs w:val="20"/>
              </w:rPr>
            </w:pPr>
            <w:r w:rsidRPr="009B49E3">
              <w:rPr>
                <w:sz w:val="20"/>
                <w:szCs w:val="20"/>
              </w:rPr>
              <w:t>RESULTADOS DE APRENDIZAJE</w:t>
            </w:r>
          </w:p>
        </w:tc>
        <w:tc>
          <w:tcPr>
            <w:tcW w:w="3163" w:type="dxa"/>
            <w:shd w:val="clear" w:color="auto" w:fill="auto"/>
            <w:vAlign w:val="center"/>
          </w:tcPr>
          <w:p w14:paraId="660DB3D4" w14:textId="77777777" w:rsidR="009B1E3F" w:rsidRPr="009B1E3F" w:rsidRDefault="009B1E3F" w:rsidP="009B1E3F">
            <w:pPr>
              <w:pStyle w:val="Normal0"/>
              <w:ind w:left="66"/>
              <w:rPr>
                <w:sz w:val="20"/>
                <w:szCs w:val="20"/>
                <w:lang w:val="es-ES"/>
              </w:rPr>
            </w:pPr>
            <w:r w:rsidRPr="009B1E3F">
              <w:rPr>
                <w:sz w:val="20"/>
                <w:szCs w:val="20"/>
                <w:lang w:val="es-ES"/>
              </w:rPr>
              <w:t xml:space="preserve">230101262-01. </w:t>
            </w:r>
            <w:r w:rsidRPr="009B1E3F">
              <w:rPr>
                <w:b w:val="0"/>
                <w:sz w:val="20"/>
                <w:szCs w:val="20"/>
                <w:lang w:val="es-ES"/>
              </w:rPr>
              <w:t>Reconocer las generalidades de la nota técnica teniendo en cuenta lineamientos normativos y parámetros de contratación en el sector salud.</w:t>
            </w:r>
          </w:p>
          <w:p w14:paraId="00000009" w14:textId="36B8C2C7" w:rsidR="006C6262" w:rsidRPr="009B49E3" w:rsidRDefault="009B1E3F" w:rsidP="009B1E3F">
            <w:pPr>
              <w:pStyle w:val="Normal0"/>
              <w:ind w:left="66"/>
              <w:rPr>
                <w:b w:val="0"/>
                <w:sz w:val="20"/>
                <w:szCs w:val="20"/>
              </w:rPr>
            </w:pPr>
            <w:r w:rsidRPr="009B1E3F">
              <w:rPr>
                <w:sz w:val="20"/>
                <w:szCs w:val="20"/>
                <w:lang w:val="es-ES"/>
              </w:rPr>
              <w:t xml:space="preserve">230101262-02. </w:t>
            </w:r>
            <w:r w:rsidRPr="009B1E3F">
              <w:rPr>
                <w:b w:val="0"/>
                <w:sz w:val="20"/>
                <w:szCs w:val="20"/>
                <w:lang w:val="es-ES"/>
              </w:rPr>
              <w:t>Analizar las necesidades de la población teniendo en cuenta fuentes de información y parámetros de contratación en el sector salud.</w:t>
            </w:r>
          </w:p>
        </w:tc>
      </w:tr>
    </w:tbl>
    <w:p w14:paraId="6E5288D5" w14:textId="4C8E3BD5" w:rsidR="00AD17D4" w:rsidRPr="009B49E3" w:rsidRDefault="00AD17D4" w:rsidP="007A5C2D">
      <w:pPr>
        <w:pStyle w:val="Normal0"/>
        <w:rPr>
          <w:sz w:val="20"/>
          <w:szCs w:val="20"/>
        </w:rPr>
      </w:pPr>
    </w:p>
    <w:tbl>
      <w:tblPr>
        <w:tblStyle w:val="Style66"/>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397"/>
        <w:gridCol w:w="6565"/>
      </w:tblGrid>
      <w:tr w:rsidR="00AD17D4" w:rsidRPr="009B49E3" w14:paraId="49D4BFBB" w14:textId="77777777" w:rsidTr="00C55557">
        <w:trPr>
          <w:trHeight w:val="340"/>
        </w:trPr>
        <w:tc>
          <w:tcPr>
            <w:tcW w:w="3397" w:type="dxa"/>
            <w:shd w:val="clear" w:color="auto" w:fill="auto"/>
            <w:vAlign w:val="center"/>
          </w:tcPr>
          <w:p w14:paraId="0000000C" w14:textId="77777777" w:rsidR="00AD17D4" w:rsidRPr="009B49E3" w:rsidRDefault="00025888" w:rsidP="007A5C2D">
            <w:pPr>
              <w:pStyle w:val="Normal0"/>
              <w:rPr>
                <w:sz w:val="20"/>
                <w:szCs w:val="20"/>
              </w:rPr>
            </w:pPr>
            <w:r w:rsidRPr="009B49E3">
              <w:rPr>
                <w:sz w:val="20"/>
                <w:szCs w:val="20"/>
              </w:rPr>
              <w:t>NÚMERO DEL COMPONENTE FORMATIVO</w:t>
            </w:r>
          </w:p>
        </w:tc>
        <w:tc>
          <w:tcPr>
            <w:tcW w:w="6565" w:type="dxa"/>
            <w:shd w:val="clear" w:color="auto" w:fill="auto"/>
            <w:vAlign w:val="center"/>
          </w:tcPr>
          <w:p w14:paraId="0000000D" w14:textId="77777777" w:rsidR="00AD17D4" w:rsidRPr="009B49E3" w:rsidRDefault="00025888" w:rsidP="007A5C2D">
            <w:pPr>
              <w:pStyle w:val="Normal0"/>
              <w:rPr>
                <w:b w:val="0"/>
                <w:color w:val="39A900"/>
                <w:sz w:val="20"/>
                <w:szCs w:val="20"/>
              </w:rPr>
            </w:pPr>
            <w:r w:rsidRPr="009B49E3">
              <w:rPr>
                <w:b w:val="0"/>
                <w:sz w:val="20"/>
                <w:szCs w:val="20"/>
              </w:rPr>
              <w:t>01</w:t>
            </w:r>
          </w:p>
        </w:tc>
      </w:tr>
      <w:tr w:rsidR="00AD17D4" w:rsidRPr="009B49E3" w14:paraId="5196225A" w14:textId="77777777" w:rsidTr="00C55557">
        <w:trPr>
          <w:trHeight w:val="340"/>
        </w:trPr>
        <w:tc>
          <w:tcPr>
            <w:tcW w:w="3397" w:type="dxa"/>
            <w:shd w:val="clear" w:color="auto" w:fill="auto"/>
            <w:vAlign w:val="center"/>
          </w:tcPr>
          <w:p w14:paraId="0000000E" w14:textId="77777777" w:rsidR="00AD17D4" w:rsidRPr="009B49E3" w:rsidRDefault="00025888" w:rsidP="007A5C2D">
            <w:pPr>
              <w:pStyle w:val="Normal0"/>
              <w:rPr>
                <w:sz w:val="20"/>
                <w:szCs w:val="20"/>
              </w:rPr>
            </w:pPr>
            <w:r w:rsidRPr="009B49E3">
              <w:rPr>
                <w:sz w:val="20"/>
                <w:szCs w:val="20"/>
              </w:rPr>
              <w:t>NOMBRE DEL COMPONENTE FORMATIVO</w:t>
            </w:r>
          </w:p>
        </w:tc>
        <w:tc>
          <w:tcPr>
            <w:tcW w:w="6565" w:type="dxa"/>
            <w:shd w:val="clear" w:color="auto" w:fill="auto"/>
            <w:vAlign w:val="center"/>
          </w:tcPr>
          <w:p w14:paraId="0000000F" w14:textId="72A12DEE" w:rsidR="00AD17D4" w:rsidRPr="009B49E3" w:rsidRDefault="009B1E3F" w:rsidP="00EC79FE">
            <w:pPr>
              <w:pStyle w:val="Normal0"/>
              <w:rPr>
                <w:b w:val="0"/>
                <w:color w:val="39A900"/>
                <w:sz w:val="20"/>
                <w:szCs w:val="20"/>
              </w:rPr>
            </w:pPr>
            <w:r w:rsidRPr="009B1E3F">
              <w:rPr>
                <w:b w:val="0"/>
                <w:sz w:val="20"/>
                <w:szCs w:val="20"/>
                <w:lang w:val="es-ES"/>
              </w:rPr>
              <w:t>Análisis normativo y población para la construcción de la nota técnica</w:t>
            </w:r>
            <w:r w:rsidR="00396FA1" w:rsidRPr="005561BB">
              <w:rPr>
                <w:b w:val="0"/>
                <w:sz w:val="20"/>
                <w:szCs w:val="20"/>
                <w:lang w:val="es-ES"/>
              </w:rPr>
              <w:t>.</w:t>
            </w:r>
          </w:p>
        </w:tc>
      </w:tr>
      <w:tr w:rsidR="00AD17D4" w:rsidRPr="009B49E3" w14:paraId="323364CF" w14:textId="77777777" w:rsidTr="00C55557">
        <w:trPr>
          <w:trHeight w:val="340"/>
        </w:trPr>
        <w:tc>
          <w:tcPr>
            <w:tcW w:w="3397" w:type="dxa"/>
            <w:shd w:val="clear" w:color="auto" w:fill="auto"/>
            <w:vAlign w:val="center"/>
          </w:tcPr>
          <w:p w14:paraId="00000010" w14:textId="77777777" w:rsidR="00AD17D4" w:rsidRPr="009B49E3" w:rsidRDefault="00025888" w:rsidP="007A5C2D">
            <w:pPr>
              <w:pStyle w:val="Normal0"/>
              <w:rPr>
                <w:sz w:val="20"/>
                <w:szCs w:val="20"/>
              </w:rPr>
            </w:pPr>
            <w:r w:rsidRPr="009B49E3">
              <w:rPr>
                <w:sz w:val="20"/>
                <w:szCs w:val="20"/>
              </w:rPr>
              <w:t>BREVE DESCRIPCIÓN</w:t>
            </w:r>
          </w:p>
        </w:tc>
        <w:tc>
          <w:tcPr>
            <w:tcW w:w="6565" w:type="dxa"/>
            <w:shd w:val="clear" w:color="auto" w:fill="auto"/>
            <w:vAlign w:val="center"/>
          </w:tcPr>
          <w:p w14:paraId="00000011" w14:textId="2B1F8555" w:rsidR="00AD17D4" w:rsidRPr="000D0AC3" w:rsidRDefault="00E10513" w:rsidP="00A069B3">
            <w:pPr>
              <w:pStyle w:val="Normal0"/>
              <w:rPr>
                <w:b w:val="0"/>
                <w:color w:val="39A900"/>
                <w:sz w:val="20"/>
                <w:szCs w:val="20"/>
                <w:highlight w:val="yellow"/>
              </w:rPr>
            </w:pPr>
            <w:r w:rsidRPr="00E10513">
              <w:rPr>
                <w:b w:val="0"/>
                <w:sz w:val="20"/>
                <w:szCs w:val="20"/>
                <w:lang w:val="es-ES"/>
              </w:rPr>
              <w:t>El componente aborda el análisis de la población objeto, sus necesidades y características, a partir de fuentes de información del sector salud. Asimismo, presenta los fundamentos normativos, epidemiológicos y metodológicos relacionados con la nota técnica y su aplicación en los procesos de contratación de servicios y tecnologías en salud.</w:t>
            </w:r>
          </w:p>
        </w:tc>
      </w:tr>
      <w:tr w:rsidR="00AD17D4" w:rsidRPr="009B49E3" w14:paraId="4789F7AB" w14:textId="77777777" w:rsidTr="00C55557">
        <w:trPr>
          <w:trHeight w:val="340"/>
        </w:trPr>
        <w:tc>
          <w:tcPr>
            <w:tcW w:w="3397" w:type="dxa"/>
            <w:shd w:val="clear" w:color="auto" w:fill="auto"/>
            <w:vAlign w:val="center"/>
          </w:tcPr>
          <w:p w14:paraId="00000012" w14:textId="77777777" w:rsidR="00AD17D4" w:rsidRPr="009B49E3" w:rsidRDefault="00025888" w:rsidP="007A5C2D">
            <w:pPr>
              <w:pStyle w:val="Normal0"/>
              <w:rPr>
                <w:sz w:val="20"/>
                <w:szCs w:val="20"/>
              </w:rPr>
            </w:pPr>
            <w:r w:rsidRPr="009B49E3">
              <w:rPr>
                <w:sz w:val="20"/>
                <w:szCs w:val="20"/>
              </w:rPr>
              <w:t>PALABRAS CLAVE</w:t>
            </w:r>
          </w:p>
        </w:tc>
        <w:tc>
          <w:tcPr>
            <w:tcW w:w="6565" w:type="dxa"/>
            <w:shd w:val="clear" w:color="auto" w:fill="auto"/>
            <w:vAlign w:val="center"/>
          </w:tcPr>
          <w:p w14:paraId="00000013" w14:textId="322BF7FA" w:rsidR="00AD17D4" w:rsidRPr="00E10513" w:rsidRDefault="00E10513" w:rsidP="00E10513">
            <w:pPr>
              <w:pStyle w:val="Normal0"/>
              <w:rPr>
                <w:b w:val="0"/>
                <w:bCs/>
                <w:sz w:val="20"/>
                <w:szCs w:val="20"/>
                <w:lang w:val="es-ES"/>
              </w:rPr>
            </w:pPr>
            <w:r w:rsidRPr="00E10513">
              <w:rPr>
                <w:b w:val="0"/>
                <w:bCs/>
                <w:sz w:val="20"/>
                <w:szCs w:val="20"/>
                <w:lang w:val="es-ES"/>
              </w:rPr>
              <w:t>Nota técnica</w:t>
            </w:r>
            <w:r>
              <w:rPr>
                <w:b w:val="0"/>
                <w:bCs/>
                <w:sz w:val="20"/>
                <w:szCs w:val="20"/>
                <w:lang w:val="es-ES"/>
              </w:rPr>
              <w:t xml:space="preserve">, caracterización, contratación en salud, epidemiológicos, </w:t>
            </w:r>
            <w:r w:rsidRPr="00E10513">
              <w:rPr>
                <w:b w:val="0"/>
                <w:bCs/>
                <w:sz w:val="20"/>
                <w:szCs w:val="20"/>
                <w:lang w:val="es-ES"/>
              </w:rPr>
              <w:t>información</w:t>
            </w:r>
            <w:r>
              <w:rPr>
                <w:b w:val="0"/>
                <w:bCs/>
                <w:sz w:val="20"/>
                <w:szCs w:val="20"/>
                <w:lang w:val="es-ES"/>
              </w:rPr>
              <w:t>.</w:t>
            </w:r>
          </w:p>
        </w:tc>
      </w:tr>
    </w:tbl>
    <w:p w14:paraId="00000014" w14:textId="77777777" w:rsidR="00AD17D4" w:rsidRPr="009B49E3" w:rsidRDefault="00AD17D4" w:rsidP="007A5C2D">
      <w:pPr>
        <w:pStyle w:val="Normal0"/>
        <w:rPr>
          <w:sz w:val="20"/>
          <w:szCs w:val="20"/>
        </w:rPr>
      </w:pPr>
    </w:p>
    <w:tbl>
      <w:tblPr>
        <w:tblStyle w:val="Style67"/>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397"/>
        <w:gridCol w:w="6565"/>
      </w:tblGrid>
      <w:tr w:rsidR="00AD17D4" w:rsidRPr="009B49E3" w14:paraId="4F59971A" w14:textId="77777777" w:rsidTr="00C55557">
        <w:trPr>
          <w:trHeight w:val="340"/>
        </w:trPr>
        <w:tc>
          <w:tcPr>
            <w:tcW w:w="3397" w:type="dxa"/>
            <w:shd w:val="clear" w:color="auto" w:fill="auto"/>
            <w:vAlign w:val="center"/>
          </w:tcPr>
          <w:p w14:paraId="00000015" w14:textId="77777777" w:rsidR="00AD17D4" w:rsidRPr="009B49E3" w:rsidRDefault="00025888" w:rsidP="006B703D">
            <w:pPr>
              <w:pStyle w:val="Normal0"/>
              <w:rPr>
                <w:sz w:val="20"/>
                <w:szCs w:val="20"/>
              </w:rPr>
            </w:pPr>
            <w:r w:rsidRPr="009B49E3">
              <w:rPr>
                <w:sz w:val="20"/>
                <w:szCs w:val="20"/>
              </w:rPr>
              <w:t>ÁREA OCUPACIONAL</w:t>
            </w:r>
          </w:p>
        </w:tc>
        <w:tc>
          <w:tcPr>
            <w:tcW w:w="6565" w:type="dxa"/>
            <w:shd w:val="clear" w:color="auto" w:fill="auto"/>
            <w:vAlign w:val="center"/>
          </w:tcPr>
          <w:p w14:paraId="00000020" w14:textId="68A42D77" w:rsidR="00AD17D4" w:rsidRPr="00B67F32" w:rsidRDefault="009B1E3F" w:rsidP="006B703D">
            <w:pPr>
              <w:pStyle w:val="Normal0"/>
              <w:rPr>
                <w:b w:val="0"/>
                <w:color w:val="39A900"/>
                <w:sz w:val="20"/>
                <w:szCs w:val="20"/>
              </w:rPr>
            </w:pPr>
            <w:r w:rsidRPr="00627332">
              <w:rPr>
                <w:b w:val="0"/>
                <w:sz w:val="20"/>
                <w:szCs w:val="20"/>
                <w:lang w:val="es-ES"/>
              </w:rPr>
              <w:t>Servicios</w:t>
            </w:r>
            <w:r w:rsidR="00011C67" w:rsidRPr="00627332">
              <w:rPr>
                <w:b w:val="0"/>
                <w:sz w:val="20"/>
                <w:szCs w:val="20"/>
                <w:lang w:val="es-ES"/>
              </w:rPr>
              <w:t xml:space="preserve"> de la salud</w:t>
            </w:r>
            <w:r w:rsidRPr="00627332">
              <w:rPr>
                <w:b w:val="0"/>
                <w:sz w:val="20"/>
                <w:szCs w:val="20"/>
                <w:lang w:val="es-ES"/>
              </w:rPr>
              <w:t>.</w:t>
            </w:r>
          </w:p>
        </w:tc>
      </w:tr>
      <w:tr w:rsidR="00AD17D4" w:rsidRPr="009B49E3" w14:paraId="6E9ED268" w14:textId="77777777" w:rsidTr="00C55557">
        <w:trPr>
          <w:trHeight w:val="465"/>
        </w:trPr>
        <w:tc>
          <w:tcPr>
            <w:tcW w:w="3397" w:type="dxa"/>
            <w:shd w:val="clear" w:color="auto" w:fill="auto"/>
            <w:vAlign w:val="center"/>
          </w:tcPr>
          <w:p w14:paraId="00000021" w14:textId="77777777" w:rsidR="00AD17D4" w:rsidRPr="009B49E3" w:rsidRDefault="00025888" w:rsidP="006B703D">
            <w:pPr>
              <w:pStyle w:val="Normal0"/>
              <w:rPr>
                <w:sz w:val="20"/>
                <w:szCs w:val="20"/>
              </w:rPr>
            </w:pPr>
            <w:r w:rsidRPr="009B49E3">
              <w:rPr>
                <w:sz w:val="20"/>
                <w:szCs w:val="20"/>
              </w:rPr>
              <w:t>IDIOMA</w:t>
            </w:r>
          </w:p>
        </w:tc>
        <w:tc>
          <w:tcPr>
            <w:tcW w:w="6565" w:type="dxa"/>
            <w:shd w:val="clear" w:color="auto" w:fill="auto"/>
            <w:vAlign w:val="center"/>
          </w:tcPr>
          <w:p w14:paraId="00000022" w14:textId="3C692FC1" w:rsidR="00AD17D4" w:rsidRPr="009B49E3" w:rsidRDefault="00025888" w:rsidP="006B703D">
            <w:pPr>
              <w:pStyle w:val="Normal0"/>
              <w:rPr>
                <w:color w:val="39A900"/>
                <w:sz w:val="20"/>
                <w:szCs w:val="20"/>
              </w:rPr>
            </w:pPr>
            <w:r w:rsidRPr="009B49E3">
              <w:rPr>
                <w:b w:val="0"/>
                <w:color w:val="000000"/>
                <w:sz w:val="20"/>
                <w:szCs w:val="20"/>
              </w:rPr>
              <w:t>Español</w:t>
            </w:r>
            <w:r w:rsidR="0086737C" w:rsidRPr="009B49E3">
              <w:rPr>
                <w:b w:val="0"/>
                <w:color w:val="000000"/>
                <w:sz w:val="20"/>
                <w:szCs w:val="20"/>
              </w:rPr>
              <w:t>.</w:t>
            </w:r>
          </w:p>
        </w:tc>
      </w:tr>
    </w:tbl>
    <w:p w14:paraId="163358DA" w14:textId="77777777" w:rsidR="00AD17D4" w:rsidRPr="009B49E3" w:rsidRDefault="00AD17D4" w:rsidP="006B703D">
      <w:pPr>
        <w:pStyle w:val="Normal0"/>
        <w:rPr>
          <w:b/>
          <w:color w:val="000000"/>
          <w:sz w:val="20"/>
          <w:szCs w:val="20"/>
        </w:rPr>
      </w:pPr>
    </w:p>
    <w:p w14:paraId="00000028" w14:textId="77777777" w:rsidR="00AD17D4" w:rsidRPr="001C00EF" w:rsidRDefault="00025888" w:rsidP="001B5F0C">
      <w:pPr>
        <w:pStyle w:val="Normal0"/>
        <w:numPr>
          <w:ilvl w:val="0"/>
          <w:numId w:val="1"/>
        </w:numPr>
        <w:ind w:left="284" w:hanging="284"/>
        <w:rPr>
          <w:b/>
          <w:sz w:val="20"/>
          <w:szCs w:val="20"/>
        </w:rPr>
      </w:pPr>
      <w:r w:rsidRPr="009B49E3">
        <w:rPr>
          <w:b/>
          <w:sz w:val="20"/>
          <w:szCs w:val="20"/>
        </w:rPr>
        <w:t xml:space="preserve">TABLA DE </w:t>
      </w:r>
      <w:r w:rsidRPr="001C00EF">
        <w:rPr>
          <w:b/>
          <w:sz w:val="20"/>
          <w:szCs w:val="20"/>
        </w:rPr>
        <w:t xml:space="preserve">CONTENIDOS: </w:t>
      </w:r>
    </w:p>
    <w:p w14:paraId="00000029" w14:textId="77777777" w:rsidR="00AD17D4" w:rsidRPr="001C00EF" w:rsidRDefault="00AD17D4" w:rsidP="001B5F0C">
      <w:pPr>
        <w:pStyle w:val="Normal0"/>
        <w:rPr>
          <w:b/>
          <w:sz w:val="20"/>
          <w:szCs w:val="20"/>
        </w:rPr>
      </w:pPr>
    </w:p>
    <w:p w14:paraId="001F1C83" w14:textId="77777777" w:rsidR="00AD17D4" w:rsidRPr="001C00EF" w:rsidRDefault="00025888" w:rsidP="001B5F0C">
      <w:pPr>
        <w:pStyle w:val="Normal0"/>
        <w:rPr>
          <w:b/>
          <w:color w:val="000000"/>
          <w:sz w:val="20"/>
          <w:szCs w:val="20"/>
        </w:rPr>
      </w:pPr>
      <w:r w:rsidRPr="001C00EF">
        <w:rPr>
          <w:b/>
          <w:color w:val="000000"/>
          <w:sz w:val="20"/>
          <w:szCs w:val="20"/>
        </w:rPr>
        <w:t>Introducción</w:t>
      </w:r>
    </w:p>
    <w:p w14:paraId="0EEFBE07" w14:textId="77777777" w:rsidR="009723E7" w:rsidRPr="009723E7" w:rsidRDefault="009723E7" w:rsidP="009723E7">
      <w:pPr>
        <w:numPr>
          <w:ilvl w:val="0"/>
          <w:numId w:val="3"/>
        </w:numPr>
        <w:rPr>
          <w:rFonts w:eastAsia="Calibri"/>
          <w:b/>
          <w:bCs/>
          <w:sz w:val="20"/>
          <w:szCs w:val="20"/>
          <w:lang w:eastAsia="en-US"/>
        </w:rPr>
      </w:pPr>
      <w:r w:rsidRPr="009723E7">
        <w:rPr>
          <w:rFonts w:eastAsia="Calibri"/>
          <w:b/>
          <w:bCs/>
          <w:sz w:val="20"/>
          <w:szCs w:val="20"/>
          <w:lang w:eastAsia="en-US"/>
        </w:rPr>
        <w:t>Caracterización de la población objeto</w:t>
      </w:r>
    </w:p>
    <w:p w14:paraId="1E59C4D2" w14:textId="77777777" w:rsidR="009723E7" w:rsidRPr="009723E7" w:rsidRDefault="009723E7" w:rsidP="009723E7">
      <w:pPr>
        <w:numPr>
          <w:ilvl w:val="1"/>
          <w:numId w:val="3"/>
        </w:numPr>
        <w:rPr>
          <w:rFonts w:eastAsia="Calibri"/>
          <w:bCs/>
          <w:sz w:val="20"/>
          <w:szCs w:val="20"/>
          <w:lang w:eastAsia="en-US"/>
        </w:rPr>
      </w:pPr>
      <w:r w:rsidRPr="009723E7">
        <w:rPr>
          <w:rFonts w:eastAsia="Calibri"/>
          <w:bCs/>
          <w:sz w:val="20"/>
          <w:szCs w:val="20"/>
          <w:lang w:eastAsia="en-US"/>
        </w:rPr>
        <w:t>Concepto y contexto de la caracterización poblacional</w:t>
      </w:r>
    </w:p>
    <w:p w14:paraId="74E0818E" w14:textId="77777777" w:rsidR="009723E7" w:rsidRPr="009723E7" w:rsidRDefault="009723E7" w:rsidP="009723E7">
      <w:pPr>
        <w:numPr>
          <w:ilvl w:val="1"/>
          <w:numId w:val="3"/>
        </w:numPr>
        <w:rPr>
          <w:rFonts w:eastAsia="Calibri"/>
          <w:bCs/>
          <w:sz w:val="20"/>
          <w:szCs w:val="20"/>
          <w:lang w:eastAsia="en-US"/>
        </w:rPr>
      </w:pPr>
      <w:r w:rsidRPr="009723E7">
        <w:rPr>
          <w:rFonts w:eastAsia="Calibri"/>
          <w:bCs/>
          <w:sz w:val="20"/>
          <w:szCs w:val="20"/>
          <w:lang w:eastAsia="en-US"/>
        </w:rPr>
        <w:t>Regímenes de afiliación</w:t>
      </w:r>
    </w:p>
    <w:p w14:paraId="63D7198C" w14:textId="77777777" w:rsidR="009723E7" w:rsidRPr="009723E7" w:rsidRDefault="009723E7" w:rsidP="009723E7">
      <w:pPr>
        <w:numPr>
          <w:ilvl w:val="1"/>
          <w:numId w:val="3"/>
        </w:numPr>
        <w:rPr>
          <w:rFonts w:eastAsia="Calibri"/>
          <w:bCs/>
          <w:sz w:val="20"/>
          <w:szCs w:val="20"/>
          <w:lang w:eastAsia="en-US"/>
        </w:rPr>
      </w:pPr>
      <w:r w:rsidRPr="009723E7">
        <w:rPr>
          <w:rFonts w:eastAsia="Calibri"/>
          <w:bCs/>
          <w:sz w:val="20"/>
          <w:szCs w:val="20"/>
          <w:lang w:eastAsia="en-US"/>
        </w:rPr>
        <w:t>Determinantes de la población</w:t>
      </w:r>
    </w:p>
    <w:p w14:paraId="4DFBFE87" w14:textId="77777777" w:rsidR="009723E7" w:rsidRPr="009723E7" w:rsidRDefault="009723E7" w:rsidP="009723E7">
      <w:pPr>
        <w:numPr>
          <w:ilvl w:val="1"/>
          <w:numId w:val="3"/>
        </w:numPr>
        <w:rPr>
          <w:rFonts w:eastAsia="Calibri"/>
          <w:bCs/>
          <w:sz w:val="20"/>
          <w:szCs w:val="20"/>
          <w:lang w:eastAsia="en-US"/>
        </w:rPr>
      </w:pPr>
      <w:r w:rsidRPr="009723E7">
        <w:rPr>
          <w:rFonts w:eastAsia="Calibri"/>
          <w:bCs/>
          <w:sz w:val="20"/>
          <w:szCs w:val="20"/>
          <w:lang w:eastAsia="en-US"/>
        </w:rPr>
        <w:t>Necesidades de la población objeto</w:t>
      </w:r>
    </w:p>
    <w:p w14:paraId="576065BF" w14:textId="77777777" w:rsidR="009723E7" w:rsidRPr="009723E7" w:rsidRDefault="009723E7" w:rsidP="009723E7">
      <w:pPr>
        <w:numPr>
          <w:ilvl w:val="1"/>
          <w:numId w:val="3"/>
        </w:numPr>
        <w:rPr>
          <w:rFonts w:eastAsia="Calibri"/>
          <w:bCs/>
          <w:sz w:val="20"/>
          <w:szCs w:val="20"/>
          <w:lang w:eastAsia="en-US"/>
        </w:rPr>
      </w:pPr>
      <w:r w:rsidRPr="009723E7">
        <w:rPr>
          <w:rFonts w:eastAsia="Calibri"/>
          <w:bCs/>
          <w:sz w:val="20"/>
          <w:szCs w:val="20"/>
          <w:lang w:eastAsia="en-US"/>
        </w:rPr>
        <w:t>Población objeto total y población susceptible</w:t>
      </w:r>
    </w:p>
    <w:p w14:paraId="282C2F06" w14:textId="77777777" w:rsidR="009723E7" w:rsidRPr="009723E7" w:rsidRDefault="009723E7" w:rsidP="009723E7">
      <w:pPr>
        <w:numPr>
          <w:ilvl w:val="1"/>
          <w:numId w:val="3"/>
        </w:numPr>
        <w:rPr>
          <w:rFonts w:eastAsia="Calibri"/>
          <w:bCs/>
          <w:sz w:val="20"/>
          <w:szCs w:val="20"/>
          <w:lang w:eastAsia="en-US"/>
        </w:rPr>
      </w:pPr>
      <w:r w:rsidRPr="009723E7">
        <w:rPr>
          <w:rFonts w:eastAsia="Calibri"/>
          <w:bCs/>
          <w:sz w:val="20"/>
          <w:szCs w:val="20"/>
          <w:lang w:eastAsia="en-US"/>
        </w:rPr>
        <w:t>Parámetros epidemiológicos</w:t>
      </w:r>
    </w:p>
    <w:p w14:paraId="4214BC77" w14:textId="77777777" w:rsidR="009723E7" w:rsidRPr="009723E7" w:rsidRDefault="009723E7" w:rsidP="009723E7">
      <w:pPr>
        <w:numPr>
          <w:ilvl w:val="1"/>
          <w:numId w:val="3"/>
        </w:numPr>
        <w:rPr>
          <w:rFonts w:eastAsia="Calibri"/>
          <w:bCs/>
          <w:sz w:val="20"/>
          <w:szCs w:val="20"/>
          <w:lang w:eastAsia="en-US"/>
        </w:rPr>
      </w:pPr>
      <w:r w:rsidRPr="009723E7">
        <w:rPr>
          <w:rFonts w:eastAsia="Calibri"/>
          <w:bCs/>
          <w:sz w:val="20"/>
          <w:szCs w:val="20"/>
          <w:lang w:eastAsia="en-US"/>
        </w:rPr>
        <w:t>Identificación y codificación de servicios y tecnologías</w:t>
      </w:r>
    </w:p>
    <w:p w14:paraId="308EFF6B" w14:textId="77777777" w:rsidR="009723E7" w:rsidRPr="009723E7" w:rsidRDefault="009723E7" w:rsidP="009723E7">
      <w:pPr>
        <w:numPr>
          <w:ilvl w:val="0"/>
          <w:numId w:val="3"/>
        </w:numPr>
        <w:rPr>
          <w:rFonts w:eastAsia="Calibri"/>
          <w:b/>
          <w:bCs/>
          <w:sz w:val="20"/>
          <w:szCs w:val="20"/>
          <w:lang w:eastAsia="en-US"/>
        </w:rPr>
      </w:pPr>
      <w:r w:rsidRPr="009723E7">
        <w:rPr>
          <w:rFonts w:eastAsia="Calibri"/>
          <w:b/>
          <w:bCs/>
          <w:sz w:val="20"/>
          <w:szCs w:val="20"/>
          <w:lang w:eastAsia="en-US"/>
        </w:rPr>
        <w:t>Análisis de la información en salud</w:t>
      </w:r>
    </w:p>
    <w:p w14:paraId="78E96BB5" w14:textId="77777777" w:rsidR="009723E7" w:rsidRPr="009723E7" w:rsidRDefault="009723E7" w:rsidP="009723E7">
      <w:pPr>
        <w:numPr>
          <w:ilvl w:val="1"/>
          <w:numId w:val="3"/>
        </w:numPr>
        <w:rPr>
          <w:rFonts w:eastAsia="Calibri"/>
          <w:bCs/>
          <w:sz w:val="20"/>
          <w:szCs w:val="20"/>
          <w:lang w:eastAsia="en-US"/>
        </w:rPr>
      </w:pPr>
      <w:r w:rsidRPr="009723E7">
        <w:rPr>
          <w:rFonts w:eastAsia="Calibri"/>
          <w:bCs/>
          <w:sz w:val="20"/>
          <w:szCs w:val="20"/>
          <w:lang w:eastAsia="en-US"/>
        </w:rPr>
        <w:t>Fuentes de información del sector salud</w:t>
      </w:r>
    </w:p>
    <w:p w14:paraId="2DD5F5AB" w14:textId="77777777" w:rsidR="009723E7" w:rsidRPr="009723E7" w:rsidRDefault="009723E7" w:rsidP="009723E7">
      <w:pPr>
        <w:numPr>
          <w:ilvl w:val="1"/>
          <w:numId w:val="3"/>
        </w:numPr>
        <w:rPr>
          <w:rFonts w:eastAsia="Calibri"/>
          <w:bCs/>
          <w:sz w:val="20"/>
          <w:szCs w:val="20"/>
          <w:lang w:eastAsia="en-US"/>
        </w:rPr>
      </w:pPr>
      <w:r w:rsidRPr="009723E7">
        <w:rPr>
          <w:rFonts w:eastAsia="Calibri"/>
          <w:bCs/>
          <w:sz w:val="20"/>
          <w:szCs w:val="20"/>
          <w:lang w:eastAsia="en-US"/>
        </w:rPr>
        <w:t>Frecuencia de uso de servicios y tecnologías</w:t>
      </w:r>
    </w:p>
    <w:p w14:paraId="043E5ECB" w14:textId="77777777" w:rsidR="009723E7" w:rsidRPr="009723E7" w:rsidRDefault="009723E7" w:rsidP="009723E7">
      <w:pPr>
        <w:numPr>
          <w:ilvl w:val="1"/>
          <w:numId w:val="3"/>
        </w:numPr>
        <w:rPr>
          <w:rFonts w:eastAsia="Calibri"/>
          <w:bCs/>
          <w:sz w:val="20"/>
          <w:szCs w:val="20"/>
          <w:lang w:eastAsia="en-US"/>
        </w:rPr>
      </w:pPr>
      <w:r w:rsidRPr="009723E7">
        <w:rPr>
          <w:rFonts w:eastAsia="Calibri"/>
          <w:bCs/>
          <w:sz w:val="20"/>
          <w:szCs w:val="20"/>
          <w:lang w:eastAsia="en-US"/>
        </w:rPr>
        <w:t>Análisis de la oferta y la demanda de servicios</w:t>
      </w:r>
    </w:p>
    <w:p w14:paraId="67C731AA" w14:textId="77777777" w:rsidR="009723E7" w:rsidRPr="009723E7" w:rsidRDefault="009723E7" w:rsidP="009723E7">
      <w:pPr>
        <w:numPr>
          <w:ilvl w:val="1"/>
          <w:numId w:val="3"/>
        </w:numPr>
        <w:rPr>
          <w:rFonts w:eastAsia="Calibri"/>
          <w:bCs/>
          <w:sz w:val="20"/>
          <w:szCs w:val="20"/>
          <w:lang w:eastAsia="en-US"/>
        </w:rPr>
      </w:pPr>
      <w:r w:rsidRPr="009723E7">
        <w:rPr>
          <w:rFonts w:eastAsia="Calibri"/>
          <w:bCs/>
          <w:sz w:val="20"/>
          <w:szCs w:val="20"/>
          <w:lang w:eastAsia="en-US"/>
        </w:rPr>
        <w:lastRenderedPageBreak/>
        <w:t>Validación de los soportes de atención</w:t>
      </w:r>
    </w:p>
    <w:p w14:paraId="5FC92F22" w14:textId="77777777" w:rsidR="009723E7" w:rsidRPr="009723E7" w:rsidRDefault="009723E7" w:rsidP="009723E7">
      <w:pPr>
        <w:numPr>
          <w:ilvl w:val="0"/>
          <w:numId w:val="3"/>
        </w:numPr>
        <w:rPr>
          <w:rFonts w:eastAsia="Calibri"/>
          <w:b/>
          <w:bCs/>
          <w:sz w:val="20"/>
          <w:szCs w:val="20"/>
          <w:lang w:eastAsia="en-US"/>
        </w:rPr>
      </w:pPr>
      <w:r w:rsidRPr="009723E7">
        <w:rPr>
          <w:rFonts w:eastAsia="Calibri"/>
          <w:b/>
          <w:bCs/>
          <w:sz w:val="20"/>
          <w:szCs w:val="20"/>
          <w:lang w:eastAsia="en-US"/>
        </w:rPr>
        <w:t>Fundamentos de la contratación en salud</w:t>
      </w:r>
    </w:p>
    <w:p w14:paraId="4422062A" w14:textId="77777777" w:rsidR="009723E7" w:rsidRPr="009723E7" w:rsidRDefault="009723E7" w:rsidP="009723E7">
      <w:pPr>
        <w:numPr>
          <w:ilvl w:val="1"/>
          <w:numId w:val="3"/>
        </w:numPr>
        <w:rPr>
          <w:rFonts w:eastAsia="Calibri"/>
          <w:bCs/>
          <w:sz w:val="20"/>
          <w:szCs w:val="20"/>
          <w:lang w:eastAsia="en-US"/>
        </w:rPr>
      </w:pPr>
      <w:r w:rsidRPr="009723E7">
        <w:rPr>
          <w:rFonts w:eastAsia="Calibri"/>
          <w:bCs/>
          <w:sz w:val="20"/>
          <w:szCs w:val="20"/>
          <w:lang w:eastAsia="en-US"/>
        </w:rPr>
        <w:t>Marco normativo aplicable a los acuerdos de voluntades</w:t>
      </w:r>
    </w:p>
    <w:p w14:paraId="685358CA" w14:textId="77777777" w:rsidR="009723E7" w:rsidRPr="009723E7" w:rsidRDefault="009723E7" w:rsidP="009723E7">
      <w:pPr>
        <w:numPr>
          <w:ilvl w:val="1"/>
          <w:numId w:val="3"/>
        </w:numPr>
        <w:rPr>
          <w:rFonts w:eastAsia="Calibri"/>
          <w:bCs/>
          <w:sz w:val="20"/>
          <w:szCs w:val="20"/>
          <w:lang w:eastAsia="en-US"/>
        </w:rPr>
      </w:pPr>
      <w:r w:rsidRPr="009723E7">
        <w:rPr>
          <w:rFonts w:eastAsia="Calibri"/>
          <w:bCs/>
          <w:sz w:val="20"/>
          <w:szCs w:val="20"/>
          <w:lang w:eastAsia="en-US"/>
        </w:rPr>
        <w:t>Modalidades de pago</w:t>
      </w:r>
    </w:p>
    <w:p w14:paraId="60822DEC" w14:textId="77777777" w:rsidR="009723E7" w:rsidRPr="009723E7" w:rsidRDefault="009723E7" w:rsidP="009723E7">
      <w:pPr>
        <w:numPr>
          <w:ilvl w:val="1"/>
          <w:numId w:val="3"/>
        </w:numPr>
        <w:rPr>
          <w:rFonts w:eastAsia="Calibri"/>
          <w:bCs/>
          <w:sz w:val="20"/>
          <w:szCs w:val="20"/>
          <w:lang w:eastAsia="en-US"/>
        </w:rPr>
      </w:pPr>
      <w:r w:rsidRPr="009723E7">
        <w:rPr>
          <w:rFonts w:eastAsia="Calibri"/>
          <w:bCs/>
          <w:sz w:val="20"/>
          <w:szCs w:val="20"/>
          <w:lang w:eastAsia="en-US"/>
        </w:rPr>
        <w:t>Registro Individual de Prestación de Servicios de Salud (RIPS)</w:t>
      </w:r>
    </w:p>
    <w:p w14:paraId="7D28B031" w14:textId="77777777" w:rsidR="009723E7" w:rsidRPr="009723E7" w:rsidRDefault="009723E7" w:rsidP="009723E7">
      <w:pPr>
        <w:numPr>
          <w:ilvl w:val="0"/>
          <w:numId w:val="3"/>
        </w:numPr>
        <w:rPr>
          <w:rFonts w:eastAsia="Calibri"/>
          <w:b/>
          <w:bCs/>
          <w:sz w:val="20"/>
          <w:szCs w:val="20"/>
          <w:lang w:eastAsia="en-US"/>
        </w:rPr>
      </w:pPr>
      <w:r w:rsidRPr="009723E7">
        <w:rPr>
          <w:rFonts w:eastAsia="Calibri"/>
          <w:b/>
          <w:bCs/>
          <w:sz w:val="20"/>
          <w:szCs w:val="20"/>
          <w:lang w:eastAsia="en-US"/>
        </w:rPr>
        <w:t>Calidad y atención en el contexto de la contratación en salud</w:t>
      </w:r>
    </w:p>
    <w:p w14:paraId="1CFC3280" w14:textId="1DDF77C3" w:rsidR="009723E7" w:rsidRPr="009723E7" w:rsidRDefault="009723E7" w:rsidP="009723E7">
      <w:pPr>
        <w:numPr>
          <w:ilvl w:val="1"/>
          <w:numId w:val="3"/>
        </w:numPr>
        <w:rPr>
          <w:rFonts w:eastAsia="Calibri"/>
          <w:bCs/>
          <w:sz w:val="20"/>
          <w:szCs w:val="20"/>
          <w:lang w:eastAsia="en-US"/>
        </w:rPr>
      </w:pPr>
      <w:r w:rsidRPr="009723E7">
        <w:rPr>
          <w:rFonts w:eastAsia="Calibri"/>
          <w:bCs/>
          <w:sz w:val="20"/>
          <w:szCs w:val="20"/>
          <w:lang w:eastAsia="en-US"/>
        </w:rPr>
        <w:t xml:space="preserve">Sistema Obligatorio de Garantía de Calidad </w:t>
      </w:r>
      <w:r w:rsidR="00FB19B2" w:rsidRPr="00FB19B2">
        <w:rPr>
          <w:rFonts w:eastAsia="Calibri"/>
          <w:bCs/>
          <w:sz w:val="20"/>
          <w:szCs w:val="20"/>
          <w:lang w:eastAsia="en-US"/>
        </w:rPr>
        <w:t>de la Atención de Salud</w:t>
      </w:r>
    </w:p>
    <w:p w14:paraId="122A2528" w14:textId="77777777" w:rsidR="009723E7" w:rsidRPr="009723E7" w:rsidRDefault="009723E7" w:rsidP="009723E7">
      <w:pPr>
        <w:numPr>
          <w:ilvl w:val="1"/>
          <w:numId w:val="3"/>
        </w:numPr>
        <w:rPr>
          <w:rFonts w:eastAsia="Calibri"/>
          <w:bCs/>
          <w:sz w:val="20"/>
          <w:szCs w:val="20"/>
          <w:lang w:eastAsia="en-US"/>
        </w:rPr>
      </w:pPr>
      <w:r w:rsidRPr="009723E7">
        <w:rPr>
          <w:rFonts w:eastAsia="Calibri"/>
          <w:bCs/>
          <w:sz w:val="20"/>
          <w:szCs w:val="20"/>
          <w:lang w:eastAsia="en-US"/>
        </w:rPr>
        <w:t>Habilitación de servicios de salud</w:t>
      </w:r>
    </w:p>
    <w:p w14:paraId="75E01C09" w14:textId="77777777" w:rsidR="009723E7" w:rsidRPr="009723E7" w:rsidRDefault="009723E7" w:rsidP="009723E7">
      <w:pPr>
        <w:numPr>
          <w:ilvl w:val="1"/>
          <w:numId w:val="3"/>
        </w:numPr>
        <w:rPr>
          <w:rFonts w:eastAsia="Calibri"/>
          <w:bCs/>
          <w:sz w:val="20"/>
          <w:szCs w:val="20"/>
          <w:lang w:eastAsia="en-US"/>
        </w:rPr>
      </w:pPr>
      <w:r w:rsidRPr="009723E7">
        <w:rPr>
          <w:rFonts w:eastAsia="Calibri"/>
          <w:bCs/>
          <w:sz w:val="20"/>
          <w:szCs w:val="20"/>
          <w:lang w:eastAsia="en-US"/>
        </w:rPr>
        <w:t>Gestión del riesgo y seguridad del paciente</w:t>
      </w:r>
    </w:p>
    <w:p w14:paraId="31A0816D" w14:textId="77777777" w:rsidR="009723E7" w:rsidRPr="009723E7" w:rsidRDefault="009723E7" w:rsidP="009723E7">
      <w:pPr>
        <w:numPr>
          <w:ilvl w:val="1"/>
          <w:numId w:val="3"/>
        </w:numPr>
        <w:rPr>
          <w:rFonts w:eastAsia="Calibri"/>
          <w:bCs/>
          <w:sz w:val="20"/>
          <w:szCs w:val="20"/>
          <w:lang w:eastAsia="en-US"/>
        </w:rPr>
      </w:pPr>
      <w:r w:rsidRPr="009723E7">
        <w:rPr>
          <w:rFonts w:eastAsia="Calibri"/>
          <w:bCs/>
          <w:sz w:val="20"/>
          <w:szCs w:val="20"/>
          <w:lang w:eastAsia="en-US"/>
        </w:rPr>
        <w:t>Rutas Integrales de Atención en Salud (RIAS)</w:t>
      </w:r>
    </w:p>
    <w:p w14:paraId="75920BAF" w14:textId="77777777" w:rsidR="009723E7" w:rsidRPr="009723E7" w:rsidRDefault="009723E7" w:rsidP="009723E7">
      <w:pPr>
        <w:numPr>
          <w:ilvl w:val="0"/>
          <w:numId w:val="3"/>
        </w:numPr>
        <w:rPr>
          <w:rFonts w:eastAsia="Calibri"/>
          <w:b/>
          <w:bCs/>
          <w:sz w:val="20"/>
          <w:szCs w:val="20"/>
          <w:lang w:eastAsia="en-US"/>
        </w:rPr>
      </w:pPr>
      <w:r w:rsidRPr="009723E7">
        <w:rPr>
          <w:rFonts w:eastAsia="Calibri"/>
          <w:b/>
          <w:bCs/>
          <w:sz w:val="20"/>
          <w:szCs w:val="20"/>
          <w:lang w:eastAsia="en-US"/>
        </w:rPr>
        <w:t>Manuales tarifarios y glosas</w:t>
      </w:r>
    </w:p>
    <w:p w14:paraId="7ED737A6" w14:textId="77777777" w:rsidR="009723E7" w:rsidRPr="009723E7" w:rsidRDefault="009723E7" w:rsidP="009723E7">
      <w:pPr>
        <w:numPr>
          <w:ilvl w:val="1"/>
          <w:numId w:val="3"/>
        </w:numPr>
        <w:rPr>
          <w:rFonts w:eastAsia="Calibri"/>
          <w:bCs/>
          <w:sz w:val="20"/>
          <w:szCs w:val="20"/>
          <w:lang w:eastAsia="en-US"/>
        </w:rPr>
      </w:pPr>
      <w:r w:rsidRPr="009723E7">
        <w:rPr>
          <w:rFonts w:eastAsia="Calibri"/>
          <w:bCs/>
          <w:sz w:val="20"/>
          <w:szCs w:val="20"/>
          <w:lang w:eastAsia="en-US"/>
        </w:rPr>
        <w:t>Tipos de tarifas</w:t>
      </w:r>
    </w:p>
    <w:p w14:paraId="217EDDE8" w14:textId="77777777" w:rsidR="009723E7" w:rsidRPr="009723E7" w:rsidRDefault="009723E7" w:rsidP="009723E7">
      <w:pPr>
        <w:numPr>
          <w:ilvl w:val="1"/>
          <w:numId w:val="3"/>
        </w:numPr>
        <w:rPr>
          <w:rFonts w:eastAsia="Calibri"/>
          <w:bCs/>
          <w:sz w:val="20"/>
          <w:szCs w:val="20"/>
          <w:lang w:eastAsia="en-US"/>
        </w:rPr>
      </w:pPr>
      <w:r w:rsidRPr="009723E7">
        <w:rPr>
          <w:rFonts w:eastAsia="Calibri"/>
          <w:bCs/>
          <w:sz w:val="20"/>
          <w:szCs w:val="20"/>
          <w:lang w:eastAsia="en-US"/>
        </w:rPr>
        <w:t>Lineamientos normativos de los manuales tarifarios</w:t>
      </w:r>
    </w:p>
    <w:p w14:paraId="1B13D7D6" w14:textId="77777777" w:rsidR="009723E7" w:rsidRPr="009723E7" w:rsidRDefault="009723E7" w:rsidP="009723E7">
      <w:pPr>
        <w:numPr>
          <w:ilvl w:val="1"/>
          <w:numId w:val="3"/>
        </w:numPr>
        <w:rPr>
          <w:rFonts w:eastAsia="Calibri"/>
          <w:bCs/>
          <w:sz w:val="20"/>
          <w:szCs w:val="20"/>
          <w:lang w:eastAsia="en-US"/>
        </w:rPr>
      </w:pPr>
      <w:r w:rsidRPr="009723E7">
        <w:rPr>
          <w:rFonts w:eastAsia="Calibri"/>
          <w:bCs/>
          <w:sz w:val="20"/>
          <w:szCs w:val="20"/>
          <w:lang w:eastAsia="en-US"/>
        </w:rPr>
        <w:t>Glosas en la contratación de servicios de salud</w:t>
      </w:r>
    </w:p>
    <w:p w14:paraId="634BFC50" w14:textId="77777777" w:rsidR="009723E7" w:rsidRPr="009723E7" w:rsidRDefault="009723E7" w:rsidP="009723E7">
      <w:pPr>
        <w:numPr>
          <w:ilvl w:val="0"/>
          <w:numId w:val="3"/>
        </w:numPr>
        <w:rPr>
          <w:rFonts w:eastAsia="Calibri"/>
          <w:b/>
          <w:bCs/>
          <w:sz w:val="20"/>
          <w:szCs w:val="20"/>
          <w:lang w:eastAsia="en-US"/>
        </w:rPr>
      </w:pPr>
      <w:r w:rsidRPr="009723E7">
        <w:rPr>
          <w:rFonts w:eastAsia="Calibri"/>
          <w:b/>
          <w:bCs/>
          <w:sz w:val="20"/>
          <w:szCs w:val="20"/>
          <w:lang w:eastAsia="en-US"/>
        </w:rPr>
        <w:t>Elementos generales de la nota técnica</w:t>
      </w:r>
    </w:p>
    <w:p w14:paraId="751B8584" w14:textId="77777777" w:rsidR="009723E7" w:rsidRPr="009723E7" w:rsidRDefault="009723E7" w:rsidP="009723E7">
      <w:pPr>
        <w:numPr>
          <w:ilvl w:val="1"/>
          <w:numId w:val="3"/>
        </w:numPr>
        <w:rPr>
          <w:rFonts w:eastAsia="Calibri"/>
          <w:bCs/>
          <w:sz w:val="20"/>
          <w:szCs w:val="20"/>
          <w:lang w:eastAsia="en-US"/>
        </w:rPr>
      </w:pPr>
      <w:r w:rsidRPr="009723E7">
        <w:rPr>
          <w:rFonts w:eastAsia="Calibri"/>
          <w:bCs/>
          <w:sz w:val="20"/>
          <w:szCs w:val="20"/>
          <w:lang w:eastAsia="en-US"/>
        </w:rPr>
        <w:t>Características y elementos</w:t>
      </w:r>
    </w:p>
    <w:p w14:paraId="3BDE0DD8" w14:textId="77777777" w:rsidR="009723E7" w:rsidRPr="009723E7" w:rsidRDefault="009723E7" w:rsidP="009723E7">
      <w:pPr>
        <w:numPr>
          <w:ilvl w:val="1"/>
          <w:numId w:val="3"/>
        </w:numPr>
        <w:rPr>
          <w:rFonts w:eastAsia="Calibri"/>
          <w:bCs/>
          <w:sz w:val="20"/>
          <w:szCs w:val="20"/>
          <w:lang w:eastAsia="en-US"/>
        </w:rPr>
      </w:pPr>
      <w:r w:rsidRPr="009723E7">
        <w:rPr>
          <w:rFonts w:eastAsia="Calibri"/>
          <w:bCs/>
          <w:sz w:val="20"/>
          <w:szCs w:val="20"/>
          <w:lang w:eastAsia="en-US"/>
        </w:rPr>
        <w:t>Servicios, tecnologías y frecuencias de uso</w:t>
      </w:r>
    </w:p>
    <w:p w14:paraId="50C5D8BB" w14:textId="77777777" w:rsidR="009723E7" w:rsidRPr="009723E7" w:rsidRDefault="009723E7" w:rsidP="009723E7">
      <w:pPr>
        <w:numPr>
          <w:ilvl w:val="1"/>
          <w:numId w:val="3"/>
        </w:numPr>
        <w:rPr>
          <w:sz w:val="20"/>
          <w:szCs w:val="20"/>
        </w:rPr>
      </w:pPr>
      <w:r w:rsidRPr="009723E7">
        <w:rPr>
          <w:rFonts w:eastAsia="Calibri"/>
          <w:bCs/>
          <w:sz w:val="20"/>
          <w:szCs w:val="20"/>
          <w:lang w:eastAsia="en-US"/>
        </w:rPr>
        <w:t>Riesgo primario y riesgo técnico</w:t>
      </w:r>
    </w:p>
    <w:p w14:paraId="188C9785" w14:textId="616693FF" w:rsidR="00A11EF6" w:rsidRDefault="00A11EF6" w:rsidP="001B5F0C">
      <w:pPr>
        <w:pStyle w:val="Normal0"/>
        <w:rPr>
          <w:b/>
          <w:sz w:val="20"/>
          <w:szCs w:val="20"/>
        </w:rPr>
      </w:pPr>
    </w:p>
    <w:p w14:paraId="37487B73" w14:textId="77777777" w:rsidR="000D04CD" w:rsidRPr="001C00EF" w:rsidRDefault="000D04CD" w:rsidP="001B5F0C">
      <w:pPr>
        <w:pStyle w:val="Normal0"/>
        <w:rPr>
          <w:b/>
          <w:sz w:val="20"/>
          <w:szCs w:val="20"/>
        </w:rPr>
      </w:pPr>
    </w:p>
    <w:p w14:paraId="00000036" w14:textId="77777777" w:rsidR="00AD17D4" w:rsidRPr="001C00EF" w:rsidRDefault="00025888" w:rsidP="001B5F0C">
      <w:pPr>
        <w:pStyle w:val="Normal0"/>
        <w:numPr>
          <w:ilvl w:val="0"/>
          <w:numId w:val="1"/>
        </w:numPr>
        <w:ind w:left="284" w:hanging="284"/>
        <w:rPr>
          <w:b/>
          <w:sz w:val="20"/>
          <w:szCs w:val="20"/>
        </w:rPr>
      </w:pPr>
      <w:r w:rsidRPr="001C00EF">
        <w:rPr>
          <w:b/>
          <w:sz w:val="20"/>
          <w:szCs w:val="20"/>
        </w:rPr>
        <w:t>INTRODUCCIÓN</w:t>
      </w:r>
    </w:p>
    <w:p w14:paraId="00000037" w14:textId="77777777" w:rsidR="00AD17D4" w:rsidRPr="001C00EF" w:rsidRDefault="00AD17D4" w:rsidP="006B703D">
      <w:pPr>
        <w:pStyle w:val="Normal0"/>
        <w:rPr>
          <w:b/>
          <w:sz w:val="20"/>
          <w:szCs w:val="20"/>
        </w:rPr>
      </w:pPr>
    </w:p>
    <w:p w14:paraId="38537349" w14:textId="77777777" w:rsidR="000D04CD" w:rsidRPr="000D04CD" w:rsidRDefault="000D04CD" w:rsidP="000D04CD">
      <w:pPr>
        <w:rPr>
          <w:bCs/>
          <w:sz w:val="20"/>
          <w:szCs w:val="20"/>
          <w:lang w:val="es-ES"/>
        </w:rPr>
      </w:pPr>
      <w:r w:rsidRPr="000D04CD">
        <w:rPr>
          <w:bCs/>
          <w:sz w:val="20"/>
          <w:szCs w:val="20"/>
          <w:lang w:val="es-ES"/>
        </w:rPr>
        <w:t>La nota técnica constituye un instrumento relacionado con la planeación, el seguimiento y la gestión de los acuerdos de voluntades entre los actores que participan en la prestación de servicios y tecnologías en salud. Su construcción requiere integrar información sobre la población objeto, sus necesidades, los servicios requeridos, las frecuencias de uso, los riesgos en salud y las condiciones establecidas en el marco normativo aplicable.</w:t>
      </w:r>
    </w:p>
    <w:p w14:paraId="747A849E" w14:textId="77777777" w:rsidR="000D04CD" w:rsidRPr="000D04CD" w:rsidRDefault="000D04CD" w:rsidP="000D04CD">
      <w:pPr>
        <w:rPr>
          <w:bCs/>
          <w:sz w:val="20"/>
          <w:szCs w:val="20"/>
          <w:lang w:val="es-ES"/>
        </w:rPr>
      </w:pPr>
    </w:p>
    <w:p w14:paraId="1B3E9E15" w14:textId="77777777" w:rsidR="000D04CD" w:rsidRPr="000D04CD" w:rsidRDefault="000D04CD" w:rsidP="000D04CD">
      <w:pPr>
        <w:rPr>
          <w:bCs/>
          <w:sz w:val="20"/>
          <w:szCs w:val="20"/>
          <w:lang w:val="es-ES"/>
        </w:rPr>
      </w:pPr>
      <w:r w:rsidRPr="000D04CD">
        <w:rPr>
          <w:bCs/>
          <w:sz w:val="20"/>
          <w:szCs w:val="20"/>
          <w:lang w:val="es-ES"/>
        </w:rPr>
        <w:t>El análisis de las características de la población permite identificar necesidades y comportamientos relacionados con la utilización de los servicios de salud. Para ello, se consideran fuentes de información del sector, parámetros epidemiológicos y demográficos, así como elementos relacionados con la oferta y la demanda de servicios. Esta información constituye un insumo para establecer proyecciones y sustentar técnicamente los servicios y tecnologías que hacen parte de los acuerdos de voluntades.</w:t>
      </w:r>
    </w:p>
    <w:p w14:paraId="4C4348B2" w14:textId="77777777" w:rsidR="000D04CD" w:rsidRPr="000D04CD" w:rsidRDefault="000D04CD" w:rsidP="000D04CD">
      <w:pPr>
        <w:rPr>
          <w:bCs/>
          <w:sz w:val="20"/>
          <w:szCs w:val="20"/>
          <w:lang w:val="es-ES"/>
        </w:rPr>
      </w:pPr>
    </w:p>
    <w:p w14:paraId="631D48BF" w14:textId="1B91FA15" w:rsidR="00A11EF6" w:rsidRDefault="000D04CD" w:rsidP="000D04CD">
      <w:pPr>
        <w:rPr>
          <w:bCs/>
          <w:sz w:val="20"/>
          <w:szCs w:val="20"/>
          <w:lang w:val="es-ES"/>
        </w:rPr>
      </w:pPr>
      <w:r w:rsidRPr="000D04CD">
        <w:rPr>
          <w:bCs/>
          <w:sz w:val="20"/>
          <w:szCs w:val="20"/>
          <w:lang w:val="es-ES"/>
        </w:rPr>
        <w:t>En este contexto, el componente aborda los fundamentos necesarios para comprender la caracterización de la población, el análisis de información en salud, los principales lineamientos normativos relacionados con la contratación y las generalidades de la nota técnica. El desarrollo de estos contenidos proporciona las bases para interpretar la información requerida en su construcción y comprender su importancia como herramienta de planeación y seguimiento en los procesos de contratación en salud.</w:t>
      </w:r>
    </w:p>
    <w:p w14:paraId="4A33A915" w14:textId="77777777" w:rsidR="000D04CD" w:rsidRPr="00396FA1" w:rsidRDefault="000D04CD" w:rsidP="000D04CD">
      <w:pPr>
        <w:rPr>
          <w:bCs/>
          <w:sz w:val="20"/>
          <w:szCs w:val="20"/>
          <w:lang w:val="es-ES"/>
        </w:rPr>
      </w:pPr>
    </w:p>
    <w:p w14:paraId="65598A62" w14:textId="77777777" w:rsidR="00396FA1" w:rsidRPr="00396FA1" w:rsidRDefault="00396FA1" w:rsidP="00396FA1">
      <w:pPr>
        <w:rPr>
          <w:bCs/>
          <w:sz w:val="20"/>
          <w:szCs w:val="20"/>
          <w:lang w:val="es-ES"/>
        </w:rPr>
      </w:pPr>
      <w:r w:rsidRPr="00396FA1">
        <w:rPr>
          <w:bCs/>
          <w:sz w:val="20"/>
          <w:szCs w:val="20"/>
          <w:lang w:val="es-ES"/>
        </w:rPr>
        <w:t>Para complementar la comprensión de los temas abordados, se recomienda acceder al siguiente video.</w:t>
      </w:r>
    </w:p>
    <w:p w14:paraId="2C41C388" w14:textId="77777777" w:rsidR="00D146E9" w:rsidRPr="001C00EF" w:rsidRDefault="00D146E9" w:rsidP="00D146E9">
      <w:pPr>
        <w:pStyle w:val="Normal0"/>
        <w:rPr>
          <w:sz w:val="20"/>
          <w:szCs w:val="20"/>
        </w:rPr>
      </w:pPr>
    </w:p>
    <w:p w14:paraId="2DF85D62" w14:textId="757CBEE5" w:rsidR="00AD17D4" w:rsidRDefault="00025888" w:rsidP="007A5C2D">
      <w:pPr>
        <w:pStyle w:val="Normal0"/>
        <w:jc w:val="center"/>
        <w:rPr>
          <w:sz w:val="20"/>
          <w:szCs w:val="20"/>
        </w:rPr>
      </w:pPr>
      <w:r w:rsidRPr="009B49E3">
        <w:rPr>
          <w:noProof/>
          <w:sz w:val="20"/>
          <w:szCs w:val="20"/>
          <w:lang w:val="en-US" w:eastAsia="en-US"/>
        </w:rPr>
        <mc:AlternateContent>
          <mc:Choice Requires="wps">
            <w:drawing>
              <wp:inline distT="0" distB="0" distL="0" distR="0" wp14:anchorId="479A2C21" wp14:editId="009BD325">
                <wp:extent cx="5412105" cy="732155"/>
                <wp:effectExtent l="0" t="0" r="17145" b="10795"/>
                <wp:docPr id="249" name="Rectángulo 249"/>
                <wp:cNvGraphicFramePr/>
                <a:graphic xmlns:a="http://schemas.openxmlformats.org/drawingml/2006/main">
                  <a:graphicData uri="http://schemas.microsoft.com/office/word/2010/wordprocessingShape">
                    <wps:wsp>
                      <wps:cNvSpPr/>
                      <wps:spPr>
                        <a:xfrm>
                          <a:off x="2646298" y="3420273"/>
                          <a:ext cx="5399405" cy="719455"/>
                        </a:xfrm>
                        <a:prstGeom prst="rect">
                          <a:avLst/>
                        </a:prstGeom>
                        <a:solidFill>
                          <a:srgbClr val="39A900"/>
                        </a:solidFill>
                        <a:ln w="12700" cap="flat" cmpd="sng">
                          <a:solidFill>
                            <a:srgbClr val="42719B"/>
                          </a:solidFill>
                          <a:prstDash val="solid"/>
                          <a:miter lim="8000"/>
                          <a:headEnd type="none" w="sm" len="sm"/>
                          <a:tailEnd type="none" w="sm" len="sm"/>
                        </a:ln>
                      </wps:spPr>
                      <wps:txbx>
                        <w:txbxContent>
                          <w:p w14:paraId="70993A7A" w14:textId="002B5807" w:rsidR="00877F3E" w:rsidRDefault="00877F3E">
                            <w:pPr>
                              <w:spacing w:line="275" w:lineRule="auto"/>
                              <w:jc w:val="center"/>
                              <w:rPr>
                                <w:b/>
                              </w:rPr>
                            </w:pPr>
                            <w:r>
                              <w:rPr>
                                <w:b/>
                                <w:color w:val="FFFFFF"/>
                              </w:rPr>
                              <w:t>13450096</w:t>
                            </w:r>
                            <w:r w:rsidRPr="006F1666">
                              <w:rPr>
                                <w:b/>
                                <w:color w:val="FFFFFF"/>
                              </w:rPr>
                              <w:t>_CF01_Guion_Introduccion_Video</w:t>
                            </w:r>
                          </w:p>
                        </w:txbxContent>
                      </wps:txbx>
                      <wps:bodyPr spcFirstLastPara="1" wrap="square" lIns="91425" tIns="45700" rIns="91425" bIns="45700" anchor="ctr" anchorCtr="0">
                        <a:noAutofit/>
                      </wps:bodyPr>
                    </wps:wsp>
                  </a:graphicData>
                </a:graphic>
              </wp:inline>
            </w:drawing>
          </mc:Choice>
          <mc:Fallback>
            <w:pict>
              <v:rect w14:anchorId="479A2C21" id="Rectángulo 249" o:spid="_x0000_s1026" style="width:426.15pt;height:57.6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" fillcolor="#39a900" strokecolor="#42719b" strokeweight="1pt">
                <v:stroke startarrowwidth="narrow" startarrowlength="short" endarrowwidth="narrow" endarrowlength="short" miterlimit="5243f"/>
                <v:textbox inset="2.53958mm,1.2694mm,2.53958mm,1.2694mm">
                  <w:txbxContent>
                    <w:p w14:paraId="70993A7A" w14:textId="002B5807" w:rsidR="00877F3E" w:rsidRDefault="00877F3E">
                      <w:pPr>
                        <w:spacing w:line="275" w:lineRule="auto"/>
                        <w:jc w:val="center"/>
                        <w:rPr>
                          <w:b/>
                        </w:rPr>
                      </w:pPr>
                      <w:r>
                        <w:rPr>
                          <w:b/>
                          <w:color w:val="FFFFFF"/>
                        </w:rPr>
                        <w:t>13450096</w:t>
                      </w:r>
                      <w:r w:rsidRPr="006F1666">
                        <w:rPr>
                          <w:b/>
                          <w:color w:val="FFFFFF"/>
                        </w:rPr>
                        <w:t>_CF01_Guion_Introduccion_Video</w:t>
                      </w:r>
                    </w:p>
                  </w:txbxContent>
                </v:textbox>
                <w10:anchorlock/>
              </v:rect>
            </w:pict>
          </mc:Fallback>
        </mc:AlternateContent>
      </w:r>
    </w:p>
    <w:p w14:paraId="4DB44C87" w14:textId="18E8C245" w:rsidR="00A11EF6" w:rsidRDefault="00A11EF6" w:rsidP="007A5C2D">
      <w:pPr>
        <w:pStyle w:val="Normal0"/>
        <w:jc w:val="center"/>
        <w:rPr>
          <w:sz w:val="20"/>
          <w:szCs w:val="20"/>
        </w:rPr>
      </w:pPr>
    </w:p>
    <w:p w14:paraId="7C57EF0D" w14:textId="0EE375F3" w:rsidR="00A11EF6" w:rsidRDefault="00A11EF6" w:rsidP="007A5C2D">
      <w:pPr>
        <w:pStyle w:val="Normal0"/>
        <w:jc w:val="center"/>
        <w:rPr>
          <w:sz w:val="20"/>
          <w:szCs w:val="20"/>
        </w:rPr>
      </w:pPr>
    </w:p>
    <w:p w14:paraId="4730B12F" w14:textId="320A43F9" w:rsidR="00AD590A" w:rsidRDefault="00AD590A" w:rsidP="007A5C2D">
      <w:pPr>
        <w:pStyle w:val="Normal0"/>
        <w:jc w:val="center"/>
        <w:rPr>
          <w:sz w:val="20"/>
          <w:szCs w:val="20"/>
        </w:rPr>
      </w:pPr>
    </w:p>
    <w:p w14:paraId="77F6D97B" w14:textId="54024310" w:rsidR="00303B68" w:rsidRPr="009B49E3" w:rsidRDefault="00025888" w:rsidP="007A5C2D">
      <w:pPr>
        <w:pStyle w:val="Normal0"/>
        <w:numPr>
          <w:ilvl w:val="0"/>
          <w:numId w:val="1"/>
        </w:numPr>
        <w:ind w:left="284" w:hanging="284"/>
        <w:rPr>
          <w:b/>
          <w:color w:val="000000"/>
          <w:sz w:val="20"/>
          <w:szCs w:val="20"/>
        </w:rPr>
      </w:pPr>
      <w:r w:rsidRPr="009B49E3">
        <w:rPr>
          <w:b/>
          <w:color w:val="000000"/>
          <w:sz w:val="20"/>
          <w:szCs w:val="20"/>
        </w:rPr>
        <w:lastRenderedPageBreak/>
        <w:t>DESARROLLO DE CONTENIDOS:</w:t>
      </w:r>
    </w:p>
    <w:p w14:paraId="1C2198E3" w14:textId="09CA45BF" w:rsidR="001C00EF" w:rsidRDefault="001C00EF" w:rsidP="007A5C2D">
      <w:pPr>
        <w:pStyle w:val="Normal0"/>
        <w:rPr>
          <w:b/>
          <w:color w:val="000000"/>
          <w:sz w:val="20"/>
          <w:szCs w:val="20"/>
        </w:rPr>
      </w:pPr>
    </w:p>
    <w:p w14:paraId="118F6554" w14:textId="452EF0CD" w:rsidR="00DE177A" w:rsidRDefault="00DE177A" w:rsidP="007A5C2D">
      <w:pPr>
        <w:pStyle w:val="Normal0"/>
        <w:rPr>
          <w:b/>
          <w:color w:val="000000"/>
          <w:sz w:val="20"/>
          <w:szCs w:val="20"/>
        </w:rPr>
      </w:pPr>
    </w:p>
    <w:p w14:paraId="5AAC768E" w14:textId="0CCC163C" w:rsidR="00AD590A" w:rsidRDefault="00AD590A" w:rsidP="009723E7">
      <w:pPr>
        <w:pStyle w:val="Normal0"/>
        <w:numPr>
          <w:ilvl w:val="0"/>
          <w:numId w:val="27"/>
        </w:numPr>
        <w:rPr>
          <w:rFonts w:eastAsia="Calibri"/>
          <w:b/>
          <w:bCs/>
          <w:sz w:val="20"/>
          <w:szCs w:val="20"/>
          <w:lang w:eastAsia="en-US"/>
        </w:rPr>
      </w:pPr>
      <w:r w:rsidRPr="000D04CD">
        <w:rPr>
          <w:rFonts w:eastAsia="Calibri"/>
          <w:b/>
          <w:bCs/>
          <w:sz w:val="20"/>
          <w:szCs w:val="20"/>
          <w:lang w:eastAsia="en-US"/>
        </w:rPr>
        <w:t>Caracterización de la población objeto</w:t>
      </w:r>
    </w:p>
    <w:p w14:paraId="0C7DAB15" w14:textId="4C18E958" w:rsidR="004D26BE" w:rsidRDefault="004D26BE" w:rsidP="004D26BE">
      <w:pPr>
        <w:pStyle w:val="Normal0"/>
        <w:rPr>
          <w:rFonts w:eastAsia="Calibri"/>
          <w:bCs/>
          <w:sz w:val="20"/>
          <w:szCs w:val="20"/>
          <w:lang w:eastAsia="en-US"/>
        </w:rPr>
      </w:pPr>
    </w:p>
    <w:p w14:paraId="36763A8B" w14:textId="77777777" w:rsidR="004D26BE" w:rsidRPr="004D26BE" w:rsidRDefault="004D26BE" w:rsidP="004D26BE">
      <w:pPr>
        <w:pStyle w:val="Normal0"/>
        <w:rPr>
          <w:rFonts w:eastAsia="Calibri"/>
          <w:bCs/>
          <w:sz w:val="20"/>
          <w:szCs w:val="20"/>
          <w:lang w:eastAsia="en-US"/>
        </w:rPr>
      </w:pPr>
      <w:r w:rsidRPr="004D26BE">
        <w:rPr>
          <w:rFonts w:eastAsia="Calibri"/>
          <w:bCs/>
          <w:sz w:val="20"/>
          <w:szCs w:val="20"/>
          <w:lang w:eastAsia="en-US"/>
        </w:rPr>
        <w:t>La caracterización de la población objeto constituye un punto de partida para la construcción de la nota técnica, debido a que permite identificar las características, condiciones y necesidades de las personas que hacen parte del ámbito de atención definido en un acuerdo de voluntades. Este proceso requiere analizar información demográfica, epidemiológica y territorial, entre otros aspectos relevantes para establecer la población que puede requerir los servicios y tecnologías en salud.</w:t>
      </w:r>
    </w:p>
    <w:p w14:paraId="70B0AB34" w14:textId="77777777" w:rsidR="004D26BE" w:rsidRPr="004D26BE" w:rsidRDefault="004D26BE" w:rsidP="004D26BE">
      <w:pPr>
        <w:pStyle w:val="Normal0"/>
        <w:rPr>
          <w:rFonts w:eastAsia="Calibri"/>
          <w:bCs/>
          <w:sz w:val="20"/>
          <w:szCs w:val="20"/>
          <w:lang w:eastAsia="en-US"/>
        </w:rPr>
      </w:pPr>
    </w:p>
    <w:p w14:paraId="44A4D962" w14:textId="77777777" w:rsidR="004D26BE" w:rsidRPr="004D26BE" w:rsidRDefault="004D26BE" w:rsidP="004D26BE">
      <w:pPr>
        <w:pStyle w:val="Normal0"/>
        <w:rPr>
          <w:rFonts w:eastAsia="Calibri"/>
          <w:bCs/>
          <w:sz w:val="20"/>
          <w:szCs w:val="20"/>
          <w:lang w:eastAsia="en-US"/>
        </w:rPr>
      </w:pPr>
      <w:r w:rsidRPr="004D26BE">
        <w:rPr>
          <w:rFonts w:eastAsia="Calibri"/>
          <w:bCs/>
          <w:sz w:val="20"/>
          <w:szCs w:val="20"/>
          <w:lang w:eastAsia="en-US"/>
        </w:rPr>
        <w:t>El análisis de esta información permite diferenciar la población objeto total de la población susceptible, así como reconocer factores que pueden modificar las necesidades de atención y la utilización de los servicios. Para ello, se consideran fuentes de información y parámetros que contribuyen a sustentar las estimaciones utilizadas en la nota técnica.</w:t>
      </w:r>
    </w:p>
    <w:p w14:paraId="0334693C" w14:textId="77777777" w:rsidR="004D26BE" w:rsidRPr="004D26BE" w:rsidRDefault="004D26BE" w:rsidP="004D26BE">
      <w:pPr>
        <w:pStyle w:val="Normal0"/>
        <w:rPr>
          <w:rFonts w:eastAsia="Calibri"/>
          <w:bCs/>
          <w:sz w:val="20"/>
          <w:szCs w:val="20"/>
          <w:lang w:eastAsia="en-US"/>
        </w:rPr>
      </w:pPr>
    </w:p>
    <w:p w14:paraId="72BCAEF4" w14:textId="0CB5D41A" w:rsidR="004D26BE" w:rsidRDefault="004D26BE" w:rsidP="004D26BE">
      <w:pPr>
        <w:pStyle w:val="Normal0"/>
        <w:rPr>
          <w:rFonts w:eastAsia="Calibri"/>
          <w:bCs/>
          <w:sz w:val="20"/>
          <w:szCs w:val="20"/>
          <w:lang w:eastAsia="en-US"/>
        </w:rPr>
      </w:pPr>
      <w:r w:rsidRPr="004D26BE">
        <w:rPr>
          <w:rFonts w:eastAsia="Calibri"/>
          <w:bCs/>
          <w:sz w:val="20"/>
          <w:szCs w:val="20"/>
          <w:lang w:eastAsia="en-US"/>
        </w:rPr>
        <w:t>De esta manera, la caracterización poblacional proporciona elementos para comprender a quiénes se dirige la atención, cuáles son sus principales necesidades y qué condiciones deben considerarse para proyectar los servicios y tecnologías requeridos.</w:t>
      </w:r>
    </w:p>
    <w:p w14:paraId="0D067430" w14:textId="77777777" w:rsidR="004D26BE" w:rsidRPr="004D26BE" w:rsidRDefault="004D26BE" w:rsidP="004D26BE">
      <w:pPr>
        <w:pStyle w:val="Normal0"/>
        <w:rPr>
          <w:rFonts w:eastAsia="Calibri"/>
          <w:bCs/>
          <w:sz w:val="20"/>
          <w:szCs w:val="20"/>
          <w:lang w:eastAsia="en-US"/>
        </w:rPr>
      </w:pPr>
    </w:p>
    <w:p w14:paraId="254D0306" w14:textId="17F9867B" w:rsidR="00AD590A" w:rsidRPr="007A7D8B" w:rsidRDefault="00AD590A" w:rsidP="009723E7">
      <w:pPr>
        <w:pStyle w:val="Normal0"/>
        <w:numPr>
          <w:ilvl w:val="1"/>
          <w:numId w:val="27"/>
        </w:numPr>
        <w:rPr>
          <w:rFonts w:eastAsia="Calibri"/>
          <w:b/>
          <w:bCs/>
          <w:sz w:val="20"/>
          <w:szCs w:val="20"/>
          <w:lang w:eastAsia="en-US"/>
        </w:rPr>
      </w:pPr>
      <w:r w:rsidRPr="007A7D8B">
        <w:rPr>
          <w:rFonts w:eastAsia="Calibri"/>
          <w:b/>
          <w:bCs/>
          <w:sz w:val="20"/>
          <w:szCs w:val="20"/>
          <w:lang w:eastAsia="en-US"/>
        </w:rPr>
        <w:t>Concepto y contexto de la caracterización poblacional</w:t>
      </w:r>
    </w:p>
    <w:p w14:paraId="5AA8D7E0" w14:textId="1A6E9940" w:rsidR="007A7D8B" w:rsidRDefault="007A7D8B" w:rsidP="007A7D8B">
      <w:pPr>
        <w:pStyle w:val="Normal0"/>
        <w:rPr>
          <w:rFonts w:eastAsia="Calibri"/>
          <w:bCs/>
          <w:sz w:val="20"/>
          <w:szCs w:val="20"/>
          <w:lang w:eastAsia="en-US"/>
        </w:rPr>
      </w:pPr>
    </w:p>
    <w:p w14:paraId="0154F2EF" w14:textId="77777777" w:rsidR="007A7D8B" w:rsidRPr="007A7D8B" w:rsidRDefault="007A7D8B" w:rsidP="007A7D8B">
      <w:pPr>
        <w:pStyle w:val="Normal0"/>
        <w:rPr>
          <w:rFonts w:eastAsia="Calibri"/>
          <w:bCs/>
          <w:sz w:val="20"/>
          <w:szCs w:val="20"/>
          <w:lang w:eastAsia="en-US"/>
        </w:rPr>
      </w:pPr>
      <w:r w:rsidRPr="007A7D8B">
        <w:rPr>
          <w:rFonts w:eastAsia="Calibri"/>
          <w:bCs/>
          <w:sz w:val="20"/>
          <w:szCs w:val="20"/>
          <w:lang w:eastAsia="en-US"/>
        </w:rPr>
        <w:t>La caracterización poblacional es un proceso de análisis que permite identificar las condiciones de salud, características y particularidades de una población determinada. Su desarrollo considera información demográfica, epidemiológica, territorial y social, con el propósito de reconocer riesgos, necesidades y grupos que requieren atención específica.</w:t>
      </w:r>
    </w:p>
    <w:p w14:paraId="32F86443" w14:textId="77777777" w:rsidR="007A7D8B" w:rsidRPr="007A7D8B" w:rsidRDefault="007A7D8B" w:rsidP="007A7D8B">
      <w:pPr>
        <w:pStyle w:val="Normal0"/>
        <w:rPr>
          <w:rFonts w:eastAsia="Calibri"/>
          <w:bCs/>
          <w:sz w:val="20"/>
          <w:szCs w:val="20"/>
          <w:lang w:eastAsia="en-US"/>
        </w:rPr>
      </w:pPr>
    </w:p>
    <w:p w14:paraId="7E2B22F9" w14:textId="77777777" w:rsidR="007A7D8B" w:rsidRPr="007A7D8B" w:rsidRDefault="007A7D8B" w:rsidP="007A7D8B">
      <w:pPr>
        <w:pStyle w:val="Normal0"/>
        <w:rPr>
          <w:rFonts w:eastAsia="Calibri"/>
          <w:bCs/>
          <w:sz w:val="20"/>
          <w:szCs w:val="20"/>
          <w:lang w:eastAsia="en-US"/>
        </w:rPr>
      </w:pPr>
      <w:r w:rsidRPr="007A7D8B">
        <w:rPr>
          <w:rFonts w:eastAsia="Calibri"/>
          <w:bCs/>
          <w:sz w:val="20"/>
          <w:szCs w:val="20"/>
          <w:lang w:eastAsia="en-US"/>
        </w:rPr>
        <w:t>En el contexto de la nota técnica, la caracterización de la población constituye un insumo para establecer las necesidades de servicios y tecnologías en salud y determinar las poblaciones a las que estos pueden estar dirigidos. Para ello, se requiere analizar información proveniente de diferentes fuentes y considerar las condiciones particulares del territorio y de la población objeto.</w:t>
      </w:r>
    </w:p>
    <w:p w14:paraId="57E99E7B" w14:textId="77777777" w:rsidR="007A7D8B" w:rsidRPr="007A7D8B" w:rsidRDefault="007A7D8B" w:rsidP="007A7D8B">
      <w:pPr>
        <w:pStyle w:val="Normal0"/>
        <w:rPr>
          <w:rFonts w:eastAsia="Calibri"/>
          <w:bCs/>
          <w:sz w:val="20"/>
          <w:szCs w:val="20"/>
          <w:lang w:eastAsia="en-US"/>
        </w:rPr>
      </w:pPr>
    </w:p>
    <w:p w14:paraId="3871CC32" w14:textId="77777777" w:rsidR="007A7D8B" w:rsidRPr="007A7D8B" w:rsidRDefault="007A7D8B" w:rsidP="007A7D8B">
      <w:pPr>
        <w:pStyle w:val="Normal0"/>
        <w:rPr>
          <w:rFonts w:eastAsia="Calibri"/>
          <w:bCs/>
          <w:sz w:val="20"/>
          <w:szCs w:val="20"/>
          <w:lang w:eastAsia="en-US"/>
        </w:rPr>
      </w:pPr>
      <w:r w:rsidRPr="007A7D8B">
        <w:rPr>
          <w:rFonts w:eastAsia="Calibri"/>
          <w:bCs/>
          <w:sz w:val="20"/>
          <w:szCs w:val="20"/>
          <w:lang w:eastAsia="en-US"/>
        </w:rPr>
        <w:t xml:space="preserve">La </w:t>
      </w:r>
      <w:r w:rsidRPr="007A7D8B">
        <w:rPr>
          <w:rFonts w:eastAsia="Calibri"/>
          <w:b/>
          <w:bCs/>
          <w:sz w:val="20"/>
          <w:szCs w:val="20"/>
          <w:lang w:eastAsia="en-US"/>
        </w:rPr>
        <w:t>Resolución 100 de 2024</w:t>
      </w:r>
      <w:r w:rsidRPr="007A7D8B">
        <w:rPr>
          <w:rFonts w:eastAsia="Calibri"/>
          <w:bCs/>
          <w:sz w:val="20"/>
          <w:szCs w:val="20"/>
          <w:lang w:eastAsia="en-US"/>
        </w:rPr>
        <w:t xml:space="preserve"> reorganizó el proceso de planeación integral para la salud y estableció orientaciones para el análisis de las condiciones de salud de la población a cargo de las entidades responsables, con desagregación territorial. En este contexto, el análisis poblacional se articula con el </w:t>
      </w:r>
      <w:r w:rsidRPr="007A7D8B">
        <w:rPr>
          <w:rFonts w:eastAsia="Calibri"/>
          <w:b/>
          <w:bCs/>
          <w:sz w:val="20"/>
          <w:szCs w:val="20"/>
          <w:lang w:eastAsia="en-US"/>
        </w:rPr>
        <w:t>Análisis de Situación de Salud (ASIS)</w:t>
      </w:r>
      <w:r w:rsidRPr="007A7D8B">
        <w:rPr>
          <w:rFonts w:eastAsia="Calibri"/>
          <w:bCs/>
          <w:sz w:val="20"/>
          <w:szCs w:val="20"/>
          <w:lang w:eastAsia="en-US"/>
        </w:rPr>
        <w:t xml:space="preserve"> y constituye un insumo para la planeación de las intervenciones en salud.</w:t>
      </w:r>
    </w:p>
    <w:p w14:paraId="00B36925" w14:textId="77777777" w:rsidR="007A7D8B" w:rsidRPr="007A7D8B" w:rsidRDefault="007A7D8B" w:rsidP="007A7D8B">
      <w:pPr>
        <w:pStyle w:val="Normal0"/>
        <w:rPr>
          <w:rFonts w:eastAsia="Calibri"/>
          <w:bCs/>
          <w:sz w:val="20"/>
          <w:szCs w:val="20"/>
          <w:lang w:eastAsia="en-US"/>
        </w:rPr>
      </w:pPr>
    </w:p>
    <w:p w14:paraId="1FF9DCCE" w14:textId="7DD54EC9" w:rsidR="007A7D8B" w:rsidRDefault="007A7D8B" w:rsidP="007A7D8B">
      <w:pPr>
        <w:pStyle w:val="Normal0"/>
        <w:rPr>
          <w:rFonts w:eastAsia="Calibri"/>
          <w:bCs/>
          <w:sz w:val="20"/>
          <w:szCs w:val="20"/>
          <w:lang w:eastAsia="en-US"/>
        </w:rPr>
      </w:pPr>
      <w:r w:rsidRPr="007A7D8B">
        <w:rPr>
          <w:rFonts w:eastAsia="Calibri"/>
          <w:bCs/>
          <w:sz w:val="20"/>
          <w:szCs w:val="20"/>
          <w:lang w:eastAsia="en-US"/>
        </w:rPr>
        <w:t>Por tanto, la caracterización poblacional no debe entenderse como un dato único o estático. Su análisis debe responder al propósito del acuerdo de voluntades y a las características de la población que requiere los servicios o tecnologías en salud.</w:t>
      </w:r>
    </w:p>
    <w:p w14:paraId="2C3D662E" w14:textId="77777777" w:rsidR="007A7D8B" w:rsidRPr="000D04CD" w:rsidRDefault="007A7D8B" w:rsidP="007A7D8B">
      <w:pPr>
        <w:pStyle w:val="Normal0"/>
        <w:rPr>
          <w:rFonts w:eastAsia="Calibri"/>
          <w:bCs/>
          <w:sz w:val="20"/>
          <w:szCs w:val="20"/>
          <w:lang w:eastAsia="en-US"/>
        </w:rPr>
      </w:pPr>
    </w:p>
    <w:p w14:paraId="1679C411" w14:textId="3664BCAE" w:rsidR="00AD590A" w:rsidRPr="00FF2675" w:rsidRDefault="00630318" w:rsidP="009723E7">
      <w:pPr>
        <w:pStyle w:val="Normal0"/>
        <w:numPr>
          <w:ilvl w:val="1"/>
          <w:numId w:val="27"/>
        </w:numPr>
        <w:rPr>
          <w:rFonts w:eastAsia="Calibri"/>
          <w:b/>
          <w:bCs/>
          <w:sz w:val="20"/>
          <w:szCs w:val="20"/>
          <w:lang w:eastAsia="en-US"/>
        </w:rPr>
      </w:pPr>
      <w:r w:rsidRPr="00FF2675">
        <w:rPr>
          <w:rFonts w:eastAsia="Calibri"/>
          <w:b/>
          <w:bCs/>
          <w:sz w:val="20"/>
          <w:szCs w:val="20"/>
          <w:lang w:eastAsia="en-US"/>
        </w:rPr>
        <w:t>Regímenes de afiliación</w:t>
      </w:r>
    </w:p>
    <w:p w14:paraId="51A7360D" w14:textId="16D17E92" w:rsidR="00FF2675" w:rsidRDefault="00FF2675" w:rsidP="00FF2675">
      <w:pPr>
        <w:pStyle w:val="Normal0"/>
        <w:rPr>
          <w:rFonts w:eastAsia="Calibri"/>
          <w:bCs/>
          <w:sz w:val="20"/>
          <w:szCs w:val="20"/>
          <w:lang w:eastAsia="en-US"/>
        </w:rPr>
      </w:pPr>
    </w:p>
    <w:p w14:paraId="0DC1EF9A" w14:textId="77777777" w:rsidR="00FF2675" w:rsidRPr="00FF2675" w:rsidRDefault="00FF2675" w:rsidP="00FF2675">
      <w:pPr>
        <w:pStyle w:val="Normal0"/>
        <w:rPr>
          <w:rFonts w:eastAsia="Calibri"/>
          <w:bCs/>
          <w:sz w:val="20"/>
          <w:szCs w:val="20"/>
          <w:lang w:eastAsia="en-US"/>
        </w:rPr>
      </w:pPr>
      <w:r w:rsidRPr="00FF2675">
        <w:rPr>
          <w:rFonts w:eastAsia="Calibri"/>
          <w:bCs/>
          <w:sz w:val="20"/>
          <w:szCs w:val="20"/>
          <w:lang w:eastAsia="en-US"/>
        </w:rPr>
        <w:t>La población objeto de un acuerdo de voluntades puede estar conformada por personas pertenecientes a diferentes regímenes de afiliación del Sistema General de Seguridad Social en Salud (SGSSS). Identificar esta condición permite delimitar las características de la población que será considerada en el análisis y relacionarla con sus necesidades de atención en salud.</w:t>
      </w:r>
    </w:p>
    <w:p w14:paraId="6411A5F5" w14:textId="77777777" w:rsidR="00FF2675" w:rsidRPr="00FF2675" w:rsidRDefault="00FF2675" w:rsidP="00FF2675">
      <w:pPr>
        <w:pStyle w:val="Normal0"/>
        <w:rPr>
          <w:rFonts w:eastAsia="Calibri"/>
          <w:bCs/>
          <w:sz w:val="20"/>
          <w:szCs w:val="20"/>
          <w:lang w:eastAsia="en-US"/>
        </w:rPr>
      </w:pPr>
    </w:p>
    <w:p w14:paraId="7DF16573" w14:textId="0E5A1117" w:rsidR="00FF2675" w:rsidRDefault="00FF2675" w:rsidP="00FF2675">
      <w:pPr>
        <w:pStyle w:val="Normal0"/>
        <w:rPr>
          <w:rFonts w:eastAsia="Calibri"/>
          <w:bCs/>
          <w:sz w:val="20"/>
          <w:szCs w:val="20"/>
          <w:lang w:eastAsia="en-US"/>
        </w:rPr>
      </w:pPr>
      <w:r w:rsidRPr="00FF2675">
        <w:rPr>
          <w:rFonts w:eastAsia="Calibri"/>
          <w:bCs/>
          <w:sz w:val="20"/>
          <w:szCs w:val="20"/>
          <w:lang w:eastAsia="en-US"/>
        </w:rPr>
        <w:t>En el contexto colombiano, el documento plantea principalmente los siguientes regímenes:</w:t>
      </w:r>
    </w:p>
    <w:p w14:paraId="304E5EBF" w14:textId="77777777" w:rsidR="00694CDD" w:rsidRDefault="00694CDD" w:rsidP="00FF2675">
      <w:pPr>
        <w:pStyle w:val="Normal0"/>
        <w:rPr>
          <w:rFonts w:eastAsia="Calibri"/>
          <w:bCs/>
          <w:sz w:val="20"/>
          <w:szCs w:val="20"/>
          <w:lang w:eastAsia="en-US"/>
        </w:rPr>
      </w:pPr>
    </w:p>
    <w:p w14:paraId="5E15DEEF" w14:textId="2C40EDFF" w:rsidR="00FF2675" w:rsidRDefault="00FF2675" w:rsidP="00FF2675">
      <w:pPr>
        <w:pStyle w:val="Normal0"/>
        <w:rPr>
          <w:rFonts w:eastAsia="Calibri"/>
          <w:bCs/>
          <w:sz w:val="20"/>
          <w:szCs w:val="20"/>
          <w:lang w:eastAsia="en-US"/>
        </w:rPr>
      </w:pPr>
      <w:r w:rsidRPr="00FF2675">
        <w:rPr>
          <w:rFonts w:eastAsia="Calibri"/>
          <w:b/>
          <w:bCs/>
          <w:sz w:val="20"/>
          <w:szCs w:val="20"/>
          <w:lang w:eastAsia="en-US"/>
        </w:rPr>
        <w:t>Tabla 1.</w:t>
      </w:r>
      <w:r w:rsidRPr="00FF2675">
        <w:rPr>
          <w:rFonts w:eastAsia="Calibri"/>
          <w:bCs/>
          <w:sz w:val="20"/>
          <w:szCs w:val="20"/>
          <w:lang w:eastAsia="en-US"/>
        </w:rPr>
        <w:t xml:space="preserve"> Regímenes de afiliación y su relación con</w:t>
      </w:r>
      <w:r>
        <w:rPr>
          <w:rFonts w:eastAsia="Calibri"/>
          <w:bCs/>
          <w:sz w:val="20"/>
          <w:szCs w:val="20"/>
          <w:lang w:eastAsia="en-US"/>
        </w:rPr>
        <w:t xml:space="preserve"> la caracterización poblacional</w:t>
      </w:r>
    </w:p>
    <w:tbl>
      <w:tblPr>
        <w:tblStyle w:val="Tablaconcuadrcula"/>
        <w:tblW w:w="0" w:type="auto"/>
        <w:tblInd w:w="0" w:type="dxa"/>
        <w:tblLook w:val="04A0" w:firstRow="1" w:lastRow="0" w:firstColumn="1" w:lastColumn="0" w:noHBand="0" w:noVBand="1"/>
      </w:tblPr>
      <w:tblGrid>
        <w:gridCol w:w="2689"/>
        <w:gridCol w:w="3827"/>
        <w:gridCol w:w="3446"/>
      </w:tblGrid>
      <w:tr w:rsidR="00FF2675" w:rsidRPr="00FF2675" w14:paraId="27C17FCC" w14:textId="77777777" w:rsidTr="00FF2675">
        <w:tc>
          <w:tcPr>
            <w:tcW w:w="2689" w:type="dxa"/>
          </w:tcPr>
          <w:p w14:paraId="251AAB71" w14:textId="1492DE70" w:rsidR="00FF2675" w:rsidRPr="00FF2675" w:rsidRDefault="00FF2675" w:rsidP="00FF2675">
            <w:pPr>
              <w:pStyle w:val="Normal0"/>
              <w:rPr>
                <w:rFonts w:eastAsia="Calibri"/>
                <w:b/>
                <w:bCs/>
                <w:sz w:val="20"/>
                <w:szCs w:val="20"/>
                <w:lang w:eastAsia="en-US"/>
              </w:rPr>
            </w:pPr>
            <w:r w:rsidRPr="00FF2675">
              <w:rPr>
                <w:b/>
                <w:sz w:val="20"/>
                <w:szCs w:val="20"/>
              </w:rPr>
              <w:t>Régimen</w:t>
            </w:r>
          </w:p>
        </w:tc>
        <w:tc>
          <w:tcPr>
            <w:tcW w:w="3827" w:type="dxa"/>
          </w:tcPr>
          <w:p w14:paraId="0B2FC7C0" w14:textId="616C217D" w:rsidR="00FF2675" w:rsidRPr="00FF2675" w:rsidRDefault="00FF2675" w:rsidP="00FF2675">
            <w:pPr>
              <w:pStyle w:val="Normal0"/>
              <w:rPr>
                <w:rFonts w:eastAsia="Calibri"/>
                <w:b/>
                <w:bCs/>
                <w:sz w:val="20"/>
                <w:szCs w:val="20"/>
                <w:lang w:eastAsia="en-US"/>
              </w:rPr>
            </w:pPr>
            <w:r w:rsidRPr="00FF2675">
              <w:rPr>
                <w:b/>
                <w:sz w:val="20"/>
                <w:szCs w:val="20"/>
              </w:rPr>
              <w:t>Características generales</w:t>
            </w:r>
          </w:p>
        </w:tc>
        <w:tc>
          <w:tcPr>
            <w:tcW w:w="3446" w:type="dxa"/>
          </w:tcPr>
          <w:p w14:paraId="430EBEFB" w14:textId="0C4D9819" w:rsidR="00FF2675" w:rsidRPr="00FF2675" w:rsidRDefault="00FF2675" w:rsidP="00FF2675">
            <w:pPr>
              <w:pStyle w:val="Normal0"/>
              <w:rPr>
                <w:rFonts w:eastAsia="Calibri"/>
                <w:b/>
                <w:bCs/>
                <w:sz w:val="20"/>
                <w:szCs w:val="20"/>
                <w:lang w:eastAsia="en-US"/>
              </w:rPr>
            </w:pPr>
            <w:r w:rsidRPr="00FF2675">
              <w:rPr>
                <w:b/>
                <w:sz w:val="20"/>
                <w:szCs w:val="20"/>
              </w:rPr>
              <w:t>Relación con la caracterización de la población</w:t>
            </w:r>
          </w:p>
        </w:tc>
      </w:tr>
      <w:tr w:rsidR="00FF2675" w:rsidRPr="00FF2675" w14:paraId="1797EB40" w14:textId="77777777" w:rsidTr="00FF2675">
        <w:tc>
          <w:tcPr>
            <w:tcW w:w="2689" w:type="dxa"/>
          </w:tcPr>
          <w:p w14:paraId="45507C11" w14:textId="17D0A8D6" w:rsidR="00FF2675" w:rsidRPr="00FF2675" w:rsidRDefault="00FF2675" w:rsidP="00FF2675">
            <w:pPr>
              <w:pStyle w:val="Normal0"/>
              <w:rPr>
                <w:rFonts w:eastAsia="Calibri"/>
                <w:bCs/>
                <w:sz w:val="20"/>
                <w:szCs w:val="20"/>
                <w:lang w:eastAsia="en-US"/>
              </w:rPr>
            </w:pPr>
            <w:r w:rsidRPr="00FF2675">
              <w:rPr>
                <w:sz w:val="20"/>
                <w:szCs w:val="20"/>
              </w:rPr>
              <w:t>Contributivo</w:t>
            </w:r>
          </w:p>
        </w:tc>
        <w:tc>
          <w:tcPr>
            <w:tcW w:w="3827" w:type="dxa"/>
          </w:tcPr>
          <w:p w14:paraId="3BB4728A" w14:textId="3AE9E499" w:rsidR="00FF2675" w:rsidRPr="00FF2675" w:rsidRDefault="00FF2675" w:rsidP="00FF2675">
            <w:pPr>
              <w:pStyle w:val="Normal0"/>
              <w:rPr>
                <w:rFonts w:eastAsia="Calibri"/>
                <w:bCs/>
                <w:sz w:val="20"/>
                <w:szCs w:val="20"/>
                <w:lang w:eastAsia="en-US"/>
              </w:rPr>
            </w:pPr>
            <w:r w:rsidRPr="00FF2675">
              <w:rPr>
                <w:sz w:val="20"/>
                <w:szCs w:val="20"/>
              </w:rPr>
              <w:t>Comprende a las personas con capacidad de pago que realizan aportes al sistema, de acuerdo con su condición de afiliación.</w:t>
            </w:r>
          </w:p>
        </w:tc>
        <w:tc>
          <w:tcPr>
            <w:tcW w:w="3446" w:type="dxa"/>
          </w:tcPr>
          <w:p w14:paraId="149AF439" w14:textId="39F386AB" w:rsidR="00FF2675" w:rsidRPr="00FF2675" w:rsidRDefault="00FF2675" w:rsidP="00FF2675">
            <w:pPr>
              <w:pStyle w:val="Normal0"/>
              <w:rPr>
                <w:rFonts w:eastAsia="Calibri"/>
                <w:bCs/>
                <w:sz w:val="20"/>
                <w:szCs w:val="20"/>
                <w:lang w:eastAsia="en-US"/>
              </w:rPr>
            </w:pPr>
            <w:r w:rsidRPr="00FF2675">
              <w:rPr>
                <w:sz w:val="20"/>
                <w:szCs w:val="20"/>
              </w:rPr>
              <w:t>Permite identificar una población con características de afiliación y condiciones socioeconómicas que pueden considerarse en el análisis.</w:t>
            </w:r>
          </w:p>
        </w:tc>
      </w:tr>
      <w:tr w:rsidR="00FF2675" w:rsidRPr="00FF2675" w14:paraId="66BAABB7" w14:textId="77777777" w:rsidTr="00FF2675">
        <w:tc>
          <w:tcPr>
            <w:tcW w:w="2689" w:type="dxa"/>
          </w:tcPr>
          <w:p w14:paraId="3A28C719" w14:textId="4E8213BB" w:rsidR="00FF2675" w:rsidRPr="00FF2675" w:rsidRDefault="00FF2675" w:rsidP="00FF2675">
            <w:pPr>
              <w:pStyle w:val="Normal0"/>
              <w:rPr>
                <w:rFonts w:eastAsia="Calibri"/>
                <w:bCs/>
                <w:sz w:val="20"/>
                <w:szCs w:val="20"/>
                <w:lang w:eastAsia="en-US"/>
              </w:rPr>
            </w:pPr>
            <w:r w:rsidRPr="00FF2675">
              <w:rPr>
                <w:sz w:val="20"/>
                <w:szCs w:val="20"/>
              </w:rPr>
              <w:t>Subsidiado</w:t>
            </w:r>
          </w:p>
        </w:tc>
        <w:tc>
          <w:tcPr>
            <w:tcW w:w="3827" w:type="dxa"/>
          </w:tcPr>
          <w:p w14:paraId="496AE38C" w14:textId="6F3BBCF4" w:rsidR="00FF2675" w:rsidRPr="00FF2675" w:rsidRDefault="00FF2675" w:rsidP="00FF2675">
            <w:pPr>
              <w:pStyle w:val="Normal0"/>
              <w:rPr>
                <w:rFonts w:eastAsia="Calibri"/>
                <w:bCs/>
                <w:sz w:val="20"/>
                <w:szCs w:val="20"/>
                <w:lang w:eastAsia="en-US"/>
              </w:rPr>
            </w:pPr>
            <w:r w:rsidRPr="00FF2675">
              <w:rPr>
                <w:sz w:val="20"/>
                <w:szCs w:val="20"/>
              </w:rPr>
              <w:t>Está dirigido a la población que, de acuerdo con sus condiciones socioeconómicas, requiere el acceso a los servicios de salud mediante el mecanismo de subsidio.</w:t>
            </w:r>
          </w:p>
        </w:tc>
        <w:tc>
          <w:tcPr>
            <w:tcW w:w="3446" w:type="dxa"/>
          </w:tcPr>
          <w:p w14:paraId="24A8470E" w14:textId="61CCDC8B" w:rsidR="00FF2675" w:rsidRPr="00FF2675" w:rsidRDefault="00FF2675" w:rsidP="00FF2675">
            <w:pPr>
              <w:pStyle w:val="Normal0"/>
              <w:rPr>
                <w:rFonts w:eastAsia="Calibri"/>
                <w:bCs/>
                <w:sz w:val="20"/>
                <w:szCs w:val="20"/>
                <w:lang w:eastAsia="en-US"/>
              </w:rPr>
            </w:pPr>
            <w:r w:rsidRPr="00FF2675">
              <w:rPr>
                <w:sz w:val="20"/>
                <w:szCs w:val="20"/>
              </w:rPr>
              <w:t>Facilita la identificación de poblaciones con características sociales y económicas particulares y sus posibles necesidades de atención.</w:t>
            </w:r>
          </w:p>
        </w:tc>
      </w:tr>
      <w:tr w:rsidR="00FF2675" w:rsidRPr="00FF2675" w14:paraId="42A74985" w14:textId="77777777" w:rsidTr="00FF2675">
        <w:tc>
          <w:tcPr>
            <w:tcW w:w="2689" w:type="dxa"/>
          </w:tcPr>
          <w:p w14:paraId="225A7E33" w14:textId="0B359CBD" w:rsidR="00FF2675" w:rsidRPr="00FF2675" w:rsidRDefault="00FF2675" w:rsidP="00FF2675">
            <w:pPr>
              <w:pStyle w:val="Normal0"/>
              <w:rPr>
                <w:rFonts w:eastAsia="Calibri"/>
                <w:bCs/>
                <w:sz w:val="20"/>
                <w:szCs w:val="20"/>
                <w:lang w:eastAsia="en-US"/>
              </w:rPr>
            </w:pPr>
            <w:r w:rsidRPr="00FF2675">
              <w:rPr>
                <w:sz w:val="20"/>
                <w:szCs w:val="20"/>
              </w:rPr>
              <w:t>Regímenes especiales y de excepción</w:t>
            </w:r>
          </w:p>
        </w:tc>
        <w:tc>
          <w:tcPr>
            <w:tcW w:w="3827" w:type="dxa"/>
          </w:tcPr>
          <w:p w14:paraId="04A82187" w14:textId="22CAA2C7" w:rsidR="00FF2675" w:rsidRPr="00FF2675" w:rsidRDefault="00FF2675" w:rsidP="00FF2675">
            <w:pPr>
              <w:pStyle w:val="Normal0"/>
              <w:rPr>
                <w:rFonts w:eastAsia="Calibri"/>
                <w:bCs/>
                <w:sz w:val="20"/>
                <w:szCs w:val="20"/>
                <w:lang w:eastAsia="en-US"/>
              </w:rPr>
            </w:pPr>
            <w:r w:rsidRPr="00FF2675">
              <w:rPr>
                <w:sz w:val="20"/>
                <w:szCs w:val="20"/>
              </w:rPr>
              <w:t>Corresponden a grupos de población que cuentan con condiciones particulares de afiliación y cobertura dentro del sistema.</w:t>
            </w:r>
          </w:p>
        </w:tc>
        <w:tc>
          <w:tcPr>
            <w:tcW w:w="3446" w:type="dxa"/>
          </w:tcPr>
          <w:p w14:paraId="411AF7F5" w14:textId="52D374E6" w:rsidR="00FF2675" w:rsidRPr="00FF2675" w:rsidRDefault="00FF2675" w:rsidP="00FF2675">
            <w:pPr>
              <w:pStyle w:val="Normal0"/>
              <w:rPr>
                <w:rFonts w:eastAsia="Calibri"/>
                <w:bCs/>
                <w:sz w:val="20"/>
                <w:szCs w:val="20"/>
                <w:lang w:eastAsia="en-US"/>
              </w:rPr>
            </w:pPr>
            <w:r w:rsidRPr="00FF2675">
              <w:rPr>
                <w:sz w:val="20"/>
                <w:szCs w:val="20"/>
              </w:rPr>
              <w:t>Su identificación permite diferenciar las poblaciones que presentan condiciones específicas de afiliación frente a los demás regímenes.</w:t>
            </w:r>
          </w:p>
        </w:tc>
      </w:tr>
    </w:tbl>
    <w:p w14:paraId="51F71266" w14:textId="439AC442" w:rsidR="00FF2675" w:rsidRDefault="00FF2675" w:rsidP="00FF2675">
      <w:pPr>
        <w:pStyle w:val="Normal0"/>
        <w:rPr>
          <w:rFonts w:eastAsia="Calibri"/>
          <w:bCs/>
          <w:sz w:val="20"/>
          <w:szCs w:val="20"/>
          <w:lang w:eastAsia="en-US"/>
        </w:rPr>
      </w:pPr>
    </w:p>
    <w:p w14:paraId="2367EA7A" w14:textId="3F0A3936" w:rsidR="00FF2675" w:rsidRDefault="00FF2675" w:rsidP="00FF2675">
      <w:pPr>
        <w:pStyle w:val="Normal0"/>
        <w:rPr>
          <w:rFonts w:eastAsia="Calibri"/>
          <w:bCs/>
          <w:sz w:val="20"/>
          <w:szCs w:val="20"/>
          <w:lang w:eastAsia="en-US"/>
        </w:rPr>
      </w:pPr>
      <w:r w:rsidRPr="00FF2675">
        <w:rPr>
          <w:rFonts w:eastAsia="Calibri"/>
          <w:bCs/>
          <w:sz w:val="20"/>
          <w:szCs w:val="20"/>
          <w:lang w:eastAsia="en-US"/>
        </w:rPr>
        <w:t>La identificación del régimen de afiliación constituye, por tanto, un elemento de la caracterización poblacional. Su análisis, junto con variables demográficas, epidemiológicas, sociales, económicas y territoriales, contribuye a establecer las características de la población objeto y a sustentar el análisis de sus necesidades de servicios y tecnologías en salud.</w:t>
      </w:r>
    </w:p>
    <w:p w14:paraId="68CC768D" w14:textId="77777777" w:rsidR="00FF2675" w:rsidRDefault="00FF2675" w:rsidP="00FF2675">
      <w:pPr>
        <w:pStyle w:val="Normal0"/>
        <w:rPr>
          <w:rFonts w:eastAsia="Calibri"/>
          <w:bCs/>
          <w:sz w:val="20"/>
          <w:szCs w:val="20"/>
          <w:lang w:eastAsia="en-US"/>
        </w:rPr>
      </w:pPr>
    </w:p>
    <w:p w14:paraId="653329F4" w14:textId="6D1FE377" w:rsidR="00630318" w:rsidRPr="00FF2675" w:rsidRDefault="00630318" w:rsidP="009723E7">
      <w:pPr>
        <w:pStyle w:val="Normal0"/>
        <w:numPr>
          <w:ilvl w:val="1"/>
          <w:numId w:val="27"/>
        </w:numPr>
        <w:rPr>
          <w:rFonts w:eastAsia="Calibri"/>
          <w:b/>
          <w:bCs/>
          <w:sz w:val="20"/>
          <w:szCs w:val="20"/>
          <w:lang w:eastAsia="en-US"/>
        </w:rPr>
      </w:pPr>
      <w:r w:rsidRPr="00FF2675">
        <w:rPr>
          <w:rFonts w:eastAsia="Calibri"/>
          <w:b/>
          <w:bCs/>
          <w:sz w:val="20"/>
          <w:szCs w:val="20"/>
          <w:lang w:eastAsia="en-US"/>
        </w:rPr>
        <w:t>Determinantes de la población</w:t>
      </w:r>
    </w:p>
    <w:p w14:paraId="61FE0110" w14:textId="687BA86A" w:rsidR="00AE0E3C" w:rsidRDefault="00AE0E3C" w:rsidP="00AE0E3C">
      <w:pPr>
        <w:pStyle w:val="Normal0"/>
        <w:rPr>
          <w:rFonts w:eastAsia="Calibri"/>
          <w:bCs/>
          <w:sz w:val="20"/>
          <w:szCs w:val="20"/>
          <w:lang w:eastAsia="en-US"/>
        </w:rPr>
      </w:pPr>
    </w:p>
    <w:p w14:paraId="425C3E3A" w14:textId="77777777" w:rsidR="00FF2675" w:rsidRPr="00FF2675" w:rsidRDefault="00FF2675" w:rsidP="00FF2675">
      <w:pPr>
        <w:pStyle w:val="Normal0"/>
        <w:rPr>
          <w:rFonts w:eastAsia="Calibri"/>
          <w:bCs/>
          <w:sz w:val="20"/>
          <w:szCs w:val="20"/>
          <w:lang w:eastAsia="en-US"/>
        </w:rPr>
      </w:pPr>
      <w:r w:rsidRPr="00FF2675">
        <w:rPr>
          <w:rFonts w:eastAsia="Calibri"/>
          <w:bCs/>
          <w:sz w:val="20"/>
          <w:szCs w:val="20"/>
          <w:lang w:eastAsia="en-US"/>
        </w:rPr>
        <w:t>La pertenencia a un régimen de afiliación constituye solamente uno de los elementos que pueden considerarse en la caracterización de la población. Las condiciones en las que las personas nacen, crecen, viven, trabajan y envejecen también pueden influir en sus condiciones de salud y en las posibilidades de acceder y utilizar los servicios de salud. Estas condiciones son reconocidas como determinantes sociales de la salud.</w:t>
      </w:r>
    </w:p>
    <w:p w14:paraId="67CC18C6" w14:textId="77777777" w:rsidR="00FF2675" w:rsidRPr="00FF2675" w:rsidRDefault="00FF2675" w:rsidP="00FF2675">
      <w:pPr>
        <w:pStyle w:val="Normal0"/>
        <w:rPr>
          <w:rFonts w:eastAsia="Calibri"/>
          <w:bCs/>
          <w:sz w:val="20"/>
          <w:szCs w:val="20"/>
          <w:lang w:eastAsia="en-US"/>
        </w:rPr>
      </w:pPr>
    </w:p>
    <w:p w14:paraId="1BDF5EBD" w14:textId="77777777" w:rsidR="00FF2675" w:rsidRPr="00FF2675" w:rsidRDefault="00FF2675" w:rsidP="00FF2675">
      <w:pPr>
        <w:pStyle w:val="Normal0"/>
        <w:rPr>
          <w:rFonts w:eastAsia="Calibri"/>
          <w:bCs/>
          <w:sz w:val="20"/>
          <w:szCs w:val="20"/>
          <w:lang w:eastAsia="en-US"/>
        </w:rPr>
      </w:pPr>
      <w:r w:rsidRPr="00FF2675">
        <w:rPr>
          <w:rFonts w:eastAsia="Calibri"/>
          <w:bCs/>
          <w:sz w:val="20"/>
          <w:szCs w:val="20"/>
          <w:lang w:eastAsia="en-US"/>
        </w:rPr>
        <w:t>En Colombia, el Ministerio de Salud y Protección Social aborda los determinantes sociales de la salud mediante factores estructurales e intermedios. Entre ellos se encuentran aspectos relacionados con el contexto socioeconómico y político, los ingresos, la educación, la ocupación, las condiciones de vivienda y trabajo, el entorno, las redes de apoyo, los factores biológicos y conductuales y el acceso a los servicios de salud.</w:t>
      </w:r>
    </w:p>
    <w:p w14:paraId="63424755" w14:textId="77777777" w:rsidR="00FF2675" w:rsidRPr="00FF2675" w:rsidRDefault="00FF2675" w:rsidP="00FF2675">
      <w:pPr>
        <w:pStyle w:val="Normal0"/>
        <w:rPr>
          <w:rFonts w:eastAsia="Calibri"/>
          <w:bCs/>
          <w:sz w:val="20"/>
          <w:szCs w:val="20"/>
          <w:lang w:eastAsia="en-US"/>
        </w:rPr>
      </w:pPr>
    </w:p>
    <w:p w14:paraId="00B77D72" w14:textId="46601200" w:rsidR="00FF2675" w:rsidRPr="00FF2675" w:rsidRDefault="00FF2675" w:rsidP="00FF2675">
      <w:pPr>
        <w:pStyle w:val="Normal0"/>
        <w:rPr>
          <w:rFonts w:eastAsia="Calibri"/>
          <w:bCs/>
          <w:sz w:val="20"/>
          <w:szCs w:val="20"/>
          <w:lang w:eastAsia="en-US"/>
        </w:rPr>
      </w:pPr>
      <w:r w:rsidRPr="00FF2675">
        <w:rPr>
          <w:rFonts w:eastAsia="Calibri"/>
          <w:bCs/>
          <w:sz w:val="20"/>
          <w:szCs w:val="20"/>
          <w:lang w:eastAsia="en-US"/>
        </w:rPr>
        <w:t>Estos factores pueden generar diferencias en las necesidades de atención y en la utilización de servicios y tecnologías. Por ejemplo, una población ubicada en una zona rural dispersa puede presentar condiciones de acceso diferentes a las de una población urbana, debido a factores como la distancia, la disponibilidad de talento humano, la oferta de servicios, las condiciones de transporte o la posibilidad de utilizar modal</w:t>
      </w:r>
      <w:r w:rsidR="00694CDD">
        <w:rPr>
          <w:rFonts w:eastAsia="Calibri"/>
          <w:bCs/>
          <w:sz w:val="20"/>
          <w:szCs w:val="20"/>
          <w:lang w:eastAsia="en-US"/>
        </w:rPr>
        <w:t>idades de atención a distancia.</w:t>
      </w:r>
    </w:p>
    <w:p w14:paraId="1A5431AB" w14:textId="77777777" w:rsidR="00FF2675" w:rsidRPr="00FF2675" w:rsidRDefault="00FF2675" w:rsidP="00FF2675">
      <w:pPr>
        <w:pStyle w:val="Normal0"/>
        <w:rPr>
          <w:rFonts w:eastAsia="Calibri"/>
          <w:bCs/>
          <w:sz w:val="20"/>
          <w:szCs w:val="20"/>
          <w:lang w:eastAsia="en-US"/>
        </w:rPr>
      </w:pPr>
    </w:p>
    <w:p w14:paraId="2B0229E4" w14:textId="77777777" w:rsidR="00FF2675" w:rsidRPr="00FF2675" w:rsidRDefault="00FF2675" w:rsidP="00FF2675">
      <w:pPr>
        <w:pStyle w:val="Normal0"/>
        <w:rPr>
          <w:rFonts w:eastAsia="Calibri"/>
          <w:bCs/>
          <w:sz w:val="20"/>
          <w:szCs w:val="20"/>
          <w:lang w:eastAsia="en-US"/>
        </w:rPr>
      </w:pPr>
      <w:r w:rsidRPr="00FF2675">
        <w:rPr>
          <w:rFonts w:eastAsia="Calibri"/>
          <w:bCs/>
          <w:sz w:val="20"/>
          <w:szCs w:val="20"/>
          <w:lang w:eastAsia="en-US"/>
        </w:rPr>
        <w:t>Por esta razón, la caracterización utilizada como insumo para la nota técnica debe considerar las particularidades de la población y del territorio. El Análisis de Situación de Salud (ASIS) incorpora información relacionada con las condiciones sociales, económicas y de calidad de vida desde el enfoque de determinantes sociales, además de elementos asociados con la situación de salud, las necesidades y las respuestas existentes en el territorio.</w:t>
      </w:r>
    </w:p>
    <w:p w14:paraId="0D0DDAB9" w14:textId="77777777" w:rsidR="00FF2675" w:rsidRPr="00FF2675" w:rsidRDefault="00FF2675" w:rsidP="00FF2675">
      <w:pPr>
        <w:pStyle w:val="Normal0"/>
        <w:rPr>
          <w:rFonts w:eastAsia="Calibri"/>
          <w:bCs/>
          <w:sz w:val="20"/>
          <w:szCs w:val="20"/>
          <w:lang w:eastAsia="en-US"/>
        </w:rPr>
      </w:pPr>
    </w:p>
    <w:p w14:paraId="678CA097" w14:textId="77777777" w:rsidR="00FF2675" w:rsidRPr="00FF2675" w:rsidRDefault="00FF2675" w:rsidP="00FF2675">
      <w:pPr>
        <w:pStyle w:val="Normal0"/>
        <w:rPr>
          <w:rFonts w:eastAsia="Calibri"/>
          <w:bCs/>
          <w:sz w:val="20"/>
          <w:szCs w:val="20"/>
          <w:lang w:eastAsia="en-US"/>
        </w:rPr>
      </w:pPr>
      <w:r w:rsidRPr="00FF2675">
        <w:rPr>
          <w:rFonts w:eastAsia="Calibri"/>
          <w:bCs/>
          <w:sz w:val="20"/>
          <w:szCs w:val="20"/>
          <w:lang w:eastAsia="en-US"/>
        </w:rPr>
        <w:t xml:space="preserve">En este sentido, el análisis de los determinantes complementa la información sobre afiliación, características demográficas y condiciones epidemiológicas, y permite contar con una perspectiva más amplia de los factores </w:t>
      </w:r>
      <w:r w:rsidRPr="00FF2675">
        <w:rPr>
          <w:rFonts w:eastAsia="Calibri"/>
          <w:bCs/>
          <w:sz w:val="20"/>
          <w:szCs w:val="20"/>
          <w:lang w:eastAsia="en-US"/>
        </w:rPr>
        <w:lastRenderedPageBreak/>
        <w:t>que pueden relacionarse con las necesidades de atención y la utilización de los servicios y tecnologías en salud.</w:t>
      </w:r>
    </w:p>
    <w:p w14:paraId="18F9BDF3" w14:textId="77777777" w:rsidR="00FF2675" w:rsidRPr="00FF2675" w:rsidRDefault="00FF2675" w:rsidP="00FF2675">
      <w:pPr>
        <w:pStyle w:val="Normal0"/>
        <w:rPr>
          <w:rFonts w:eastAsia="Calibri"/>
          <w:bCs/>
          <w:sz w:val="20"/>
          <w:szCs w:val="20"/>
          <w:lang w:eastAsia="en-US"/>
        </w:rPr>
      </w:pPr>
    </w:p>
    <w:p w14:paraId="6AF8D009" w14:textId="3FF8E373" w:rsidR="00AE0E3C" w:rsidRDefault="00FF2675" w:rsidP="00FF2675">
      <w:pPr>
        <w:pStyle w:val="Normal0"/>
        <w:rPr>
          <w:rFonts w:eastAsia="Calibri"/>
          <w:bCs/>
          <w:sz w:val="20"/>
          <w:szCs w:val="20"/>
          <w:lang w:eastAsia="en-US"/>
        </w:rPr>
      </w:pPr>
      <w:r w:rsidRPr="00FF2675">
        <w:rPr>
          <w:rFonts w:eastAsia="Calibri"/>
          <w:b/>
          <w:bCs/>
          <w:sz w:val="20"/>
          <w:szCs w:val="20"/>
          <w:lang w:eastAsia="en-US"/>
        </w:rPr>
        <w:t>Tabla 2.</w:t>
      </w:r>
      <w:r w:rsidRPr="00FF2675">
        <w:rPr>
          <w:rFonts w:eastAsia="Calibri"/>
          <w:bCs/>
          <w:sz w:val="20"/>
          <w:szCs w:val="20"/>
          <w:lang w:eastAsia="en-US"/>
        </w:rPr>
        <w:t xml:space="preserve"> Aspectos de la población que pueden considerarse en la caracterización</w:t>
      </w:r>
    </w:p>
    <w:tbl>
      <w:tblPr>
        <w:tblStyle w:val="Tablaconcuadrcula"/>
        <w:tblW w:w="0" w:type="auto"/>
        <w:tblInd w:w="0" w:type="dxa"/>
        <w:tblLook w:val="04A0" w:firstRow="1" w:lastRow="0" w:firstColumn="1" w:lastColumn="0" w:noHBand="0" w:noVBand="1"/>
      </w:tblPr>
      <w:tblGrid>
        <w:gridCol w:w="3114"/>
        <w:gridCol w:w="3260"/>
        <w:gridCol w:w="3588"/>
      </w:tblGrid>
      <w:tr w:rsidR="00FF2675" w:rsidRPr="00FF2675" w14:paraId="180A19EE" w14:textId="77777777" w:rsidTr="00FF2675">
        <w:tc>
          <w:tcPr>
            <w:tcW w:w="3114" w:type="dxa"/>
          </w:tcPr>
          <w:p w14:paraId="6EEB567F" w14:textId="5169012B" w:rsidR="00FF2675" w:rsidRPr="00FF2675" w:rsidRDefault="00FF2675" w:rsidP="00FF2675">
            <w:pPr>
              <w:pStyle w:val="Normal0"/>
              <w:rPr>
                <w:rFonts w:eastAsia="Calibri"/>
                <w:b/>
                <w:bCs/>
                <w:sz w:val="20"/>
                <w:szCs w:val="20"/>
                <w:lang w:eastAsia="en-US"/>
              </w:rPr>
            </w:pPr>
            <w:r w:rsidRPr="00FF2675">
              <w:rPr>
                <w:b/>
                <w:sz w:val="20"/>
                <w:szCs w:val="20"/>
              </w:rPr>
              <w:t>Aspecto</w:t>
            </w:r>
          </w:p>
        </w:tc>
        <w:tc>
          <w:tcPr>
            <w:tcW w:w="3260" w:type="dxa"/>
          </w:tcPr>
          <w:p w14:paraId="556240F1" w14:textId="445EB2A7" w:rsidR="00FF2675" w:rsidRPr="00FF2675" w:rsidRDefault="00FF2675" w:rsidP="00FF2675">
            <w:pPr>
              <w:pStyle w:val="Normal0"/>
              <w:rPr>
                <w:rFonts w:eastAsia="Calibri"/>
                <w:b/>
                <w:bCs/>
                <w:sz w:val="20"/>
                <w:szCs w:val="20"/>
                <w:lang w:eastAsia="en-US"/>
              </w:rPr>
            </w:pPr>
            <w:r w:rsidRPr="00FF2675">
              <w:rPr>
                <w:b/>
                <w:sz w:val="20"/>
                <w:szCs w:val="20"/>
              </w:rPr>
              <w:t>Elementos que pueden analizarse</w:t>
            </w:r>
          </w:p>
        </w:tc>
        <w:tc>
          <w:tcPr>
            <w:tcW w:w="3588" w:type="dxa"/>
          </w:tcPr>
          <w:p w14:paraId="356252AA" w14:textId="7FF876F2" w:rsidR="00FF2675" w:rsidRPr="00FF2675" w:rsidRDefault="00FF2675" w:rsidP="00FF2675">
            <w:pPr>
              <w:pStyle w:val="Normal0"/>
              <w:rPr>
                <w:rFonts w:eastAsia="Calibri"/>
                <w:b/>
                <w:bCs/>
                <w:sz w:val="20"/>
                <w:szCs w:val="20"/>
                <w:lang w:eastAsia="en-US"/>
              </w:rPr>
            </w:pPr>
            <w:r w:rsidRPr="00FF2675">
              <w:rPr>
                <w:b/>
                <w:sz w:val="20"/>
                <w:szCs w:val="20"/>
              </w:rPr>
              <w:t>Relación con la nota técnica</w:t>
            </w:r>
          </w:p>
        </w:tc>
      </w:tr>
      <w:tr w:rsidR="00FF2675" w:rsidRPr="00FF2675" w14:paraId="6555CE86" w14:textId="77777777" w:rsidTr="00FF2675">
        <w:tc>
          <w:tcPr>
            <w:tcW w:w="3114" w:type="dxa"/>
          </w:tcPr>
          <w:p w14:paraId="56916E97" w14:textId="79F830A6" w:rsidR="00FF2675" w:rsidRPr="00FF2675" w:rsidRDefault="00FF2675" w:rsidP="00FF2675">
            <w:pPr>
              <w:pStyle w:val="Normal0"/>
              <w:rPr>
                <w:rFonts w:eastAsia="Calibri"/>
                <w:bCs/>
                <w:sz w:val="20"/>
                <w:szCs w:val="20"/>
                <w:lang w:eastAsia="en-US"/>
              </w:rPr>
            </w:pPr>
            <w:r w:rsidRPr="00FF2675">
              <w:rPr>
                <w:sz w:val="20"/>
                <w:szCs w:val="20"/>
              </w:rPr>
              <w:t>Afiliación</w:t>
            </w:r>
          </w:p>
        </w:tc>
        <w:tc>
          <w:tcPr>
            <w:tcW w:w="3260" w:type="dxa"/>
          </w:tcPr>
          <w:p w14:paraId="244C7A5D" w14:textId="416F518E" w:rsidR="00FF2675" w:rsidRPr="00FF2675" w:rsidRDefault="00FF2675" w:rsidP="00FF2675">
            <w:pPr>
              <w:pStyle w:val="Normal0"/>
              <w:rPr>
                <w:rFonts w:eastAsia="Calibri"/>
                <w:bCs/>
                <w:sz w:val="20"/>
                <w:szCs w:val="20"/>
                <w:lang w:eastAsia="en-US"/>
              </w:rPr>
            </w:pPr>
            <w:r w:rsidRPr="00FF2675">
              <w:rPr>
                <w:sz w:val="20"/>
                <w:szCs w:val="20"/>
              </w:rPr>
              <w:t>Régimen contributivo, subsidiado y esquemas especiales o de excepción.</w:t>
            </w:r>
          </w:p>
        </w:tc>
        <w:tc>
          <w:tcPr>
            <w:tcW w:w="3588" w:type="dxa"/>
          </w:tcPr>
          <w:p w14:paraId="24FEFDA8" w14:textId="66989B29" w:rsidR="00FF2675" w:rsidRPr="00FF2675" w:rsidRDefault="00FF2675" w:rsidP="00FF2675">
            <w:pPr>
              <w:pStyle w:val="Normal0"/>
              <w:rPr>
                <w:rFonts w:eastAsia="Calibri"/>
                <w:bCs/>
                <w:sz w:val="20"/>
                <w:szCs w:val="20"/>
                <w:lang w:eastAsia="en-US"/>
              </w:rPr>
            </w:pPr>
            <w:r w:rsidRPr="00FF2675">
              <w:rPr>
                <w:sz w:val="20"/>
                <w:szCs w:val="20"/>
              </w:rPr>
              <w:t>Permite delimitar y caracterizar la población objeto del análisis.</w:t>
            </w:r>
          </w:p>
        </w:tc>
      </w:tr>
      <w:tr w:rsidR="00FF2675" w:rsidRPr="00FF2675" w14:paraId="3CC97DA1" w14:textId="77777777" w:rsidTr="00FF2675">
        <w:tc>
          <w:tcPr>
            <w:tcW w:w="3114" w:type="dxa"/>
          </w:tcPr>
          <w:p w14:paraId="27E0E93C" w14:textId="0785674A" w:rsidR="00FF2675" w:rsidRPr="00FF2675" w:rsidRDefault="00FF2675" w:rsidP="00FF2675">
            <w:pPr>
              <w:pStyle w:val="Normal0"/>
              <w:rPr>
                <w:rFonts w:eastAsia="Calibri"/>
                <w:bCs/>
                <w:sz w:val="20"/>
                <w:szCs w:val="20"/>
                <w:lang w:eastAsia="en-US"/>
              </w:rPr>
            </w:pPr>
            <w:r w:rsidRPr="00FF2675">
              <w:rPr>
                <w:sz w:val="20"/>
                <w:szCs w:val="20"/>
              </w:rPr>
              <w:t>Demografía</w:t>
            </w:r>
          </w:p>
        </w:tc>
        <w:tc>
          <w:tcPr>
            <w:tcW w:w="3260" w:type="dxa"/>
          </w:tcPr>
          <w:p w14:paraId="7A60749E" w14:textId="23D82ADF" w:rsidR="00FF2675" w:rsidRPr="00FF2675" w:rsidRDefault="00FF2675" w:rsidP="00FF2675">
            <w:pPr>
              <w:pStyle w:val="Normal0"/>
              <w:rPr>
                <w:rFonts w:eastAsia="Calibri"/>
                <w:bCs/>
                <w:sz w:val="20"/>
                <w:szCs w:val="20"/>
                <w:lang w:eastAsia="en-US"/>
              </w:rPr>
            </w:pPr>
            <w:r w:rsidRPr="00FF2675">
              <w:rPr>
                <w:sz w:val="20"/>
                <w:szCs w:val="20"/>
              </w:rPr>
              <w:t>Edad, sexo, distribución territorial y composición de la población.</w:t>
            </w:r>
          </w:p>
        </w:tc>
        <w:tc>
          <w:tcPr>
            <w:tcW w:w="3588" w:type="dxa"/>
          </w:tcPr>
          <w:p w14:paraId="6166B8B9" w14:textId="36F16E33" w:rsidR="00FF2675" w:rsidRPr="00FF2675" w:rsidRDefault="00FF2675" w:rsidP="00FF2675">
            <w:pPr>
              <w:pStyle w:val="Normal0"/>
              <w:rPr>
                <w:rFonts w:eastAsia="Calibri"/>
                <w:bCs/>
                <w:sz w:val="20"/>
                <w:szCs w:val="20"/>
                <w:lang w:eastAsia="en-US"/>
              </w:rPr>
            </w:pPr>
            <w:r w:rsidRPr="00FF2675">
              <w:rPr>
                <w:sz w:val="20"/>
                <w:szCs w:val="20"/>
              </w:rPr>
              <w:t>Contribuye a identificar diferencias en las necesidades y en la utilización de servicios.</w:t>
            </w:r>
          </w:p>
        </w:tc>
      </w:tr>
      <w:tr w:rsidR="00FF2675" w:rsidRPr="00FF2675" w14:paraId="3E272B02" w14:textId="77777777" w:rsidTr="00FF2675">
        <w:tc>
          <w:tcPr>
            <w:tcW w:w="3114" w:type="dxa"/>
          </w:tcPr>
          <w:p w14:paraId="18E55CF6" w14:textId="671D756A" w:rsidR="00FF2675" w:rsidRPr="00FF2675" w:rsidRDefault="00FF2675" w:rsidP="00FF2675">
            <w:pPr>
              <w:pStyle w:val="Normal0"/>
              <w:rPr>
                <w:rFonts w:eastAsia="Calibri"/>
                <w:bCs/>
                <w:sz w:val="20"/>
                <w:szCs w:val="20"/>
                <w:lang w:eastAsia="en-US"/>
              </w:rPr>
            </w:pPr>
            <w:r w:rsidRPr="00FF2675">
              <w:rPr>
                <w:sz w:val="20"/>
                <w:szCs w:val="20"/>
              </w:rPr>
              <w:t>Condiciones epidemiológicas</w:t>
            </w:r>
          </w:p>
        </w:tc>
        <w:tc>
          <w:tcPr>
            <w:tcW w:w="3260" w:type="dxa"/>
          </w:tcPr>
          <w:p w14:paraId="322C0A2E" w14:textId="702E4A02" w:rsidR="00FF2675" w:rsidRPr="00FF2675" w:rsidRDefault="00FF2675" w:rsidP="00FF2675">
            <w:pPr>
              <w:pStyle w:val="Normal0"/>
              <w:rPr>
                <w:rFonts w:eastAsia="Calibri"/>
                <w:bCs/>
                <w:sz w:val="20"/>
                <w:szCs w:val="20"/>
                <w:lang w:eastAsia="en-US"/>
              </w:rPr>
            </w:pPr>
            <w:r w:rsidRPr="00FF2675">
              <w:rPr>
                <w:sz w:val="20"/>
                <w:szCs w:val="20"/>
              </w:rPr>
              <w:t>Morbilidad, mortalidad, incidencia y prevalencia.</w:t>
            </w:r>
          </w:p>
        </w:tc>
        <w:tc>
          <w:tcPr>
            <w:tcW w:w="3588" w:type="dxa"/>
          </w:tcPr>
          <w:p w14:paraId="5E8F651E" w14:textId="3ADA1B26" w:rsidR="00FF2675" w:rsidRPr="00FF2675" w:rsidRDefault="00FF2675" w:rsidP="00FF2675">
            <w:pPr>
              <w:pStyle w:val="Normal0"/>
              <w:rPr>
                <w:rFonts w:eastAsia="Calibri"/>
                <w:bCs/>
                <w:sz w:val="20"/>
                <w:szCs w:val="20"/>
                <w:lang w:eastAsia="en-US"/>
              </w:rPr>
            </w:pPr>
            <w:r w:rsidRPr="00FF2675">
              <w:rPr>
                <w:sz w:val="20"/>
                <w:szCs w:val="20"/>
              </w:rPr>
              <w:t>Permiten identificar riesgos y necesidades de atención.</w:t>
            </w:r>
          </w:p>
        </w:tc>
      </w:tr>
      <w:tr w:rsidR="00FF2675" w:rsidRPr="00FF2675" w14:paraId="6036B4B4" w14:textId="77777777" w:rsidTr="00FF2675">
        <w:tc>
          <w:tcPr>
            <w:tcW w:w="3114" w:type="dxa"/>
          </w:tcPr>
          <w:p w14:paraId="7FA9AFE8" w14:textId="5C505459" w:rsidR="00FF2675" w:rsidRPr="00FF2675" w:rsidRDefault="00FF2675" w:rsidP="00FF2675">
            <w:pPr>
              <w:pStyle w:val="Normal0"/>
              <w:rPr>
                <w:rFonts w:eastAsia="Calibri"/>
                <w:bCs/>
                <w:sz w:val="20"/>
                <w:szCs w:val="20"/>
                <w:lang w:eastAsia="en-US"/>
              </w:rPr>
            </w:pPr>
            <w:r w:rsidRPr="00FF2675">
              <w:rPr>
                <w:sz w:val="20"/>
                <w:szCs w:val="20"/>
              </w:rPr>
              <w:t>Condiciones socioeconómicas</w:t>
            </w:r>
          </w:p>
        </w:tc>
        <w:tc>
          <w:tcPr>
            <w:tcW w:w="3260" w:type="dxa"/>
          </w:tcPr>
          <w:p w14:paraId="2BCE62B9" w14:textId="10C0C87B" w:rsidR="00FF2675" w:rsidRPr="00FF2675" w:rsidRDefault="00FF2675" w:rsidP="00FF2675">
            <w:pPr>
              <w:pStyle w:val="Normal0"/>
              <w:rPr>
                <w:rFonts w:eastAsia="Calibri"/>
                <w:bCs/>
                <w:sz w:val="20"/>
                <w:szCs w:val="20"/>
                <w:lang w:eastAsia="en-US"/>
              </w:rPr>
            </w:pPr>
            <w:r w:rsidRPr="00FF2675">
              <w:rPr>
                <w:sz w:val="20"/>
                <w:szCs w:val="20"/>
              </w:rPr>
              <w:t>Ingresos, educación, ocupación y condiciones de vida.</w:t>
            </w:r>
          </w:p>
        </w:tc>
        <w:tc>
          <w:tcPr>
            <w:tcW w:w="3588" w:type="dxa"/>
          </w:tcPr>
          <w:p w14:paraId="27AE2E66" w14:textId="4ED7CA9C" w:rsidR="00FF2675" w:rsidRPr="00FF2675" w:rsidRDefault="00FF2675" w:rsidP="00FF2675">
            <w:pPr>
              <w:pStyle w:val="Normal0"/>
              <w:rPr>
                <w:rFonts w:eastAsia="Calibri"/>
                <w:bCs/>
                <w:sz w:val="20"/>
                <w:szCs w:val="20"/>
                <w:lang w:eastAsia="en-US"/>
              </w:rPr>
            </w:pPr>
            <w:r w:rsidRPr="00FF2675">
              <w:rPr>
                <w:sz w:val="20"/>
                <w:szCs w:val="20"/>
              </w:rPr>
              <w:t>Pueden influir en el estado de salud y en las posibilidades de acceso.</w:t>
            </w:r>
          </w:p>
        </w:tc>
      </w:tr>
      <w:tr w:rsidR="00FF2675" w:rsidRPr="00FF2675" w14:paraId="44092D6E" w14:textId="77777777" w:rsidTr="00FF2675">
        <w:tc>
          <w:tcPr>
            <w:tcW w:w="3114" w:type="dxa"/>
          </w:tcPr>
          <w:p w14:paraId="2DBF3954" w14:textId="478497CA" w:rsidR="00FF2675" w:rsidRPr="00FF2675" w:rsidRDefault="00FF2675" w:rsidP="00FF2675">
            <w:pPr>
              <w:pStyle w:val="Normal0"/>
              <w:rPr>
                <w:rFonts w:eastAsia="Calibri"/>
                <w:bCs/>
                <w:sz w:val="20"/>
                <w:szCs w:val="20"/>
                <w:lang w:eastAsia="en-US"/>
              </w:rPr>
            </w:pPr>
            <w:r w:rsidRPr="00FF2675">
              <w:rPr>
                <w:sz w:val="20"/>
                <w:szCs w:val="20"/>
              </w:rPr>
              <w:t>Características territoriales</w:t>
            </w:r>
          </w:p>
        </w:tc>
        <w:tc>
          <w:tcPr>
            <w:tcW w:w="3260" w:type="dxa"/>
          </w:tcPr>
          <w:p w14:paraId="1C07207D" w14:textId="44C00769" w:rsidR="00FF2675" w:rsidRPr="00FF2675" w:rsidRDefault="00FF2675" w:rsidP="00FF2675">
            <w:pPr>
              <w:pStyle w:val="Normal0"/>
              <w:rPr>
                <w:rFonts w:eastAsia="Calibri"/>
                <w:bCs/>
                <w:sz w:val="20"/>
                <w:szCs w:val="20"/>
                <w:lang w:eastAsia="en-US"/>
              </w:rPr>
            </w:pPr>
            <w:r w:rsidRPr="00FF2675">
              <w:rPr>
                <w:sz w:val="20"/>
                <w:szCs w:val="20"/>
              </w:rPr>
              <w:t>Zona urbana o rural, dispersión geográfica y disponibilidad de servicios.</w:t>
            </w:r>
          </w:p>
        </w:tc>
        <w:tc>
          <w:tcPr>
            <w:tcW w:w="3588" w:type="dxa"/>
          </w:tcPr>
          <w:p w14:paraId="58760E23" w14:textId="15E9179F" w:rsidR="00FF2675" w:rsidRPr="00FF2675" w:rsidRDefault="00FF2675" w:rsidP="00FF2675">
            <w:pPr>
              <w:pStyle w:val="Normal0"/>
              <w:rPr>
                <w:rFonts w:eastAsia="Calibri"/>
                <w:bCs/>
                <w:sz w:val="20"/>
                <w:szCs w:val="20"/>
                <w:lang w:eastAsia="en-US"/>
              </w:rPr>
            </w:pPr>
            <w:r w:rsidRPr="00FF2675">
              <w:rPr>
                <w:sz w:val="20"/>
                <w:szCs w:val="20"/>
              </w:rPr>
              <w:t>Pueden modificar la forma, oportunidad y disponibilidad de los servicios.</w:t>
            </w:r>
          </w:p>
        </w:tc>
      </w:tr>
      <w:tr w:rsidR="00FF2675" w:rsidRPr="00FF2675" w14:paraId="62E1D417" w14:textId="77777777" w:rsidTr="00FF2675">
        <w:tc>
          <w:tcPr>
            <w:tcW w:w="3114" w:type="dxa"/>
          </w:tcPr>
          <w:p w14:paraId="2F20B133" w14:textId="2A3BE563" w:rsidR="00FF2675" w:rsidRPr="00FF2675" w:rsidRDefault="00FF2675" w:rsidP="00FF2675">
            <w:pPr>
              <w:pStyle w:val="Normal0"/>
              <w:rPr>
                <w:rFonts w:eastAsia="Calibri"/>
                <w:bCs/>
                <w:sz w:val="20"/>
                <w:szCs w:val="20"/>
                <w:lang w:eastAsia="en-US"/>
              </w:rPr>
            </w:pPr>
            <w:r w:rsidRPr="00FF2675">
              <w:rPr>
                <w:sz w:val="20"/>
                <w:szCs w:val="20"/>
              </w:rPr>
              <w:t>Acceso a servicios</w:t>
            </w:r>
          </w:p>
        </w:tc>
        <w:tc>
          <w:tcPr>
            <w:tcW w:w="3260" w:type="dxa"/>
          </w:tcPr>
          <w:p w14:paraId="143ABC02" w14:textId="56DBCA66" w:rsidR="00FF2675" w:rsidRPr="00FF2675" w:rsidRDefault="00FF2675" w:rsidP="00FF2675">
            <w:pPr>
              <w:pStyle w:val="Normal0"/>
              <w:rPr>
                <w:rFonts w:eastAsia="Calibri"/>
                <w:bCs/>
                <w:sz w:val="20"/>
                <w:szCs w:val="20"/>
                <w:lang w:eastAsia="en-US"/>
              </w:rPr>
            </w:pPr>
            <w:r w:rsidRPr="00FF2675">
              <w:rPr>
                <w:sz w:val="20"/>
                <w:szCs w:val="20"/>
              </w:rPr>
              <w:t>Disponibilidad de talento humano, infraestructura, transporte y modalidades de atención.</w:t>
            </w:r>
          </w:p>
        </w:tc>
        <w:tc>
          <w:tcPr>
            <w:tcW w:w="3588" w:type="dxa"/>
          </w:tcPr>
          <w:p w14:paraId="2C4B6155" w14:textId="48F0972D" w:rsidR="00FF2675" w:rsidRPr="00FF2675" w:rsidRDefault="00FF2675" w:rsidP="00FF2675">
            <w:pPr>
              <w:pStyle w:val="Normal0"/>
              <w:rPr>
                <w:rFonts w:eastAsia="Calibri"/>
                <w:bCs/>
                <w:sz w:val="20"/>
                <w:szCs w:val="20"/>
                <w:lang w:eastAsia="en-US"/>
              </w:rPr>
            </w:pPr>
            <w:r w:rsidRPr="00FF2675">
              <w:rPr>
                <w:sz w:val="20"/>
                <w:szCs w:val="20"/>
              </w:rPr>
              <w:t>Permite considerar condiciones que pueden afectar la utilización de servicios y tecnologías.</w:t>
            </w:r>
          </w:p>
        </w:tc>
      </w:tr>
    </w:tbl>
    <w:p w14:paraId="6A6BF2D8" w14:textId="14D37E63" w:rsidR="00AE0E3C" w:rsidRDefault="00AE0E3C" w:rsidP="00AE0E3C">
      <w:pPr>
        <w:pStyle w:val="Normal0"/>
        <w:rPr>
          <w:rFonts w:eastAsia="Calibri"/>
          <w:bCs/>
          <w:sz w:val="20"/>
          <w:szCs w:val="20"/>
          <w:lang w:eastAsia="en-US"/>
        </w:rPr>
      </w:pPr>
    </w:p>
    <w:p w14:paraId="10A45178" w14:textId="4D4DC7B0" w:rsidR="00FF2675" w:rsidRDefault="00FF2675" w:rsidP="00AE0E3C">
      <w:pPr>
        <w:pStyle w:val="Normal0"/>
        <w:rPr>
          <w:rFonts w:eastAsia="Calibri"/>
          <w:bCs/>
          <w:sz w:val="20"/>
          <w:szCs w:val="20"/>
          <w:lang w:eastAsia="en-US"/>
        </w:rPr>
      </w:pPr>
      <w:r w:rsidRPr="00FF2675">
        <w:rPr>
          <w:rFonts w:eastAsia="Calibri"/>
          <w:bCs/>
          <w:sz w:val="20"/>
          <w:szCs w:val="20"/>
          <w:lang w:eastAsia="en-US"/>
        </w:rPr>
        <w:t>En la construcción de la nota técnica, esta información debe relacionarse con las características específicas de la población objeto y con el propósito del acuerdo de voluntades, de manera que contribuya a sustentar las estimaciones y proyecciones requeridas para los servicios y tecnologías en salud.</w:t>
      </w:r>
    </w:p>
    <w:p w14:paraId="2DA86F97" w14:textId="3BF2865A" w:rsidR="00FF2675" w:rsidRPr="000D04CD" w:rsidRDefault="00FF2675" w:rsidP="00AE0E3C">
      <w:pPr>
        <w:pStyle w:val="Normal0"/>
        <w:rPr>
          <w:rFonts w:eastAsia="Calibri"/>
          <w:bCs/>
          <w:sz w:val="20"/>
          <w:szCs w:val="20"/>
          <w:lang w:eastAsia="en-US"/>
        </w:rPr>
      </w:pPr>
    </w:p>
    <w:p w14:paraId="58636D35" w14:textId="728567D2" w:rsidR="00AD590A" w:rsidRPr="00FF2675" w:rsidRDefault="00AD590A" w:rsidP="009723E7">
      <w:pPr>
        <w:pStyle w:val="Normal0"/>
        <w:numPr>
          <w:ilvl w:val="1"/>
          <w:numId w:val="27"/>
        </w:numPr>
        <w:rPr>
          <w:rFonts w:eastAsia="Calibri"/>
          <w:b/>
          <w:bCs/>
          <w:sz w:val="20"/>
          <w:szCs w:val="20"/>
          <w:lang w:eastAsia="en-US"/>
        </w:rPr>
      </w:pPr>
      <w:r w:rsidRPr="00FF2675">
        <w:rPr>
          <w:rFonts w:eastAsia="Calibri"/>
          <w:b/>
          <w:bCs/>
          <w:sz w:val="20"/>
          <w:szCs w:val="20"/>
          <w:lang w:eastAsia="en-US"/>
        </w:rPr>
        <w:t>Necesidades de la población objeto</w:t>
      </w:r>
    </w:p>
    <w:p w14:paraId="02ECDFC0" w14:textId="545070FC" w:rsidR="00FF2675" w:rsidRDefault="00FF2675" w:rsidP="00FF2675">
      <w:pPr>
        <w:pStyle w:val="Normal0"/>
        <w:rPr>
          <w:rFonts w:eastAsia="Calibri"/>
          <w:bCs/>
          <w:sz w:val="20"/>
          <w:szCs w:val="20"/>
          <w:lang w:eastAsia="en-US"/>
        </w:rPr>
      </w:pPr>
    </w:p>
    <w:p w14:paraId="1E835063" w14:textId="77777777" w:rsidR="00FF2675" w:rsidRPr="00FF2675" w:rsidRDefault="00FF2675" w:rsidP="00FF2675">
      <w:pPr>
        <w:pStyle w:val="Normal0"/>
        <w:rPr>
          <w:rFonts w:eastAsia="Calibri"/>
          <w:bCs/>
          <w:sz w:val="20"/>
          <w:szCs w:val="20"/>
          <w:lang w:eastAsia="en-US"/>
        </w:rPr>
      </w:pPr>
      <w:r w:rsidRPr="00FF2675">
        <w:rPr>
          <w:rFonts w:eastAsia="Calibri"/>
          <w:bCs/>
          <w:sz w:val="20"/>
          <w:szCs w:val="20"/>
          <w:lang w:eastAsia="en-US"/>
        </w:rPr>
        <w:t>Las necesidades de salud de una población se relacionan con las condiciones que requieren atención para mantener, recuperar o mejorar su estado de salud. Su identificación requiere analizar las características de la población, sus condiciones epidemiológicas, los riesgos presentes y las particularidades del territorio. Por esta razón, la necesidad de atención no debe establecerse únicamente a partir de los servicios que la población solicita o utiliza.</w:t>
      </w:r>
    </w:p>
    <w:p w14:paraId="2EAFACEC" w14:textId="77777777" w:rsidR="00FF2675" w:rsidRPr="00FF2675" w:rsidRDefault="00FF2675" w:rsidP="00FF2675">
      <w:pPr>
        <w:pStyle w:val="Normal0"/>
        <w:rPr>
          <w:rFonts w:eastAsia="Calibri"/>
          <w:bCs/>
          <w:sz w:val="20"/>
          <w:szCs w:val="20"/>
          <w:lang w:eastAsia="en-US"/>
        </w:rPr>
      </w:pPr>
    </w:p>
    <w:p w14:paraId="2489B41A" w14:textId="77777777" w:rsidR="00FF2675" w:rsidRPr="00FF2675" w:rsidRDefault="00FF2675" w:rsidP="00FF2675">
      <w:pPr>
        <w:pStyle w:val="Normal0"/>
        <w:rPr>
          <w:rFonts w:eastAsia="Calibri"/>
          <w:bCs/>
          <w:sz w:val="20"/>
          <w:szCs w:val="20"/>
          <w:lang w:eastAsia="en-US"/>
        </w:rPr>
      </w:pPr>
      <w:r w:rsidRPr="00FF2675">
        <w:rPr>
          <w:rFonts w:eastAsia="Calibri"/>
          <w:bCs/>
          <w:sz w:val="20"/>
          <w:szCs w:val="20"/>
          <w:lang w:eastAsia="en-US"/>
        </w:rPr>
        <w:t>En este contexto, es importante diferenciar los conceptos de necesidad, demanda y riesgo, debido a que cada uno aporta información diferente para el análisis de la población objeto:</w:t>
      </w:r>
    </w:p>
    <w:p w14:paraId="51CEFF2B" w14:textId="77777777" w:rsidR="00FF2675" w:rsidRPr="00FF2675" w:rsidRDefault="00FF2675" w:rsidP="00FF2675">
      <w:pPr>
        <w:pStyle w:val="Normal0"/>
        <w:rPr>
          <w:rFonts w:eastAsia="Calibri"/>
          <w:bCs/>
          <w:sz w:val="20"/>
          <w:szCs w:val="20"/>
          <w:lang w:eastAsia="en-US"/>
        </w:rPr>
      </w:pPr>
    </w:p>
    <w:p w14:paraId="2C6CFC71" w14:textId="411C1A70" w:rsidR="00FF2675" w:rsidRDefault="00FF2675" w:rsidP="00FF2675">
      <w:pPr>
        <w:pStyle w:val="Normal0"/>
        <w:rPr>
          <w:rFonts w:eastAsia="Calibri"/>
          <w:bCs/>
          <w:sz w:val="20"/>
          <w:szCs w:val="20"/>
          <w:lang w:eastAsia="en-US"/>
        </w:rPr>
      </w:pPr>
      <w:r>
        <w:rPr>
          <w:rFonts w:eastAsia="Calibri"/>
          <w:bCs/>
          <w:noProof/>
          <w:sz w:val="20"/>
          <w:szCs w:val="20"/>
          <w:lang w:val="en-US" w:eastAsia="en-US"/>
        </w:rPr>
        <w:lastRenderedPageBreak/>
        <w:drawing>
          <wp:inline distT="0" distB="0" distL="0" distR="0" wp14:anchorId="29DFF92B" wp14:editId="77EC0336">
            <wp:extent cx="6410325" cy="5095875"/>
            <wp:effectExtent l="0" t="0" r="28575" b="9525"/>
            <wp:docPr id="1" name="Diagrama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 r:lo="rId13" r:qs="rId14" r:cs="rId15"/>
              </a:graphicData>
            </a:graphic>
          </wp:inline>
        </w:drawing>
      </w:r>
    </w:p>
    <w:p w14:paraId="6E2F0371" w14:textId="77777777" w:rsidR="00FF2675" w:rsidRPr="00FF2675" w:rsidRDefault="00FF2675" w:rsidP="00FF2675">
      <w:pPr>
        <w:pStyle w:val="Normal0"/>
        <w:rPr>
          <w:rFonts w:eastAsia="Calibri"/>
          <w:bCs/>
          <w:sz w:val="20"/>
          <w:szCs w:val="20"/>
          <w:lang w:eastAsia="en-US"/>
        </w:rPr>
      </w:pPr>
    </w:p>
    <w:p w14:paraId="6C1D42AE" w14:textId="3D5287AE" w:rsidR="00FF2675" w:rsidRPr="00FF2675" w:rsidRDefault="00FF2675" w:rsidP="00FF2675">
      <w:pPr>
        <w:pStyle w:val="Normal0"/>
        <w:rPr>
          <w:rFonts w:eastAsia="Calibri"/>
          <w:bCs/>
          <w:sz w:val="20"/>
          <w:szCs w:val="20"/>
          <w:lang w:eastAsia="en-US"/>
        </w:rPr>
      </w:pPr>
      <w:r w:rsidRPr="00FF2675">
        <w:rPr>
          <w:rFonts w:eastAsia="Calibri"/>
          <w:bCs/>
          <w:sz w:val="20"/>
          <w:szCs w:val="20"/>
          <w:lang w:eastAsia="en-US"/>
        </w:rPr>
        <w:t>El análisis de las necesidades requiere utilizar información epidemiológica y poblacional que permita aproximarse a las condic</w:t>
      </w:r>
      <w:r w:rsidR="00694CDD">
        <w:rPr>
          <w:rFonts w:eastAsia="Calibri"/>
          <w:bCs/>
          <w:sz w:val="20"/>
          <w:szCs w:val="20"/>
          <w:lang w:eastAsia="en-US"/>
        </w:rPr>
        <w:t>iones de salud de la población.</w:t>
      </w:r>
    </w:p>
    <w:p w14:paraId="3993FFED" w14:textId="77777777" w:rsidR="00FF2675" w:rsidRPr="00FF2675" w:rsidRDefault="00FF2675" w:rsidP="00FF2675">
      <w:pPr>
        <w:pStyle w:val="Normal0"/>
        <w:rPr>
          <w:rFonts w:eastAsia="Calibri"/>
          <w:bCs/>
          <w:sz w:val="20"/>
          <w:szCs w:val="20"/>
          <w:lang w:eastAsia="en-US"/>
        </w:rPr>
      </w:pPr>
    </w:p>
    <w:p w14:paraId="7DCE0488" w14:textId="77777777" w:rsidR="00FF2675" w:rsidRPr="00FF2675" w:rsidRDefault="00FF2675" w:rsidP="00FF2675">
      <w:pPr>
        <w:pStyle w:val="Normal0"/>
        <w:rPr>
          <w:rFonts w:eastAsia="Calibri"/>
          <w:bCs/>
          <w:sz w:val="20"/>
          <w:szCs w:val="20"/>
          <w:lang w:eastAsia="en-US"/>
        </w:rPr>
      </w:pPr>
      <w:r w:rsidRPr="00FF2675">
        <w:rPr>
          <w:rFonts w:eastAsia="Calibri"/>
          <w:bCs/>
          <w:sz w:val="20"/>
          <w:szCs w:val="20"/>
          <w:lang w:eastAsia="en-US"/>
        </w:rPr>
        <w:t>Para la construcción de la nota técnica, el reconocimiento de estas necesidades permite establecer los servicios y tecnologías que deben considerarse en el acuerdo de voluntades. El análisis puede abarcar las diferentes intervenciones requeridas de acuerdo con las condiciones de la población, desde acciones de promoción y mantenimiento de la salud hasta aquellas relacionadas con el diagnóstico, tratamiento, rehabilitación y demás atenciones que correspondan al objeto del acuerdo.</w:t>
      </w:r>
    </w:p>
    <w:p w14:paraId="6390C2A6" w14:textId="77777777" w:rsidR="00FF2675" w:rsidRPr="00FF2675" w:rsidRDefault="00FF2675" w:rsidP="00FF2675">
      <w:pPr>
        <w:pStyle w:val="Normal0"/>
        <w:rPr>
          <w:rFonts w:eastAsia="Calibri"/>
          <w:bCs/>
          <w:sz w:val="20"/>
          <w:szCs w:val="20"/>
          <w:lang w:eastAsia="en-US"/>
        </w:rPr>
      </w:pPr>
    </w:p>
    <w:p w14:paraId="43885437" w14:textId="77777777" w:rsidR="00FF2675" w:rsidRPr="00FF2675" w:rsidRDefault="00FF2675" w:rsidP="00FF2675">
      <w:pPr>
        <w:pStyle w:val="Normal0"/>
        <w:rPr>
          <w:rFonts w:eastAsia="Calibri"/>
          <w:bCs/>
          <w:sz w:val="20"/>
          <w:szCs w:val="20"/>
          <w:lang w:eastAsia="en-US"/>
        </w:rPr>
      </w:pPr>
      <w:r w:rsidRPr="00FF2675">
        <w:rPr>
          <w:rFonts w:eastAsia="Calibri"/>
          <w:bCs/>
          <w:sz w:val="20"/>
          <w:szCs w:val="20"/>
          <w:lang w:eastAsia="en-US"/>
        </w:rPr>
        <w:t>Por ejemplo, una población con una determinada condición de salud puede requerir actividades de educación, seguimiento y control, además de los servicios destinados al tratamiento de la enfermedad. De esta manera, el análisis de necesidades permite considerar las intervenciones requeridas de manera integral y no limitar la proyección únicamente a las atenciones que ya han sido utilizadas.</w:t>
      </w:r>
    </w:p>
    <w:p w14:paraId="3D8D5D58" w14:textId="5897CDD9" w:rsidR="003A7AA3" w:rsidRDefault="003A7AA3" w:rsidP="00FF2675">
      <w:pPr>
        <w:pStyle w:val="Normal0"/>
        <w:rPr>
          <w:rFonts w:eastAsia="Calibri"/>
          <w:bCs/>
          <w:sz w:val="20"/>
          <w:szCs w:val="20"/>
          <w:lang w:eastAsia="en-US"/>
        </w:rPr>
      </w:pPr>
    </w:p>
    <w:p w14:paraId="678F6A7F" w14:textId="5FFF033A" w:rsidR="003A7AA3" w:rsidRDefault="003A7AA3" w:rsidP="003A7AA3">
      <w:pPr>
        <w:pStyle w:val="Normal0"/>
        <w:jc w:val="center"/>
        <w:rPr>
          <w:rFonts w:eastAsia="Calibri"/>
          <w:bCs/>
          <w:sz w:val="20"/>
          <w:szCs w:val="20"/>
          <w:lang w:eastAsia="en-US"/>
        </w:rPr>
      </w:pPr>
      <w:r w:rsidRPr="003A7AA3">
        <w:rPr>
          <w:rFonts w:eastAsia="Calibri"/>
          <w:bCs/>
          <w:noProof/>
          <w:sz w:val="20"/>
          <w:szCs w:val="20"/>
          <w:lang w:val="en-US" w:eastAsia="en-US"/>
        </w:rPr>
        <w:lastRenderedPageBreak/>
        <mc:AlternateContent>
          <mc:Choice Requires="wps">
            <w:drawing>
              <wp:inline distT="0" distB="0" distL="0" distR="0" wp14:anchorId="5E4F63C0" wp14:editId="49017950">
                <wp:extent cx="5724525" cy="1404620"/>
                <wp:effectExtent l="0" t="0" r="9525" b="8890"/>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24525" cy="1404620"/>
                        </a:xfrm>
                        <a:prstGeom prst="rect">
                          <a:avLst/>
                        </a:prstGeom>
                        <a:solidFill>
                          <a:schemeClr val="accent1">
                            <a:lumMod val="40000"/>
                            <a:lumOff val="60000"/>
                          </a:schemeClr>
                        </a:solidFill>
                        <a:ln w="9525">
                          <a:noFill/>
                          <a:miter lim="800000"/>
                          <a:headEnd/>
                          <a:tailEnd/>
                        </a:ln>
                      </wps:spPr>
                      <wps:txbx>
                        <w:txbxContent>
                          <w:p w14:paraId="174F4042" w14:textId="7403C33B" w:rsidR="00877F3E" w:rsidRPr="003A7AA3" w:rsidRDefault="00877F3E" w:rsidP="003A7AA3">
                            <w:pPr>
                              <w:pStyle w:val="Normal0"/>
                              <w:rPr>
                                <w:rFonts w:eastAsia="Calibri"/>
                                <w:bCs/>
                                <w:sz w:val="20"/>
                                <w:szCs w:val="20"/>
                                <w:lang w:eastAsia="en-US"/>
                              </w:rPr>
                            </w:pPr>
                            <w:r w:rsidRPr="00FF2675">
                              <w:rPr>
                                <w:rFonts w:eastAsia="Calibri"/>
                                <w:bCs/>
                                <w:sz w:val="20"/>
                                <w:szCs w:val="20"/>
                                <w:lang w:eastAsia="en-US"/>
                              </w:rPr>
                              <w:t>En la construcción de la nota técnica, las necesidades identificadas deben relacionarse con la población objeto, las condiciones epidemiológicas, los riesgos en salud y las características del territorio. Esta información constituye un insumo para sustentar la selección y proyección de los servicios y tecnologías que harán parte del acuerdo de voluntades.</w:t>
                            </w:r>
                          </w:p>
                        </w:txbxContent>
                      </wps:txbx>
                      <wps:bodyPr rot="0" vert="horz" wrap="square" lIns="91440" tIns="45720" rIns="91440" bIns="45720" anchor="t" anchorCtr="0">
                        <a:spAutoFit/>
                      </wps:bodyPr>
                    </wps:wsp>
                  </a:graphicData>
                </a:graphic>
              </wp:inline>
            </w:drawing>
          </mc:Choice>
          <mc:Fallback>
            <w:pict>
              <v:shapetype w14:anchorId="5E4F63C0" id="_x0000_t202" coordsize="21600,21600" o:spt="202" path="m,l,21600r21600,l21600,xe">
                <v:stroke joinstyle="miter"/>
                <v:path gradientshapeok="t" o:connecttype="rect"/>
              </v:shapetype>
              <v:shape id="Cuadro de texto 2" o:spid="_x0000_s1027" type="#_x0000_t202" style="width:450.75pt;height:110.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" fillcolor="#b8cce4 [1300]" stroked="f">
                <v:textbox style="mso-fit-shape-to-text:t">
                  <w:txbxContent>
                    <w:p w14:paraId="174F4042" w14:textId="7403C33B" w:rsidR="00877F3E" w:rsidRPr="003A7AA3" w:rsidRDefault="00877F3E" w:rsidP="003A7AA3">
                      <w:pPr>
                        <w:pStyle w:val="Normal0"/>
                        <w:rPr>
                          <w:rFonts w:eastAsia="Calibri"/>
                          <w:bCs/>
                          <w:sz w:val="20"/>
                          <w:szCs w:val="20"/>
                          <w:lang w:eastAsia="en-US"/>
                        </w:rPr>
                      </w:pPr>
                      <w:r w:rsidRPr="00FF2675">
                        <w:rPr>
                          <w:rFonts w:eastAsia="Calibri"/>
                          <w:bCs/>
                          <w:sz w:val="20"/>
                          <w:szCs w:val="20"/>
                          <w:lang w:eastAsia="en-US"/>
                        </w:rPr>
                        <w:t>En la construcción de la nota técnica, las necesidades identificadas deben relacionarse con la población objeto, las condiciones epidemiológicas, los riesgos en salud y las características del territorio. Esta información constituye un insumo para sustentar la selección y proyección de los servicios y tecnologías que harán parte del acuerdo de voluntades.</w:t>
                      </w:r>
                    </w:p>
                  </w:txbxContent>
                </v:textbox>
                <w10:anchorlock/>
              </v:shape>
            </w:pict>
          </mc:Fallback>
        </mc:AlternateContent>
      </w:r>
    </w:p>
    <w:p w14:paraId="0D56729E" w14:textId="77777777" w:rsidR="00FF2675" w:rsidRPr="000D04CD" w:rsidRDefault="00FF2675" w:rsidP="00FF2675">
      <w:pPr>
        <w:pStyle w:val="Normal0"/>
        <w:rPr>
          <w:rFonts w:eastAsia="Calibri"/>
          <w:bCs/>
          <w:sz w:val="20"/>
          <w:szCs w:val="20"/>
          <w:lang w:eastAsia="en-US"/>
        </w:rPr>
      </w:pPr>
    </w:p>
    <w:p w14:paraId="79616A75" w14:textId="2D8E15AF" w:rsidR="00AD590A" w:rsidRPr="00A1538F" w:rsidRDefault="00AD590A" w:rsidP="009723E7">
      <w:pPr>
        <w:pStyle w:val="Normal0"/>
        <w:numPr>
          <w:ilvl w:val="1"/>
          <w:numId w:val="27"/>
        </w:numPr>
        <w:rPr>
          <w:rFonts w:eastAsia="Calibri"/>
          <w:b/>
          <w:bCs/>
          <w:sz w:val="20"/>
          <w:szCs w:val="20"/>
          <w:lang w:eastAsia="en-US"/>
        </w:rPr>
      </w:pPr>
      <w:r w:rsidRPr="00A1538F">
        <w:rPr>
          <w:rFonts w:eastAsia="Calibri"/>
          <w:b/>
          <w:bCs/>
          <w:sz w:val="20"/>
          <w:szCs w:val="20"/>
          <w:lang w:eastAsia="en-US"/>
        </w:rPr>
        <w:t>Población objeto total y población susceptible</w:t>
      </w:r>
    </w:p>
    <w:p w14:paraId="3EE29BD6" w14:textId="1681429A" w:rsidR="00A1538F" w:rsidRDefault="00A1538F" w:rsidP="00A1538F">
      <w:pPr>
        <w:pStyle w:val="Normal0"/>
        <w:rPr>
          <w:rFonts w:eastAsia="Calibri"/>
          <w:bCs/>
          <w:sz w:val="20"/>
          <w:szCs w:val="20"/>
          <w:lang w:eastAsia="en-US"/>
        </w:rPr>
      </w:pPr>
    </w:p>
    <w:p w14:paraId="010EAE21" w14:textId="1888F85E" w:rsidR="00A1538F" w:rsidRPr="00A1538F" w:rsidRDefault="00A1538F" w:rsidP="00A1538F">
      <w:pPr>
        <w:pStyle w:val="Normal0"/>
        <w:rPr>
          <w:rFonts w:eastAsia="Calibri"/>
          <w:bCs/>
          <w:sz w:val="20"/>
          <w:szCs w:val="20"/>
          <w:lang w:eastAsia="en-US"/>
        </w:rPr>
      </w:pPr>
      <w:r w:rsidRPr="00A1538F">
        <w:rPr>
          <w:rFonts w:eastAsia="Calibri"/>
          <w:bCs/>
          <w:sz w:val="20"/>
          <w:szCs w:val="20"/>
          <w:lang w:eastAsia="en-US"/>
        </w:rPr>
        <w:t xml:space="preserve">Una vez identificadas las necesidades de la población y los servicios y tecnologías relacionados con estas, es necesario determinar cuál es la población que será considerada en el acuerdo de voluntades. Para ello, se diferencian la población objeto total y la población susceptible, conceptos que permiten establecer el alcance de los servicios y tecnologías que serán </w:t>
      </w:r>
      <w:r w:rsidR="00694CDD">
        <w:rPr>
          <w:rFonts w:eastAsia="Calibri"/>
          <w:bCs/>
          <w:sz w:val="20"/>
          <w:szCs w:val="20"/>
          <w:lang w:eastAsia="en-US"/>
        </w:rPr>
        <w:t>proyectados en la nota técnica.</w:t>
      </w:r>
    </w:p>
    <w:p w14:paraId="2B3AD7B8" w14:textId="77777777" w:rsidR="00A1538F" w:rsidRPr="00A1538F" w:rsidRDefault="00A1538F" w:rsidP="00A1538F">
      <w:pPr>
        <w:pStyle w:val="Normal0"/>
        <w:rPr>
          <w:rFonts w:eastAsia="Calibri"/>
          <w:bCs/>
          <w:sz w:val="20"/>
          <w:szCs w:val="20"/>
          <w:lang w:eastAsia="en-US"/>
        </w:rPr>
      </w:pPr>
    </w:p>
    <w:p w14:paraId="6C8DF2FD" w14:textId="1984B8D9" w:rsidR="00A1538F" w:rsidRDefault="00A1538F" w:rsidP="00A1538F">
      <w:pPr>
        <w:pStyle w:val="Normal0"/>
        <w:rPr>
          <w:rFonts w:eastAsia="Calibri"/>
          <w:bCs/>
          <w:sz w:val="20"/>
          <w:szCs w:val="20"/>
          <w:lang w:eastAsia="en-US"/>
        </w:rPr>
      </w:pPr>
      <w:r>
        <w:rPr>
          <w:rFonts w:eastAsia="Calibri"/>
          <w:bCs/>
          <w:noProof/>
          <w:sz w:val="20"/>
          <w:szCs w:val="20"/>
          <w:lang w:val="en-US" w:eastAsia="en-US"/>
        </w:rPr>
        <w:drawing>
          <wp:inline distT="0" distB="0" distL="0" distR="0" wp14:anchorId="3C99FF83" wp14:editId="75C5A01F">
            <wp:extent cx="6419850" cy="5909095"/>
            <wp:effectExtent l="0" t="0" r="0" b="0"/>
            <wp:docPr id="3" name="Diagrama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7" r:lo="rId18" r:qs="rId19" r:cs="rId20"/>
              </a:graphicData>
            </a:graphic>
          </wp:inline>
        </w:drawing>
      </w:r>
    </w:p>
    <w:p w14:paraId="13B41C86" w14:textId="77777777" w:rsidR="00A1538F" w:rsidRDefault="00A1538F" w:rsidP="00A1538F">
      <w:pPr>
        <w:pStyle w:val="Normal0"/>
        <w:rPr>
          <w:rFonts w:eastAsia="Calibri"/>
          <w:bCs/>
          <w:sz w:val="20"/>
          <w:szCs w:val="20"/>
          <w:lang w:eastAsia="en-US"/>
        </w:rPr>
      </w:pPr>
    </w:p>
    <w:p w14:paraId="1FF353A9" w14:textId="22159353" w:rsidR="00A1538F" w:rsidRDefault="00A1538F" w:rsidP="00A1538F">
      <w:pPr>
        <w:pStyle w:val="Normal0"/>
        <w:rPr>
          <w:rFonts w:eastAsia="Calibri"/>
          <w:bCs/>
          <w:sz w:val="20"/>
          <w:szCs w:val="20"/>
          <w:lang w:eastAsia="en-US"/>
        </w:rPr>
      </w:pPr>
      <w:r w:rsidRPr="00A1538F">
        <w:rPr>
          <w:rFonts w:eastAsia="Calibri"/>
          <w:b/>
          <w:bCs/>
          <w:sz w:val="20"/>
          <w:szCs w:val="20"/>
          <w:lang w:eastAsia="en-US"/>
        </w:rPr>
        <w:lastRenderedPageBreak/>
        <w:t>Tabla 3.</w:t>
      </w:r>
      <w:r w:rsidRPr="00A1538F">
        <w:rPr>
          <w:rFonts w:eastAsia="Calibri"/>
          <w:bCs/>
          <w:sz w:val="20"/>
          <w:szCs w:val="20"/>
          <w:lang w:eastAsia="en-US"/>
        </w:rPr>
        <w:t xml:space="preserve"> Diferencias entre población objeto total y población susceptible</w:t>
      </w:r>
    </w:p>
    <w:tbl>
      <w:tblPr>
        <w:tblStyle w:val="Tablaconcuadrcula"/>
        <w:tblW w:w="0" w:type="auto"/>
        <w:tblInd w:w="0" w:type="dxa"/>
        <w:tblLook w:val="04A0" w:firstRow="1" w:lastRow="0" w:firstColumn="1" w:lastColumn="0" w:noHBand="0" w:noVBand="1"/>
      </w:tblPr>
      <w:tblGrid>
        <w:gridCol w:w="1838"/>
        <w:gridCol w:w="3544"/>
        <w:gridCol w:w="4580"/>
      </w:tblGrid>
      <w:tr w:rsidR="00A1538F" w:rsidRPr="00A1538F" w14:paraId="07E11288" w14:textId="77777777" w:rsidTr="00A1538F">
        <w:tc>
          <w:tcPr>
            <w:tcW w:w="1838" w:type="dxa"/>
          </w:tcPr>
          <w:p w14:paraId="77953522" w14:textId="078C9223" w:rsidR="00A1538F" w:rsidRPr="00A1538F" w:rsidRDefault="00A1538F" w:rsidP="00A1538F">
            <w:pPr>
              <w:pStyle w:val="Normal0"/>
              <w:rPr>
                <w:rFonts w:eastAsia="Calibri"/>
                <w:b/>
                <w:bCs/>
                <w:sz w:val="20"/>
                <w:szCs w:val="20"/>
                <w:lang w:eastAsia="en-US"/>
              </w:rPr>
            </w:pPr>
            <w:r w:rsidRPr="00A1538F">
              <w:rPr>
                <w:b/>
                <w:sz w:val="20"/>
                <w:szCs w:val="20"/>
              </w:rPr>
              <w:t>Aspecto</w:t>
            </w:r>
          </w:p>
        </w:tc>
        <w:tc>
          <w:tcPr>
            <w:tcW w:w="3544" w:type="dxa"/>
          </w:tcPr>
          <w:p w14:paraId="32245895" w14:textId="36CEEF3B" w:rsidR="00A1538F" w:rsidRPr="00A1538F" w:rsidRDefault="00A1538F" w:rsidP="00A1538F">
            <w:pPr>
              <w:pStyle w:val="Normal0"/>
              <w:rPr>
                <w:rFonts w:eastAsia="Calibri"/>
                <w:b/>
                <w:bCs/>
                <w:sz w:val="20"/>
                <w:szCs w:val="20"/>
                <w:lang w:eastAsia="en-US"/>
              </w:rPr>
            </w:pPr>
            <w:r w:rsidRPr="00A1538F">
              <w:rPr>
                <w:b/>
                <w:sz w:val="20"/>
                <w:szCs w:val="20"/>
              </w:rPr>
              <w:t>Población objeto total</w:t>
            </w:r>
          </w:p>
        </w:tc>
        <w:tc>
          <w:tcPr>
            <w:tcW w:w="4580" w:type="dxa"/>
          </w:tcPr>
          <w:p w14:paraId="37671017" w14:textId="3BBC6BD9" w:rsidR="00A1538F" w:rsidRPr="00A1538F" w:rsidRDefault="00A1538F" w:rsidP="00A1538F">
            <w:pPr>
              <w:pStyle w:val="Normal0"/>
              <w:rPr>
                <w:rFonts w:eastAsia="Calibri"/>
                <w:b/>
                <w:bCs/>
                <w:sz w:val="20"/>
                <w:szCs w:val="20"/>
                <w:lang w:eastAsia="en-US"/>
              </w:rPr>
            </w:pPr>
            <w:r w:rsidRPr="00A1538F">
              <w:rPr>
                <w:b/>
                <w:sz w:val="20"/>
                <w:szCs w:val="20"/>
              </w:rPr>
              <w:t>Población susceptible</w:t>
            </w:r>
          </w:p>
        </w:tc>
      </w:tr>
      <w:tr w:rsidR="00A1538F" w:rsidRPr="00A1538F" w14:paraId="19A7EAEC" w14:textId="77777777" w:rsidTr="00A1538F">
        <w:tc>
          <w:tcPr>
            <w:tcW w:w="1838" w:type="dxa"/>
          </w:tcPr>
          <w:p w14:paraId="6090AC84" w14:textId="46822D43" w:rsidR="00A1538F" w:rsidRPr="00A1538F" w:rsidRDefault="00A1538F" w:rsidP="00A1538F">
            <w:pPr>
              <w:pStyle w:val="Normal0"/>
              <w:rPr>
                <w:rFonts w:eastAsia="Calibri"/>
                <w:bCs/>
                <w:sz w:val="20"/>
                <w:szCs w:val="20"/>
                <w:lang w:eastAsia="en-US"/>
              </w:rPr>
            </w:pPr>
            <w:r w:rsidRPr="00A1538F">
              <w:rPr>
                <w:sz w:val="20"/>
                <w:szCs w:val="20"/>
              </w:rPr>
              <w:t>Definición</w:t>
            </w:r>
          </w:p>
        </w:tc>
        <w:tc>
          <w:tcPr>
            <w:tcW w:w="3544" w:type="dxa"/>
          </w:tcPr>
          <w:p w14:paraId="29373E3D" w14:textId="0B0F3D7B" w:rsidR="00A1538F" w:rsidRPr="00A1538F" w:rsidRDefault="00A1538F" w:rsidP="00A1538F">
            <w:pPr>
              <w:pStyle w:val="Normal0"/>
              <w:rPr>
                <w:rFonts w:eastAsia="Calibri"/>
                <w:bCs/>
                <w:sz w:val="20"/>
                <w:szCs w:val="20"/>
                <w:lang w:eastAsia="en-US"/>
              </w:rPr>
            </w:pPr>
            <w:r w:rsidRPr="00A1538F">
              <w:rPr>
                <w:sz w:val="20"/>
                <w:szCs w:val="20"/>
              </w:rPr>
              <w:t>Universo de personas comprendido en el acuerdo de voluntades.</w:t>
            </w:r>
          </w:p>
        </w:tc>
        <w:tc>
          <w:tcPr>
            <w:tcW w:w="4580" w:type="dxa"/>
          </w:tcPr>
          <w:p w14:paraId="475B6E6B" w14:textId="62B65EDD" w:rsidR="00A1538F" w:rsidRPr="00A1538F" w:rsidRDefault="00A1538F" w:rsidP="00A1538F">
            <w:pPr>
              <w:pStyle w:val="Normal0"/>
              <w:rPr>
                <w:rFonts w:eastAsia="Calibri"/>
                <w:bCs/>
                <w:sz w:val="20"/>
                <w:szCs w:val="20"/>
                <w:lang w:eastAsia="en-US"/>
              </w:rPr>
            </w:pPr>
            <w:r w:rsidRPr="00A1538F">
              <w:rPr>
                <w:sz w:val="20"/>
                <w:szCs w:val="20"/>
              </w:rPr>
              <w:t>Parte de la población objeto que puede requerir un servicio o tecnología específico.</w:t>
            </w:r>
          </w:p>
        </w:tc>
      </w:tr>
      <w:tr w:rsidR="00A1538F" w:rsidRPr="00A1538F" w14:paraId="66F9E3F3" w14:textId="77777777" w:rsidTr="00A1538F">
        <w:tc>
          <w:tcPr>
            <w:tcW w:w="1838" w:type="dxa"/>
          </w:tcPr>
          <w:p w14:paraId="59EC105D" w14:textId="0962338F" w:rsidR="00A1538F" w:rsidRPr="00A1538F" w:rsidRDefault="00A1538F" w:rsidP="00A1538F">
            <w:pPr>
              <w:pStyle w:val="Normal0"/>
              <w:rPr>
                <w:rFonts w:eastAsia="Calibri"/>
                <w:bCs/>
                <w:sz w:val="20"/>
                <w:szCs w:val="20"/>
                <w:lang w:eastAsia="en-US"/>
              </w:rPr>
            </w:pPr>
            <w:r w:rsidRPr="00A1538F">
              <w:rPr>
                <w:sz w:val="20"/>
                <w:szCs w:val="20"/>
              </w:rPr>
              <w:t>Alcance</w:t>
            </w:r>
          </w:p>
        </w:tc>
        <w:tc>
          <w:tcPr>
            <w:tcW w:w="3544" w:type="dxa"/>
          </w:tcPr>
          <w:p w14:paraId="503C9534" w14:textId="17609E50" w:rsidR="00A1538F" w:rsidRPr="00A1538F" w:rsidRDefault="00A1538F" w:rsidP="00A1538F">
            <w:pPr>
              <w:pStyle w:val="Normal0"/>
              <w:rPr>
                <w:rFonts w:eastAsia="Calibri"/>
                <w:bCs/>
                <w:sz w:val="20"/>
                <w:szCs w:val="20"/>
                <w:lang w:eastAsia="en-US"/>
              </w:rPr>
            </w:pPr>
            <w:r w:rsidRPr="00A1538F">
              <w:rPr>
                <w:sz w:val="20"/>
                <w:szCs w:val="20"/>
              </w:rPr>
              <w:t>Corresponde al conjunto general de personas definido para el acuerdo.</w:t>
            </w:r>
          </w:p>
        </w:tc>
        <w:tc>
          <w:tcPr>
            <w:tcW w:w="4580" w:type="dxa"/>
          </w:tcPr>
          <w:p w14:paraId="3F34C86D" w14:textId="70A620BA" w:rsidR="00A1538F" w:rsidRPr="00A1538F" w:rsidRDefault="00A1538F" w:rsidP="00A1538F">
            <w:pPr>
              <w:pStyle w:val="Normal0"/>
              <w:rPr>
                <w:rFonts w:eastAsia="Calibri"/>
                <w:bCs/>
                <w:sz w:val="20"/>
                <w:szCs w:val="20"/>
                <w:lang w:eastAsia="en-US"/>
              </w:rPr>
            </w:pPr>
            <w:r w:rsidRPr="00A1538F">
              <w:rPr>
                <w:sz w:val="20"/>
                <w:szCs w:val="20"/>
              </w:rPr>
              <w:t>Se delimita de acuerdo con las características, condiciones de salud, riesgos o necesidades relacionadas con cada servicio o tecnología.</w:t>
            </w:r>
          </w:p>
        </w:tc>
      </w:tr>
      <w:tr w:rsidR="00A1538F" w:rsidRPr="00A1538F" w14:paraId="30E7BFC3" w14:textId="77777777" w:rsidTr="00A1538F">
        <w:tc>
          <w:tcPr>
            <w:tcW w:w="1838" w:type="dxa"/>
          </w:tcPr>
          <w:p w14:paraId="1BAABFC4" w14:textId="30426C38" w:rsidR="00A1538F" w:rsidRPr="00A1538F" w:rsidRDefault="00A1538F" w:rsidP="00A1538F">
            <w:pPr>
              <w:pStyle w:val="Normal0"/>
              <w:rPr>
                <w:rFonts w:eastAsia="Calibri"/>
                <w:bCs/>
                <w:sz w:val="20"/>
                <w:szCs w:val="20"/>
                <w:lang w:eastAsia="en-US"/>
              </w:rPr>
            </w:pPr>
            <w:r w:rsidRPr="00A1538F">
              <w:rPr>
                <w:sz w:val="20"/>
                <w:szCs w:val="20"/>
              </w:rPr>
              <w:t>Expresión</w:t>
            </w:r>
          </w:p>
        </w:tc>
        <w:tc>
          <w:tcPr>
            <w:tcW w:w="3544" w:type="dxa"/>
          </w:tcPr>
          <w:p w14:paraId="008B778E" w14:textId="7F3E6280" w:rsidR="00A1538F" w:rsidRPr="00A1538F" w:rsidRDefault="00A1538F" w:rsidP="00A1538F">
            <w:pPr>
              <w:pStyle w:val="Normal0"/>
              <w:rPr>
                <w:rFonts w:eastAsia="Calibri"/>
                <w:bCs/>
                <w:sz w:val="20"/>
                <w:szCs w:val="20"/>
                <w:lang w:eastAsia="en-US"/>
              </w:rPr>
            </w:pPr>
            <w:r w:rsidRPr="00A1538F">
              <w:rPr>
                <w:sz w:val="20"/>
                <w:szCs w:val="20"/>
              </w:rPr>
              <w:t>Generalmente se expresa como un número absoluto.</w:t>
            </w:r>
          </w:p>
        </w:tc>
        <w:tc>
          <w:tcPr>
            <w:tcW w:w="4580" w:type="dxa"/>
          </w:tcPr>
          <w:p w14:paraId="017642A7" w14:textId="1755D79E" w:rsidR="00A1538F" w:rsidRPr="00A1538F" w:rsidRDefault="00A1538F" w:rsidP="00A1538F">
            <w:pPr>
              <w:pStyle w:val="Normal0"/>
              <w:rPr>
                <w:rFonts w:eastAsia="Calibri"/>
                <w:bCs/>
                <w:sz w:val="20"/>
                <w:szCs w:val="20"/>
                <w:lang w:eastAsia="en-US"/>
              </w:rPr>
            </w:pPr>
            <w:r w:rsidRPr="00A1538F">
              <w:rPr>
                <w:sz w:val="20"/>
                <w:szCs w:val="20"/>
              </w:rPr>
              <w:t>Puede establecerse mediante proporciones, porcentajes, prevalencias, incidencias o tasas de uso, según la información disponible.</w:t>
            </w:r>
          </w:p>
        </w:tc>
      </w:tr>
      <w:tr w:rsidR="00A1538F" w:rsidRPr="00A1538F" w14:paraId="554E34B9" w14:textId="77777777" w:rsidTr="00A1538F">
        <w:tc>
          <w:tcPr>
            <w:tcW w:w="1838" w:type="dxa"/>
          </w:tcPr>
          <w:p w14:paraId="45B45891" w14:textId="533D797A" w:rsidR="00A1538F" w:rsidRPr="00A1538F" w:rsidRDefault="00A1538F" w:rsidP="00A1538F">
            <w:pPr>
              <w:pStyle w:val="Normal0"/>
              <w:rPr>
                <w:rFonts w:eastAsia="Calibri"/>
                <w:bCs/>
                <w:sz w:val="20"/>
                <w:szCs w:val="20"/>
                <w:lang w:eastAsia="en-US"/>
              </w:rPr>
            </w:pPr>
            <w:r w:rsidRPr="00A1538F">
              <w:rPr>
                <w:sz w:val="20"/>
                <w:szCs w:val="20"/>
              </w:rPr>
              <w:t>Aplicación</w:t>
            </w:r>
          </w:p>
        </w:tc>
        <w:tc>
          <w:tcPr>
            <w:tcW w:w="3544" w:type="dxa"/>
          </w:tcPr>
          <w:p w14:paraId="32B69120" w14:textId="786A162F" w:rsidR="00A1538F" w:rsidRPr="00A1538F" w:rsidRDefault="00A1538F" w:rsidP="00A1538F">
            <w:pPr>
              <w:pStyle w:val="Normal0"/>
              <w:rPr>
                <w:rFonts w:eastAsia="Calibri"/>
                <w:bCs/>
                <w:sz w:val="20"/>
                <w:szCs w:val="20"/>
                <w:lang w:eastAsia="en-US"/>
              </w:rPr>
            </w:pPr>
            <w:r w:rsidRPr="00A1538F">
              <w:rPr>
                <w:sz w:val="20"/>
                <w:szCs w:val="20"/>
              </w:rPr>
              <w:t>Permite establecer el universo sobre el cual se desarrolla el análisis.</w:t>
            </w:r>
          </w:p>
        </w:tc>
        <w:tc>
          <w:tcPr>
            <w:tcW w:w="4580" w:type="dxa"/>
          </w:tcPr>
          <w:p w14:paraId="20EA3DB6" w14:textId="18E1F340" w:rsidR="00A1538F" w:rsidRPr="00A1538F" w:rsidRDefault="00A1538F" w:rsidP="00A1538F">
            <w:pPr>
              <w:pStyle w:val="Normal0"/>
              <w:rPr>
                <w:rFonts w:eastAsia="Calibri"/>
                <w:bCs/>
                <w:sz w:val="20"/>
                <w:szCs w:val="20"/>
                <w:lang w:eastAsia="en-US"/>
              </w:rPr>
            </w:pPr>
            <w:r w:rsidRPr="00A1538F">
              <w:rPr>
                <w:sz w:val="20"/>
                <w:szCs w:val="20"/>
              </w:rPr>
              <w:t>Permite realizar estimaciones más específicas de utilización de los servicios y tecnologías.</w:t>
            </w:r>
          </w:p>
        </w:tc>
      </w:tr>
    </w:tbl>
    <w:p w14:paraId="30C18EC0" w14:textId="2B25795A" w:rsidR="00A1538F" w:rsidRDefault="00A1538F" w:rsidP="00A1538F">
      <w:pPr>
        <w:pStyle w:val="Normal0"/>
        <w:rPr>
          <w:rFonts w:eastAsia="Calibri"/>
          <w:bCs/>
          <w:sz w:val="20"/>
          <w:szCs w:val="20"/>
          <w:lang w:eastAsia="en-US"/>
        </w:rPr>
      </w:pPr>
    </w:p>
    <w:p w14:paraId="1D40B218" w14:textId="569A583A" w:rsidR="00A1538F" w:rsidRPr="00A1538F" w:rsidRDefault="00A1538F" w:rsidP="00A1538F">
      <w:pPr>
        <w:pStyle w:val="Normal0"/>
        <w:rPr>
          <w:rFonts w:eastAsia="Calibri"/>
          <w:bCs/>
          <w:sz w:val="20"/>
          <w:szCs w:val="20"/>
          <w:lang w:eastAsia="en-US"/>
        </w:rPr>
      </w:pPr>
      <w:r w:rsidRPr="00A1538F">
        <w:rPr>
          <w:rFonts w:eastAsia="Calibri"/>
          <w:bCs/>
          <w:sz w:val="20"/>
          <w:szCs w:val="20"/>
          <w:lang w:eastAsia="en-US"/>
        </w:rPr>
        <w:t xml:space="preserve">Para establecer la </w:t>
      </w:r>
      <w:r w:rsidRPr="00A1538F">
        <w:rPr>
          <w:rFonts w:eastAsia="Calibri"/>
          <w:b/>
          <w:bCs/>
          <w:sz w:val="20"/>
          <w:szCs w:val="20"/>
          <w:lang w:eastAsia="en-US"/>
        </w:rPr>
        <w:t>población susceptible</w:t>
      </w:r>
      <w:r w:rsidRPr="00A1538F">
        <w:rPr>
          <w:rFonts w:eastAsia="Calibri"/>
          <w:bCs/>
          <w:sz w:val="20"/>
          <w:szCs w:val="20"/>
          <w:lang w:eastAsia="en-US"/>
        </w:rPr>
        <w:t xml:space="preserve"> de cada servicio o tecnología, </w:t>
      </w:r>
      <w:r w:rsidR="00627332">
        <w:rPr>
          <w:rFonts w:eastAsia="Calibri"/>
          <w:bCs/>
          <w:sz w:val="20"/>
          <w:szCs w:val="20"/>
          <w:lang w:eastAsia="en-US"/>
        </w:rPr>
        <w:t xml:space="preserve">se deben </w:t>
      </w:r>
      <w:r w:rsidRPr="00A1538F">
        <w:rPr>
          <w:rFonts w:eastAsia="Calibri"/>
          <w:bCs/>
          <w:sz w:val="20"/>
          <w:szCs w:val="20"/>
          <w:lang w:eastAsia="en-US"/>
        </w:rPr>
        <w:t>considerar diferentes elementos:</w:t>
      </w:r>
    </w:p>
    <w:p w14:paraId="55FD0B53" w14:textId="77777777" w:rsidR="00A1538F" w:rsidRPr="00A1538F" w:rsidRDefault="00A1538F" w:rsidP="00A1538F">
      <w:pPr>
        <w:pStyle w:val="Normal0"/>
        <w:rPr>
          <w:rFonts w:eastAsia="Calibri"/>
          <w:bCs/>
          <w:sz w:val="20"/>
          <w:szCs w:val="20"/>
          <w:lang w:eastAsia="en-US"/>
        </w:rPr>
      </w:pPr>
    </w:p>
    <w:p w14:paraId="67A8495D" w14:textId="77777777" w:rsidR="00A1538F" w:rsidRPr="00A1538F" w:rsidRDefault="00A1538F" w:rsidP="00716DEA">
      <w:pPr>
        <w:pStyle w:val="Normal0"/>
        <w:numPr>
          <w:ilvl w:val="0"/>
          <w:numId w:val="4"/>
        </w:numPr>
        <w:rPr>
          <w:rFonts w:eastAsia="Calibri"/>
          <w:bCs/>
          <w:sz w:val="20"/>
          <w:szCs w:val="20"/>
          <w:lang w:eastAsia="en-US"/>
        </w:rPr>
      </w:pPr>
      <w:r w:rsidRPr="00A1538F">
        <w:rPr>
          <w:rFonts w:eastAsia="Calibri"/>
          <w:bCs/>
          <w:sz w:val="20"/>
          <w:szCs w:val="20"/>
          <w:lang w:eastAsia="en-US"/>
        </w:rPr>
        <w:t>La población que requiere el servicio o tecnología, de acuerdo con las rutas integrales de atención en salud, las guías de práctica clínica o los consensos de expertos disponibles.</w:t>
      </w:r>
    </w:p>
    <w:p w14:paraId="3E13694D" w14:textId="77777777" w:rsidR="00A1538F" w:rsidRPr="00A1538F" w:rsidRDefault="00A1538F" w:rsidP="00716DEA">
      <w:pPr>
        <w:pStyle w:val="Normal0"/>
        <w:numPr>
          <w:ilvl w:val="0"/>
          <w:numId w:val="4"/>
        </w:numPr>
        <w:rPr>
          <w:rFonts w:eastAsia="Calibri"/>
          <w:bCs/>
          <w:sz w:val="20"/>
          <w:szCs w:val="20"/>
          <w:lang w:eastAsia="en-US"/>
        </w:rPr>
      </w:pPr>
      <w:r w:rsidRPr="00A1538F">
        <w:rPr>
          <w:rFonts w:eastAsia="Calibri"/>
          <w:bCs/>
          <w:sz w:val="20"/>
          <w:szCs w:val="20"/>
          <w:lang w:eastAsia="en-US"/>
        </w:rPr>
        <w:t>Los parámetros epidemiológicos, como prevalencia, incidencia o tasa de uso, preferiblemente obtenidos de información correspondiente a la población y al territorio analizados.</w:t>
      </w:r>
    </w:p>
    <w:p w14:paraId="09BB73C3" w14:textId="77777777" w:rsidR="00A1538F" w:rsidRPr="00A1538F" w:rsidRDefault="00A1538F" w:rsidP="00716DEA">
      <w:pPr>
        <w:pStyle w:val="Normal0"/>
        <w:numPr>
          <w:ilvl w:val="0"/>
          <w:numId w:val="4"/>
        </w:numPr>
        <w:rPr>
          <w:rFonts w:eastAsia="Calibri"/>
          <w:bCs/>
          <w:sz w:val="20"/>
          <w:szCs w:val="20"/>
          <w:lang w:eastAsia="en-US"/>
        </w:rPr>
      </w:pPr>
      <w:r w:rsidRPr="00A1538F">
        <w:rPr>
          <w:rFonts w:eastAsia="Calibri"/>
          <w:bCs/>
          <w:sz w:val="20"/>
          <w:szCs w:val="20"/>
          <w:lang w:eastAsia="en-US"/>
        </w:rPr>
        <w:t>Las condiciones operativas y territoriales, entre ellas la distribución urbana o rural, el acceso a telemedicina y la disponibilidad de talento humano especializado.</w:t>
      </w:r>
    </w:p>
    <w:p w14:paraId="7754A992" w14:textId="77777777" w:rsidR="00A1538F" w:rsidRPr="00A1538F" w:rsidRDefault="00A1538F" w:rsidP="00716DEA">
      <w:pPr>
        <w:pStyle w:val="Normal0"/>
        <w:numPr>
          <w:ilvl w:val="0"/>
          <w:numId w:val="4"/>
        </w:numPr>
        <w:rPr>
          <w:rFonts w:eastAsia="Calibri"/>
          <w:bCs/>
          <w:sz w:val="20"/>
          <w:szCs w:val="20"/>
          <w:lang w:eastAsia="en-US"/>
        </w:rPr>
      </w:pPr>
      <w:r w:rsidRPr="00A1538F">
        <w:rPr>
          <w:rFonts w:eastAsia="Calibri"/>
          <w:bCs/>
          <w:sz w:val="20"/>
          <w:szCs w:val="20"/>
          <w:lang w:eastAsia="en-US"/>
        </w:rPr>
        <w:t>Los riesgos primarios o técnicos asociados con la población y con los servicios o tecnologías objeto del análisis.</w:t>
      </w:r>
    </w:p>
    <w:p w14:paraId="05FA4CEA" w14:textId="77777777" w:rsidR="00A1538F" w:rsidRPr="00A1538F" w:rsidRDefault="00A1538F" w:rsidP="00A1538F">
      <w:pPr>
        <w:pStyle w:val="Normal0"/>
        <w:rPr>
          <w:rFonts w:eastAsia="Calibri"/>
          <w:bCs/>
          <w:sz w:val="20"/>
          <w:szCs w:val="20"/>
          <w:lang w:eastAsia="en-US"/>
        </w:rPr>
      </w:pPr>
    </w:p>
    <w:p w14:paraId="6E655EAF" w14:textId="77777777" w:rsidR="00A1538F" w:rsidRPr="00A1538F" w:rsidRDefault="00A1538F" w:rsidP="00A1538F">
      <w:pPr>
        <w:pStyle w:val="Normal0"/>
        <w:rPr>
          <w:rFonts w:eastAsia="Calibri"/>
          <w:bCs/>
          <w:sz w:val="20"/>
          <w:szCs w:val="20"/>
          <w:lang w:eastAsia="en-US"/>
        </w:rPr>
      </w:pPr>
      <w:r w:rsidRPr="00A1538F">
        <w:rPr>
          <w:rFonts w:eastAsia="Calibri"/>
          <w:bCs/>
          <w:sz w:val="20"/>
          <w:szCs w:val="20"/>
          <w:lang w:eastAsia="en-US"/>
        </w:rPr>
        <w:t>Por ejemplo, si un acuerdo de voluntades comprende la atención de una población con una determinada condición de salud, no todas las personas incluidas en el acuerdo necesariamente requerirán los mismos servicios. La población susceptible de una consulta especializada puede ser diferente de la población que requiere actividades de promoción, seguimiento o control. Esta diferenciación permite realizar proyecciones de utilización más ajustadas a las características y necesidades de cada grupo.</w:t>
      </w:r>
    </w:p>
    <w:p w14:paraId="7DDAE314" w14:textId="6E265FC6" w:rsidR="00A1538F" w:rsidRDefault="00A1538F" w:rsidP="00A1538F">
      <w:pPr>
        <w:pStyle w:val="Normal0"/>
        <w:rPr>
          <w:rFonts w:eastAsia="Calibri"/>
          <w:bCs/>
          <w:sz w:val="20"/>
          <w:szCs w:val="20"/>
          <w:lang w:eastAsia="en-US"/>
        </w:rPr>
      </w:pPr>
    </w:p>
    <w:p w14:paraId="18D3D8FB" w14:textId="50091544" w:rsidR="00A1538F" w:rsidRDefault="00A1538F" w:rsidP="00A1538F">
      <w:pPr>
        <w:pStyle w:val="Normal0"/>
        <w:jc w:val="center"/>
        <w:rPr>
          <w:rFonts w:eastAsia="Calibri"/>
          <w:bCs/>
          <w:sz w:val="20"/>
          <w:szCs w:val="20"/>
          <w:lang w:eastAsia="en-US"/>
        </w:rPr>
      </w:pPr>
      <w:r w:rsidRPr="003A7AA3">
        <w:rPr>
          <w:rFonts w:eastAsia="Calibri"/>
          <w:bCs/>
          <w:noProof/>
          <w:sz w:val="20"/>
          <w:szCs w:val="20"/>
          <w:lang w:val="en-US" w:eastAsia="en-US"/>
        </w:rPr>
        <mc:AlternateContent>
          <mc:Choice Requires="wps">
            <w:drawing>
              <wp:inline distT="0" distB="0" distL="0" distR="0" wp14:anchorId="0781B630" wp14:editId="1636FE45">
                <wp:extent cx="5724525" cy="1404620"/>
                <wp:effectExtent l="0" t="0" r="9525" b="8890"/>
                <wp:docPr id="2"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24525" cy="1404620"/>
                        </a:xfrm>
                        <a:prstGeom prst="rect">
                          <a:avLst/>
                        </a:prstGeom>
                        <a:solidFill>
                          <a:schemeClr val="accent1">
                            <a:lumMod val="40000"/>
                            <a:lumOff val="60000"/>
                          </a:schemeClr>
                        </a:solidFill>
                        <a:ln w="9525">
                          <a:noFill/>
                          <a:miter lim="800000"/>
                          <a:headEnd/>
                          <a:tailEnd/>
                        </a:ln>
                      </wps:spPr>
                      <wps:txbx>
                        <w:txbxContent>
                          <w:p w14:paraId="1237C571" w14:textId="12A8BB4E" w:rsidR="00877F3E" w:rsidRPr="003A7AA3" w:rsidRDefault="00877F3E" w:rsidP="00A1538F">
                            <w:pPr>
                              <w:pStyle w:val="Normal0"/>
                              <w:rPr>
                                <w:rFonts w:eastAsia="Calibri"/>
                                <w:bCs/>
                                <w:sz w:val="20"/>
                                <w:szCs w:val="20"/>
                                <w:lang w:eastAsia="en-US"/>
                              </w:rPr>
                            </w:pPr>
                            <w:r w:rsidRPr="00A1538F">
                              <w:rPr>
                                <w:rFonts w:eastAsia="Calibri"/>
                                <w:bCs/>
                                <w:sz w:val="20"/>
                                <w:szCs w:val="20"/>
                                <w:lang w:eastAsia="en-US"/>
                              </w:rPr>
                              <w:t>En la construcción de la nota técnica, la diferenciación entre población objeto total y población susceptible permite relacionar el alcance del acuerdo de voluntades con las necesidades específicas de cada servicio o tecnología. De esta manera, las estimaciones pueden sustentarse en las características reales de la población y no únicamente en el número total de personas cubiertas.</w:t>
                            </w:r>
                          </w:p>
                        </w:txbxContent>
                      </wps:txbx>
                      <wps:bodyPr rot="0" vert="horz" wrap="square" lIns="91440" tIns="45720" rIns="91440" bIns="45720" anchor="t" anchorCtr="0">
                        <a:spAutoFit/>
                      </wps:bodyPr>
                    </wps:wsp>
                  </a:graphicData>
                </a:graphic>
              </wp:inline>
            </w:drawing>
          </mc:Choice>
          <mc:Fallback>
            <w:pict>
              <v:shape w14:anchorId="0781B630" id="_x0000_s1028" type="#_x0000_t202" style="width:450.75pt;height:110.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" fillcolor="#b8cce4 [1300]" stroked="f">
                <v:textbox style="mso-fit-shape-to-text:t">
                  <w:txbxContent>
                    <w:p w14:paraId="1237C571" w14:textId="12A8BB4E" w:rsidR="00877F3E" w:rsidRPr="003A7AA3" w:rsidRDefault="00877F3E" w:rsidP="00A1538F">
                      <w:pPr>
                        <w:pStyle w:val="Normal0"/>
                        <w:rPr>
                          <w:rFonts w:eastAsia="Calibri"/>
                          <w:bCs/>
                          <w:sz w:val="20"/>
                          <w:szCs w:val="20"/>
                          <w:lang w:eastAsia="en-US"/>
                        </w:rPr>
                      </w:pPr>
                      <w:r w:rsidRPr="00A1538F">
                        <w:rPr>
                          <w:rFonts w:eastAsia="Calibri"/>
                          <w:bCs/>
                          <w:sz w:val="20"/>
                          <w:szCs w:val="20"/>
                          <w:lang w:eastAsia="en-US"/>
                        </w:rPr>
                        <w:t>En la construcción de la nota técnica, la diferenciación entre población objeto total y población susceptible permite relacionar el alcance del acuerdo de voluntades con las necesidades específicas de cada servicio o tecnología. De esta manera, las estimaciones pueden sustentarse en las características reales de la población y no únicamente en el número total de personas cubiertas.</w:t>
                      </w:r>
                    </w:p>
                  </w:txbxContent>
                </v:textbox>
                <w10:anchorlock/>
              </v:shape>
            </w:pict>
          </mc:Fallback>
        </mc:AlternateContent>
      </w:r>
    </w:p>
    <w:p w14:paraId="622C4E34" w14:textId="77777777" w:rsidR="00A1538F" w:rsidRPr="000D04CD" w:rsidRDefault="00A1538F" w:rsidP="00A1538F">
      <w:pPr>
        <w:pStyle w:val="Normal0"/>
        <w:rPr>
          <w:rFonts w:eastAsia="Calibri"/>
          <w:bCs/>
          <w:sz w:val="20"/>
          <w:szCs w:val="20"/>
          <w:lang w:eastAsia="en-US"/>
        </w:rPr>
      </w:pPr>
    </w:p>
    <w:p w14:paraId="293E1366" w14:textId="06FD2ECB" w:rsidR="00AD590A" w:rsidRPr="00460C90" w:rsidRDefault="00AD590A" w:rsidP="009723E7">
      <w:pPr>
        <w:pStyle w:val="Normal0"/>
        <w:numPr>
          <w:ilvl w:val="1"/>
          <w:numId w:val="27"/>
        </w:numPr>
        <w:rPr>
          <w:rFonts w:eastAsia="Calibri"/>
          <w:b/>
          <w:bCs/>
          <w:sz w:val="20"/>
          <w:szCs w:val="20"/>
          <w:lang w:eastAsia="en-US"/>
        </w:rPr>
      </w:pPr>
      <w:r w:rsidRPr="00460C90">
        <w:rPr>
          <w:rFonts w:eastAsia="Calibri"/>
          <w:b/>
          <w:bCs/>
          <w:sz w:val="20"/>
          <w:szCs w:val="20"/>
          <w:lang w:eastAsia="en-US"/>
        </w:rPr>
        <w:t>Parámetros epidemiológicos</w:t>
      </w:r>
    </w:p>
    <w:p w14:paraId="39F8E914" w14:textId="1D127B1C" w:rsidR="00460C90" w:rsidRDefault="00460C90" w:rsidP="00460C90">
      <w:pPr>
        <w:pStyle w:val="Normal0"/>
        <w:rPr>
          <w:rFonts w:eastAsia="Calibri"/>
          <w:bCs/>
          <w:sz w:val="20"/>
          <w:szCs w:val="20"/>
          <w:lang w:eastAsia="en-US"/>
        </w:rPr>
      </w:pPr>
    </w:p>
    <w:p w14:paraId="2015670E" w14:textId="77777777" w:rsidR="00460C90" w:rsidRPr="00460C90" w:rsidRDefault="00460C90" w:rsidP="00460C90">
      <w:pPr>
        <w:pStyle w:val="Normal0"/>
        <w:rPr>
          <w:rFonts w:eastAsia="Calibri"/>
          <w:bCs/>
          <w:sz w:val="20"/>
          <w:szCs w:val="20"/>
          <w:lang w:eastAsia="en-US"/>
        </w:rPr>
      </w:pPr>
      <w:r w:rsidRPr="00460C90">
        <w:rPr>
          <w:rFonts w:eastAsia="Calibri"/>
          <w:bCs/>
          <w:sz w:val="20"/>
          <w:szCs w:val="20"/>
          <w:lang w:eastAsia="en-US"/>
        </w:rPr>
        <w:t>Los parámetros epidemiológicos permiten describir y analizar la ocurrencia de eventos y condiciones de salud en una población determinada. En la construcción de la nota técnica, estos parámetros aportan información para estimar la población susceptible y proyectar la utilización de los servicios y tecnologías de salud.</w:t>
      </w:r>
    </w:p>
    <w:p w14:paraId="701F4DE3" w14:textId="77777777" w:rsidR="00460C90" w:rsidRPr="00460C90" w:rsidRDefault="00460C90" w:rsidP="00460C90">
      <w:pPr>
        <w:pStyle w:val="Normal0"/>
        <w:rPr>
          <w:rFonts w:eastAsia="Calibri"/>
          <w:bCs/>
          <w:sz w:val="20"/>
          <w:szCs w:val="20"/>
          <w:lang w:eastAsia="en-US"/>
        </w:rPr>
      </w:pPr>
    </w:p>
    <w:p w14:paraId="7BFBFA71" w14:textId="59ACE2BF" w:rsidR="00460C90" w:rsidRPr="00460C90" w:rsidRDefault="00460C90" w:rsidP="00460C90">
      <w:pPr>
        <w:pStyle w:val="Normal0"/>
        <w:rPr>
          <w:rFonts w:eastAsia="Calibri"/>
          <w:bCs/>
          <w:sz w:val="20"/>
          <w:szCs w:val="20"/>
          <w:lang w:eastAsia="en-US"/>
        </w:rPr>
      </w:pPr>
      <w:r w:rsidRPr="00460C90">
        <w:rPr>
          <w:rFonts w:eastAsia="Calibri"/>
          <w:bCs/>
          <w:sz w:val="20"/>
          <w:szCs w:val="20"/>
          <w:lang w:eastAsia="en-US"/>
        </w:rPr>
        <w:t>Entre los parámetros considerados se encuentran la incidencia, la prevalencia y la tasa de uso, cuya selección depende de las características de la población y del servicio o tecnología que se pretenda analizar.</w:t>
      </w:r>
    </w:p>
    <w:p w14:paraId="0CC3C05B" w14:textId="4556B03A" w:rsidR="00460C90" w:rsidRDefault="00460C90" w:rsidP="00460C90">
      <w:pPr>
        <w:pStyle w:val="Normal0"/>
        <w:rPr>
          <w:rFonts w:eastAsia="Calibri"/>
          <w:bCs/>
          <w:sz w:val="20"/>
          <w:szCs w:val="20"/>
          <w:lang w:eastAsia="en-US"/>
        </w:rPr>
      </w:pPr>
    </w:p>
    <w:p w14:paraId="29B373B8" w14:textId="77777777" w:rsidR="00460C90" w:rsidRPr="00460C90" w:rsidRDefault="00460C90" w:rsidP="00460C90">
      <w:pPr>
        <w:pStyle w:val="Normal0"/>
        <w:rPr>
          <w:rFonts w:eastAsia="Calibri"/>
          <w:bCs/>
          <w:sz w:val="20"/>
          <w:szCs w:val="20"/>
          <w:lang w:eastAsia="en-US"/>
        </w:rPr>
      </w:pPr>
    </w:p>
    <w:p w14:paraId="419CAC25" w14:textId="2E27E150" w:rsidR="00460C90" w:rsidRDefault="00460C90" w:rsidP="00460C90">
      <w:pPr>
        <w:pStyle w:val="Normal0"/>
        <w:rPr>
          <w:rFonts w:eastAsia="Calibri"/>
          <w:bCs/>
          <w:sz w:val="20"/>
          <w:szCs w:val="20"/>
          <w:lang w:eastAsia="en-US"/>
        </w:rPr>
      </w:pPr>
      <w:r>
        <w:rPr>
          <w:rFonts w:eastAsia="Calibri"/>
          <w:bCs/>
          <w:noProof/>
          <w:sz w:val="20"/>
          <w:szCs w:val="20"/>
          <w:lang w:val="en-US" w:eastAsia="en-US"/>
        </w:rPr>
        <w:lastRenderedPageBreak/>
        <w:drawing>
          <wp:inline distT="0" distB="0" distL="0" distR="0" wp14:anchorId="02D3CED2" wp14:editId="231BE049">
            <wp:extent cx="6315075" cy="4972050"/>
            <wp:effectExtent l="0" t="0" r="0" b="0"/>
            <wp:docPr id="4" name="Diagrama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2" r:lo="rId23" r:qs="rId24" r:cs="rId25"/>
              </a:graphicData>
            </a:graphic>
          </wp:inline>
        </w:drawing>
      </w:r>
    </w:p>
    <w:p w14:paraId="4AFB782D" w14:textId="77777777" w:rsidR="009A6DBD" w:rsidRPr="00460C90" w:rsidRDefault="009A6DBD" w:rsidP="00460C90">
      <w:pPr>
        <w:pStyle w:val="Normal0"/>
        <w:rPr>
          <w:rFonts w:eastAsia="Calibri"/>
          <w:bCs/>
          <w:sz w:val="20"/>
          <w:szCs w:val="20"/>
          <w:lang w:eastAsia="en-US"/>
        </w:rPr>
      </w:pPr>
    </w:p>
    <w:p w14:paraId="5459404F" w14:textId="77777777" w:rsidR="00460C90" w:rsidRPr="00460C90" w:rsidRDefault="00460C90" w:rsidP="00460C90">
      <w:pPr>
        <w:pStyle w:val="Normal0"/>
        <w:rPr>
          <w:rFonts w:eastAsia="Calibri"/>
          <w:bCs/>
          <w:sz w:val="20"/>
          <w:szCs w:val="20"/>
          <w:lang w:eastAsia="en-US"/>
        </w:rPr>
      </w:pPr>
      <w:r w:rsidRPr="00460C90">
        <w:rPr>
          <w:rFonts w:eastAsia="Calibri"/>
          <w:bCs/>
          <w:sz w:val="20"/>
          <w:szCs w:val="20"/>
          <w:lang w:eastAsia="en-US"/>
        </w:rPr>
        <w:t xml:space="preserve">Los parámetros epidemiológicos no deben analizarse de manera aislada. Su utilidad depende de la población a la que se aplican, del servicio o tecnología objeto del análisis y de las fuentes utilizadas para obtener la información. Por ello, al establecer la </w:t>
      </w:r>
      <w:r w:rsidRPr="009A6DBD">
        <w:rPr>
          <w:rFonts w:eastAsia="Calibri"/>
          <w:b/>
          <w:bCs/>
          <w:sz w:val="20"/>
          <w:szCs w:val="20"/>
          <w:lang w:eastAsia="en-US"/>
        </w:rPr>
        <w:t>población susceptible</w:t>
      </w:r>
      <w:r w:rsidRPr="00460C90">
        <w:rPr>
          <w:rFonts w:eastAsia="Calibri"/>
          <w:bCs/>
          <w:sz w:val="20"/>
          <w:szCs w:val="20"/>
          <w:lang w:eastAsia="en-US"/>
        </w:rPr>
        <w:t>, es necesario seleccionar el parámetro que corresponda a la condición o servicio analizado y utilizar información que permita sustentar la estimación.</w:t>
      </w:r>
    </w:p>
    <w:p w14:paraId="7F04F70E" w14:textId="77777777" w:rsidR="00460C90" w:rsidRPr="00460C90" w:rsidRDefault="00460C90" w:rsidP="00460C90">
      <w:pPr>
        <w:pStyle w:val="Normal0"/>
        <w:rPr>
          <w:rFonts w:eastAsia="Calibri"/>
          <w:bCs/>
          <w:sz w:val="20"/>
          <w:szCs w:val="20"/>
          <w:lang w:eastAsia="en-US"/>
        </w:rPr>
      </w:pPr>
    </w:p>
    <w:p w14:paraId="7C86C48D" w14:textId="28F01632" w:rsidR="00460C90" w:rsidRPr="00460C90" w:rsidRDefault="00627332" w:rsidP="00460C90">
      <w:pPr>
        <w:pStyle w:val="Normal0"/>
        <w:rPr>
          <w:rFonts w:eastAsia="Calibri"/>
          <w:bCs/>
          <w:sz w:val="20"/>
          <w:szCs w:val="20"/>
          <w:lang w:eastAsia="en-US"/>
        </w:rPr>
      </w:pPr>
      <w:r>
        <w:rPr>
          <w:rFonts w:eastAsia="Calibri"/>
          <w:bCs/>
          <w:sz w:val="20"/>
          <w:szCs w:val="20"/>
          <w:lang w:eastAsia="en-US"/>
        </w:rPr>
        <w:t>L</w:t>
      </w:r>
      <w:r w:rsidR="00460C90" w:rsidRPr="00460C90">
        <w:rPr>
          <w:rFonts w:eastAsia="Calibri"/>
          <w:bCs/>
          <w:sz w:val="20"/>
          <w:szCs w:val="20"/>
          <w:lang w:eastAsia="en-US"/>
        </w:rPr>
        <w:t>as fuentes para establecer estos parámetros deben priorizar, en su orden, la caracterización poblacional o el ASIS del territorio, la caracterización poblacional nacional y otras fuentes locales, nacionales o internacionales disponibles, según corresponda.</w:t>
      </w:r>
    </w:p>
    <w:p w14:paraId="0A634205" w14:textId="446A72F3" w:rsidR="00460C90" w:rsidRDefault="00460C90" w:rsidP="00460C90">
      <w:pPr>
        <w:pStyle w:val="Normal0"/>
        <w:rPr>
          <w:rFonts w:eastAsia="Calibri"/>
          <w:bCs/>
          <w:sz w:val="20"/>
          <w:szCs w:val="20"/>
          <w:lang w:eastAsia="en-US"/>
        </w:rPr>
      </w:pPr>
    </w:p>
    <w:p w14:paraId="50A4D79B" w14:textId="79388F6D" w:rsidR="009A6DBD" w:rsidRDefault="009A6DBD" w:rsidP="009A6DBD">
      <w:pPr>
        <w:pStyle w:val="Normal0"/>
        <w:jc w:val="center"/>
        <w:rPr>
          <w:rFonts w:eastAsia="Calibri"/>
          <w:bCs/>
          <w:sz w:val="20"/>
          <w:szCs w:val="20"/>
          <w:lang w:eastAsia="en-US"/>
        </w:rPr>
      </w:pPr>
      <w:r w:rsidRPr="003A7AA3">
        <w:rPr>
          <w:rFonts w:eastAsia="Calibri"/>
          <w:bCs/>
          <w:noProof/>
          <w:sz w:val="20"/>
          <w:szCs w:val="20"/>
          <w:lang w:val="en-US" w:eastAsia="en-US"/>
        </w:rPr>
        <mc:AlternateContent>
          <mc:Choice Requires="wps">
            <w:drawing>
              <wp:inline distT="0" distB="0" distL="0" distR="0" wp14:anchorId="09E33074" wp14:editId="6BC67C53">
                <wp:extent cx="5724525" cy="1404620"/>
                <wp:effectExtent l="0" t="0" r="9525" b="8890"/>
                <wp:docPr id="5" name="Cuadro de texto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24525" cy="1404620"/>
                        </a:xfrm>
                        <a:prstGeom prst="rect">
                          <a:avLst/>
                        </a:prstGeom>
                        <a:solidFill>
                          <a:schemeClr val="accent1">
                            <a:lumMod val="40000"/>
                            <a:lumOff val="60000"/>
                          </a:schemeClr>
                        </a:solidFill>
                        <a:ln w="9525">
                          <a:noFill/>
                          <a:miter lim="800000"/>
                          <a:headEnd/>
                          <a:tailEnd/>
                        </a:ln>
                      </wps:spPr>
                      <wps:txbx>
                        <w:txbxContent>
                          <w:p w14:paraId="5EF02C99" w14:textId="6EB22CB8" w:rsidR="00877F3E" w:rsidRPr="003A7AA3" w:rsidRDefault="00877F3E" w:rsidP="009A6DBD">
                            <w:pPr>
                              <w:pStyle w:val="Normal0"/>
                              <w:rPr>
                                <w:rFonts w:eastAsia="Calibri"/>
                                <w:bCs/>
                                <w:sz w:val="20"/>
                                <w:szCs w:val="20"/>
                                <w:lang w:eastAsia="en-US"/>
                              </w:rPr>
                            </w:pPr>
                            <w:r w:rsidRPr="00460C90">
                              <w:rPr>
                                <w:rFonts w:eastAsia="Calibri"/>
                                <w:bCs/>
                                <w:sz w:val="20"/>
                                <w:szCs w:val="20"/>
                                <w:lang w:eastAsia="en-US"/>
                              </w:rPr>
                              <w:t>En la construcción de la nota técnica, los parámetros epidemiológicos constituyen un insumo para relacionar las condiciones de salud de la población con la estimación de la población susceptible y la frecuencia esperada de utilización de los servicios y tecnologías.</w:t>
                            </w:r>
                          </w:p>
                        </w:txbxContent>
                      </wps:txbx>
                      <wps:bodyPr rot="0" vert="horz" wrap="square" lIns="91440" tIns="45720" rIns="91440" bIns="45720" anchor="t" anchorCtr="0">
                        <a:spAutoFit/>
                      </wps:bodyPr>
                    </wps:wsp>
                  </a:graphicData>
                </a:graphic>
              </wp:inline>
            </w:drawing>
          </mc:Choice>
          <mc:Fallback>
            <w:pict>
              <v:shape w14:anchorId="09E33074" id="Cuadro de texto 5" o:spid="_x0000_s1029" type="#_x0000_t202" style="width:450.75pt;height:110.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" fillcolor="#b8cce4 [1300]" stroked="f">
                <v:textbox style="mso-fit-shape-to-text:t">
                  <w:txbxContent>
                    <w:p w14:paraId="5EF02C99" w14:textId="6EB22CB8" w:rsidR="00877F3E" w:rsidRPr="003A7AA3" w:rsidRDefault="00877F3E" w:rsidP="009A6DBD">
                      <w:pPr>
                        <w:pStyle w:val="Normal0"/>
                        <w:rPr>
                          <w:rFonts w:eastAsia="Calibri"/>
                          <w:bCs/>
                          <w:sz w:val="20"/>
                          <w:szCs w:val="20"/>
                          <w:lang w:eastAsia="en-US"/>
                        </w:rPr>
                      </w:pPr>
                      <w:r w:rsidRPr="00460C90">
                        <w:rPr>
                          <w:rFonts w:eastAsia="Calibri"/>
                          <w:bCs/>
                          <w:sz w:val="20"/>
                          <w:szCs w:val="20"/>
                          <w:lang w:eastAsia="en-US"/>
                        </w:rPr>
                        <w:t>En la construcción de la nota técnica, los parámetros epidemiológicos constituyen un insumo para relacionar las condiciones de salud de la población con la estimación de la población susceptible y la frecuencia esperada de utilización de los servicios y tecnologías.</w:t>
                      </w:r>
                    </w:p>
                  </w:txbxContent>
                </v:textbox>
                <w10:anchorlock/>
              </v:shape>
            </w:pict>
          </mc:Fallback>
        </mc:AlternateContent>
      </w:r>
    </w:p>
    <w:p w14:paraId="1D7613BF" w14:textId="77777777" w:rsidR="00460C90" w:rsidRPr="000D04CD" w:rsidRDefault="00460C90" w:rsidP="00460C90">
      <w:pPr>
        <w:pStyle w:val="Normal0"/>
        <w:rPr>
          <w:rFonts w:eastAsia="Calibri"/>
          <w:bCs/>
          <w:sz w:val="20"/>
          <w:szCs w:val="20"/>
          <w:lang w:eastAsia="en-US"/>
        </w:rPr>
      </w:pPr>
    </w:p>
    <w:p w14:paraId="0368712E" w14:textId="25E99C4D" w:rsidR="00AD590A" w:rsidRPr="009A6DBD" w:rsidRDefault="00AD590A" w:rsidP="009723E7">
      <w:pPr>
        <w:pStyle w:val="Normal0"/>
        <w:numPr>
          <w:ilvl w:val="1"/>
          <w:numId w:val="27"/>
        </w:numPr>
        <w:rPr>
          <w:rFonts w:eastAsia="Calibri"/>
          <w:b/>
          <w:bCs/>
          <w:sz w:val="20"/>
          <w:szCs w:val="20"/>
          <w:lang w:eastAsia="en-US"/>
        </w:rPr>
      </w:pPr>
      <w:r w:rsidRPr="009A6DBD">
        <w:rPr>
          <w:rFonts w:eastAsia="Calibri"/>
          <w:b/>
          <w:bCs/>
          <w:sz w:val="20"/>
          <w:szCs w:val="20"/>
          <w:lang w:eastAsia="en-US"/>
        </w:rPr>
        <w:t>Identificación y codificación de servicios y tecnologías</w:t>
      </w:r>
    </w:p>
    <w:p w14:paraId="0E1DEACD" w14:textId="2CC5701F" w:rsidR="009A6DBD" w:rsidRDefault="009A6DBD" w:rsidP="009A6DBD">
      <w:pPr>
        <w:pStyle w:val="Normal0"/>
        <w:rPr>
          <w:rFonts w:eastAsia="Calibri"/>
          <w:bCs/>
          <w:sz w:val="20"/>
          <w:szCs w:val="20"/>
          <w:lang w:eastAsia="en-US"/>
        </w:rPr>
      </w:pPr>
    </w:p>
    <w:p w14:paraId="7249F989" w14:textId="77777777" w:rsidR="009A6DBD" w:rsidRPr="009A6DBD" w:rsidRDefault="009A6DBD" w:rsidP="009A6DBD">
      <w:pPr>
        <w:pStyle w:val="Normal0"/>
        <w:rPr>
          <w:rFonts w:eastAsia="Calibri"/>
          <w:bCs/>
          <w:sz w:val="20"/>
          <w:szCs w:val="20"/>
          <w:lang w:eastAsia="en-US"/>
        </w:rPr>
      </w:pPr>
      <w:r w:rsidRPr="009A6DBD">
        <w:rPr>
          <w:rFonts w:eastAsia="Calibri"/>
          <w:bCs/>
          <w:sz w:val="20"/>
          <w:szCs w:val="20"/>
          <w:lang w:eastAsia="en-US"/>
        </w:rPr>
        <w:t xml:space="preserve">Una vez caracterizada la población, identificadas sus necesidades y determinada la población susceptible, es necesario establecer con precisión los servicios y tecnologías que serán considerados en el acuerdo de </w:t>
      </w:r>
      <w:r w:rsidRPr="009A6DBD">
        <w:rPr>
          <w:rFonts w:eastAsia="Calibri"/>
          <w:bCs/>
          <w:sz w:val="20"/>
          <w:szCs w:val="20"/>
          <w:lang w:eastAsia="en-US"/>
        </w:rPr>
        <w:lastRenderedPageBreak/>
        <w:t>voluntades. Para ello, estos deben identificarse mediante los códigos correspondientes a las tablas de referencia estandarizadas señaladas en el documento de Lineamientos de la Nota Técnica.</w:t>
      </w:r>
    </w:p>
    <w:p w14:paraId="1AF6E094" w14:textId="77777777" w:rsidR="009A6DBD" w:rsidRPr="009A6DBD" w:rsidRDefault="009A6DBD" w:rsidP="009A6DBD">
      <w:pPr>
        <w:pStyle w:val="Normal0"/>
        <w:rPr>
          <w:rFonts w:eastAsia="Calibri"/>
          <w:bCs/>
          <w:sz w:val="20"/>
          <w:szCs w:val="20"/>
          <w:lang w:eastAsia="en-US"/>
        </w:rPr>
      </w:pPr>
    </w:p>
    <w:p w14:paraId="0C123F26" w14:textId="77777777" w:rsidR="009A6DBD" w:rsidRPr="009A6DBD" w:rsidRDefault="009A6DBD" w:rsidP="009A6DBD">
      <w:pPr>
        <w:pStyle w:val="Normal0"/>
        <w:rPr>
          <w:rFonts w:eastAsia="Calibri"/>
          <w:bCs/>
          <w:sz w:val="20"/>
          <w:szCs w:val="20"/>
          <w:lang w:eastAsia="en-US"/>
        </w:rPr>
      </w:pPr>
      <w:r w:rsidRPr="009A6DBD">
        <w:rPr>
          <w:rFonts w:eastAsia="Calibri"/>
          <w:bCs/>
          <w:sz w:val="20"/>
          <w:szCs w:val="20"/>
          <w:lang w:eastAsia="en-US"/>
        </w:rPr>
        <w:t>La codificación permite utilizar una denominación estandarizada de los servicios y tecnologías y facilita su seguimiento, facturación y reporte dentro del Sistema General de Seguridad Social en Salud (SGSSS). Por esta razón, la identificación no debe limitarse a una descripción en lenguaje libre, sino que debe corresponder al código oficial aplicable.</w:t>
      </w:r>
    </w:p>
    <w:p w14:paraId="330D3CD1" w14:textId="77777777" w:rsidR="009A6DBD" w:rsidRPr="009A6DBD" w:rsidRDefault="009A6DBD" w:rsidP="009A6DBD">
      <w:pPr>
        <w:pStyle w:val="Normal0"/>
        <w:rPr>
          <w:rFonts w:eastAsia="Calibri"/>
          <w:bCs/>
          <w:sz w:val="20"/>
          <w:szCs w:val="20"/>
          <w:lang w:eastAsia="en-US"/>
        </w:rPr>
      </w:pPr>
    </w:p>
    <w:p w14:paraId="1DE2F79E" w14:textId="77777777" w:rsidR="009A6DBD" w:rsidRPr="009A6DBD" w:rsidRDefault="009A6DBD" w:rsidP="009A6DBD">
      <w:pPr>
        <w:pStyle w:val="Normal0"/>
        <w:rPr>
          <w:rFonts w:eastAsia="Calibri"/>
          <w:bCs/>
          <w:sz w:val="20"/>
          <w:szCs w:val="20"/>
          <w:lang w:eastAsia="en-US"/>
        </w:rPr>
      </w:pPr>
      <w:r w:rsidRPr="009A6DBD">
        <w:rPr>
          <w:rFonts w:eastAsia="Calibri"/>
          <w:bCs/>
          <w:sz w:val="20"/>
          <w:szCs w:val="20"/>
          <w:lang w:eastAsia="en-US"/>
        </w:rPr>
        <w:t>Entre las principales codificaciones mencionadas en el documento se encuentran:</w:t>
      </w:r>
    </w:p>
    <w:p w14:paraId="27422C23" w14:textId="77777777" w:rsidR="009A6DBD" w:rsidRPr="009A6DBD" w:rsidRDefault="009A6DBD" w:rsidP="009A6DBD">
      <w:pPr>
        <w:pStyle w:val="Normal0"/>
        <w:rPr>
          <w:rFonts w:eastAsia="Calibri"/>
          <w:bCs/>
          <w:sz w:val="20"/>
          <w:szCs w:val="20"/>
          <w:lang w:eastAsia="en-US"/>
        </w:rPr>
      </w:pPr>
    </w:p>
    <w:p w14:paraId="30A3F5FC" w14:textId="53E917C4" w:rsidR="009A6DBD" w:rsidRPr="009A6DBD" w:rsidRDefault="009A6DBD" w:rsidP="00D7262C">
      <w:pPr>
        <w:pStyle w:val="Normal0"/>
        <w:numPr>
          <w:ilvl w:val="0"/>
          <w:numId w:val="5"/>
        </w:numPr>
        <w:rPr>
          <w:rFonts w:eastAsia="Calibri"/>
          <w:bCs/>
          <w:sz w:val="20"/>
          <w:szCs w:val="20"/>
          <w:lang w:eastAsia="en-US"/>
        </w:rPr>
      </w:pPr>
      <w:r w:rsidRPr="00CB52D1">
        <w:rPr>
          <w:rFonts w:eastAsia="Calibri"/>
          <w:b/>
          <w:bCs/>
          <w:sz w:val="20"/>
          <w:szCs w:val="20"/>
          <w:lang w:eastAsia="en-US"/>
        </w:rPr>
        <w:t>Clasificación Única de Procedimientos en Salud (CUPS):</w:t>
      </w:r>
      <w:r w:rsidRPr="009A6DBD">
        <w:rPr>
          <w:rFonts w:eastAsia="Calibri"/>
          <w:bCs/>
          <w:sz w:val="20"/>
          <w:szCs w:val="20"/>
          <w:lang w:eastAsia="en-US"/>
        </w:rPr>
        <w:t xml:space="preserve"> </w:t>
      </w:r>
      <w:r w:rsidR="00D7262C" w:rsidRPr="00D7262C">
        <w:rPr>
          <w:rFonts w:eastAsia="Calibri"/>
          <w:bCs/>
          <w:sz w:val="20"/>
          <w:szCs w:val="20"/>
          <w:lang w:eastAsia="en-US"/>
        </w:rPr>
        <w:t>permite identificar los procedimientos en salud mediante códigos estandarizados. La Resolución 2706 de 2025 establece la CUPS vigente y sus modificaciones, por lo que debe consultarse esta clasificación al momento de identificar y codificar los procedimient</w:t>
      </w:r>
      <w:r w:rsidR="00D7262C">
        <w:rPr>
          <w:rFonts w:eastAsia="Calibri"/>
          <w:bCs/>
          <w:sz w:val="20"/>
          <w:szCs w:val="20"/>
          <w:lang w:eastAsia="en-US"/>
        </w:rPr>
        <w:t>os incluidos en la nota técnica</w:t>
      </w:r>
      <w:r w:rsidRPr="009A6DBD">
        <w:rPr>
          <w:rFonts w:eastAsia="Calibri"/>
          <w:bCs/>
          <w:sz w:val="20"/>
          <w:szCs w:val="20"/>
          <w:lang w:eastAsia="en-US"/>
        </w:rPr>
        <w:t>.</w:t>
      </w:r>
    </w:p>
    <w:p w14:paraId="1D209206" w14:textId="77777777" w:rsidR="009A6DBD" w:rsidRPr="009A6DBD" w:rsidRDefault="009A6DBD" w:rsidP="00716DEA">
      <w:pPr>
        <w:pStyle w:val="Normal0"/>
        <w:numPr>
          <w:ilvl w:val="0"/>
          <w:numId w:val="5"/>
        </w:numPr>
        <w:rPr>
          <w:rFonts w:eastAsia="Calibri"/>
          <w:bCs/>
          <w:sz w:val="20"/>
          <w:szCs w:val="20"/>
          <w:lang w:eastAsia="en-US"/>
        </w:rPr>
      </w:pPr>
      <w:r w:rsidRPr="00CB52D1">
        <w:rPr>
          <w:rFonts w:eastAsia="Calibri"/>
          <w:b/>
          <w:bCs/>
          <w:sz w:val="20"/>
          <w:szCs w:val="20"/>
          <w:lang w:eastAsia="en-US"/>
        </w:rPr>
        <w:t>Código Único de Medicamentos (CUM) e Identificador Único de Medicamento (IUM):</w:t>
      </w:r>
      <w:r w:rsidRPr="009A6DBD">
        <w:rPr>
          <w:rFonts w:eastAsia="Calibri"/>
          <w:bCs/>
          <w:sz w:val="20"/>
          <w:szCs w:val="20"/>
          <w:lang w:eastAsia="en-US"/>
        </w:rPr>
        <w:t xml:space="preserve"> corresponden a los identificadores utilizados para los medicamentos, de acuerdo con la información presentada en el documento y las referencias allí señaladas.</w:t>
      </w:r>
    </w:p>
    <w:p w14:paraId="058EC2FB" w14:textId="77777777" w:rsidR="009A6DBD" w:rsidRPr="009A6DBD" w:rsidRDefault="009A6DBD" w:rsidP="00716DEA">
      <w:pPr>
        <w:pStyle w:val="Normal0"/>
        <w:numPr>
          <w:ilvl w:val="0"/>
          <w:numId w:val="5"/>
        </w:numPr>
        <w:rPr>
          <w:rFonts w:eastAsia="Calibri"/>
          <w:bCs/>
          <w:sz w:val="20"/>
          <w:szCs w:val="20"/>
          <w:lang w:eastAsia="en-US"/>
        </w:rPr>
      </w:pPr>
      <w:r w:rsidRPr="00CB52D1">
        <w:rPr>
          <w:rFonts w:eastAsia="Calibri"/>
          <w:b/>
          <w:bCs/>
          <w:sz w:val="20"/>
          <w:szCs w:val="20"/>
          <w:lang w:eastAsia="en-US"/>
        </w:rPr>
        <w:t>Dispositivos médicos e insumos:</w:t>
      </w:r>
      <w:r w:rsidRPr="009A6DBD">
        <w:rPr>
          <w:rFonts w:eastAsia="Calibri"/>
          <w:bCs/>
          <w:sz w:val="20"/>
          <w:szCs w:val="20"/>
          <w:lang w:eastAsia="en-US"/>
        </w:rPr>
        <w:t xml:space="preserve"> el documento señala que, mientras no exista una codificación única definida para estos elementos, las partes que suscriben el acuerdo pueden establecer su identificación de manera conjunta.</w:t>
      </w:r>
    </w:p>
    <w:p w14:paraId="1E173BB6" w14:textId="77777777" w:rsidR="00CB52D1" w:rsidRDefault="00CB52D1" w:rsidP="009A6DBD">
      <w:pPr>
        <w:pStyle w:val="Normal0"/>
        <w:rPr>
          <w:rFonts w:eastAsia="Calibri"/>
          <w:bCs/>
          <w:sz w:val="20"/>
          <w:szCs w:val="20"/>
          <w:lang w:eastAsia="en-US"/>
        </w:rPr>
      </w:pPr>
    </w:p>
    <w:p w14:paraId="5DC7D62B" w14:textId="6682AE5F" w:rsidR="009A6DBD" w:rsidRPr="009A6DBD" w:rsidRDefault="00CB52D1" w:rsidP="00CB52D1">
      <w:pPr>
        <w:pStyle w:val="Normal0"/>
        <w:jc w:val="center"/>
        <w:rPr>
          <w:rFonts w:eastAsia="Calibri"/>
          <w:bCs/>
          <w:sz w:val="20"/>
          <w:szCs w:val="20"/>
          <w:lang w:eastAsia="en-US"/>
        </w:rPr>
      </w:pPr>
      <w:r w:rsidRPr="00CB52D1">
        <w:rPr>
          <w:rFonts w:eastAsia="Calibri"/>
          <w:bCs/>
          <w:noProof/>
          <w:sz w:val="20"/>
          <w:szCs w:val="20"/>
          <w:lang w:val="en-US" w:eastAsia="en-US"/>
        </w:rPr>
        <mc:AlternateContent>
          <mc:Choice Requires="wps">
            <w:drawing>
              <wp:inline distT="0" distB="0" distL="0" distR="0" wp14:anchorId="78E5ABE0" wp14:editId="2B208589">
                <wp:extent cx="6134100" cy="1404620"/>
                <wp:effectExtent l="0" t="0" r="0" b="0"/>
                <wp:docPr id="6"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134100" cy="1404620"/>
                        </a:xfrm>
                        <a:prstGeom prst="rect">
                          <a:avLst/>
                        </a:prstGeom>
                        <a:solidFill>
                          <a:schemeClr val="accent1">
                            <a:lumMod val="40000"/>
                            <a:lumOff val="60000"/>
                          </a:schemeClr>
                        </a:solidFill>
                        <a:ln w="9525">
                          <a:noFill/>
                          <a:miter lim="800000"/>
                          <a:headEnd/>
                          <a:tailEnd/>
                        </a:ln>
                      </wps:spPr>
                      <wps:txbx>
                        <w:txbxContent>
                          <w:p w14:paraId="582AEC46" w14:textId="089B6439" w:rsidR="00877F3E" w:rsidRPr="00CB52D1" w:rsidRDefault="00877F3E" w:rsidP="00CB52D1">
                            <w:pPr>
                              <w:pStyle w:val="Normal0"/>
                              <w:rPr>
                                <w:rFonts w:eastAsia="Calibri"/>
                                <w:b/>
                                <w:bCs/>
                                <w:sz w:val="20"/>
                                <w:szCs w:val="20"/>
                                <w:lang w:eastAsia="en-US"/>
                              </w:rPr>
                            </w:pPr>
                            <w:r w:rsidRPr="00CB52D1">
                              <w:rPr>
                                <w:rFonts w:eastAsia="Calibri"/>
                                <w:b/>
                                <w:bCs/>
                                <w:sz w:val="20"/>
                                <w:szCs w:val="20"/>
                                <w:lang w:eastAsia="en-US"/>
                              </w:rPr>
                              <w:t>Actualización de los códigos</w:t>
                            </w:r>
                          </w:p>
                          <w:p w14:paraId="01B72448" w14:textId="77777777" w:rsidR="00877F3E" w:rsidRPr="009A6DBD" w:rsidRDefault="00877F3E" w:rsidP="00CB52D1">
                            <w:pPr>
                              <w:pStyle w:val="Normal0"/>
                              <w:rPr>
                                <w:rFonts w:eastAsia="Calibri"/>
                                <w:bCs/>
                                <w:sz w:val="20"/>
                                <w:szCs w:val="20"/>
                                <w:lang w:eastAsia="en-US"/>
                              </w:rPr>
                            </w:pPr>
                          </w:p>
                          <w:p w14:paraId="59B7843B" w14:textId="3F4DB70D" w:rsidR="00877F3E" w:rsidRDefault="00D7262C" w:rsidP="00CB52D1">
                            <w:pPr>
                              <w:pStyle w:val="Normal0"/>
                              <w:rPr>
                                <w:rFonts w:eastAsia="Calibri"/>
                                <w:bCs/>
                                <w:sz w:val="20"/>
                                <w:szCs w:val="20"/>
                                <w:lang w:eastAsia="en-US"/>
                              </w:rPr>
                            </w:pPr>
                            <w:r w:rsidRPr="00D7262C">
                              <w:rPr>
                                <w:rFonts w:eastAsia="Calibri"/>
                                <w:bCs/>
                                <w:sz w:val="20"/>
                                <w:szCs w:val="20"/>
                                <w:lang w:eastAsia="en-US"/>
                              </w:rPr>
                              <w:t xml:space="preserve">Los códigos y las tablas de referencia pueden presentar modificaciones. Por ello, el documento recomienda verificar la información histórica frente a la clasificación vigente antes de elaborar el listado definitivo de servicios y tecnologías. En el caso de los procedimientos, debe consultarse la </w:t>
                            </w:r>
                            <w:r w:rsidRPr="00D7262C">
                              <w:rPr>
                                <w:rFonts w:eastAsia="Calibri"/>
                                <w:b/>
                                <w:bCs/>
                                <w:sz w:val="20"/>
                                <w:szCs w:val="20"/>
                                <w:lang w:eastAsia="en-US"/>
                              </w:rPr>
                              <w:t>Clasificación Única de Procedimientos en Salud (CUPS)</w:t>
                            </w:r>
                            <w:r w:rsidRPr="00D7262C">
                              <w:rPr>
                                <w:rFonts w:eastAsia="Calibri"/>
                                <w:bCs/>
                                <w:sz w:val="20"/>
                                <w:szCs w:val="20"/>
                                <w:lang w:eastAsia="en-US"/>
                              </w:rPr>
                              <w:t xml:space="preserve"> vigente, de acuerdo con la normativa aplicable.</w:t>
                            </w:r>
                          </w:p>
                          <w:p w14:paraId="23744949" w14:textId="77777777" w:rsidR="00D7262C" w:rsidRPr="009A6DBD" w:rsidRDefault="00D7262C" w:rsidP="00CB52D1">
                            <w:pPr>
                              <w:pStyle w:val="Normal0"/>
                              <w:rPr>
                                <w:rFonts w:eastAsia="Calibri"/>
                                <w:bCs/>
                                <w:sz w:val="20"/>
                                <w:szCs w:val="20"/>
                                <w:lang w:eastAsia="en-US"/>
                              </w:rPr>
                            </w:pPr>
                          </w:p>
                          <w:p w14:paraId="7F905191" w14:textId="19AFB349" w:rsidR="00877F3E" w:rsidRDefault="00877F3E" w:rsidP="00CB52D1">
                            <w:r w:rsidRPr="009A6DBD">
                              <w:rPr>
                                <w:rFonts w:eastAsia="Calibri"/>
                                <w:bCs/>
                                <w:sz w:val="20"/>
                                <w:szCs w:val="20"/>
                                <w:lang w:eastAsia="en-US"/>
                              </w:rPr>
                              <w:t>Esta verificación resulta relevante porque un código puede haber sido modificado, dividido o retirado de una clasificación posterior. En consecuencia, utilizar códigos desactualizados puede afectar la identificación de los servicios y tecnologías incluidos en la nota técnica y generar dificultades en los procesos posteriores de seguimiento y facturación</w:t>
                            </w:r>
                            <w:r>
                              <w:rPr>
                                <w:rFonts w:eastAsia="Calibri"/>
                                <w:bCs/>
                                <w:sz w:val="20"/>
                                <w:szCs w:val="20"/>
                                <w:lang w:eastAsia="en-US"/>
                              </w:rPr>
                              <w:t>.</w:t>
                            </w:r>
                          </w:p>
                        </w:txbxContent>
                      </wps:txbx>
                      <wps:bodyPr rot="0" vert="horz" wrap="square" lIns="91440" tIns="45720" rIns="91440" bIns="45720" anchor="t" anchorCtr="0">
                        <a:spAutoFit/>
                      </wps:bodyPr>
                    </wps:wsp>
                  </a:graphicData>
                </a:graphic>
              </wp:inline>
            </w:drawing>
          </mc:Choice>
          <mc:Fallback>
            <w:pict>
              <v:shape w14:anchorId="78E5ABE0" id="_x0000_s1030" type="#_x0000_t202" style="width:483pt;height:110.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" fillcolor="#b8cce4 [1300]" stroked="f">
                <v:textbox style="mso-fit-shape-to-text:t">
                  <w:txbxContent>
                    <w:p w14:paraId="582AEC46" w14:textId="089B6439" w:rsidR="00877F3E" w:rsidRPr="00CB52D1" w:rsidRDefault="00877F3E" w:rsidP="00CB52D1">
                      <w:pPr>
                        <w:pStyle w:val="Normal0"/>
                        <w:rPr>
                          <w:rFonts w:eastAsia="Calibri"/>
                          <w:b/>
                          <w:bCs/>
                          <w:sz w:val="20"/>
                          <w:szCs w:val="20"/>
                          <w:lang w:eastAsia="en-US"/>
                        </w:rPr>
                      </w:pPr>
                      <w:r w:rsidRPr="00CB52D1">
                        <w:rPr>
                          <w:rFonts w:eastAsia="Calibri"/>
                          <w:b/>
                          <w:bCs/>
                          <w:sz w:val="20"/>
                          <w:szCs w:val="20"/>
                          <w:lang w:eastAsia="en-US"/>
                        </w:rPr>
                        <w:t>Actualización de los códigos</w:t>
                      </w:r>
                    </w:p>
                    <w:p w14:paraId="01B72448" w14:textId="77777777" w:rsidR="00877F3E" w:rsidRPr="009A6DBD" w:rsidRDefault="00877F3E" w:rsidP="00CB52D1">
                      <w:pPr>
                        <w:pStyle w:val="Normal0"/>
                        <w:rPr>
                          <w:rFonts w:eastAsia="Calibri"/>
                          <w:bCs/>
                          <w:sz w:val="20"/>
                          <w:szCs w:val="20"/>
                          <w:lang w:eastAsia="en-US"/>
                        </w:rPr>
                      </w:pPr>
                    </w:p>
                    <w:p w14:paraId="59B7843B" w14:textId="3F4DB70D" w:rsidR="00877F3E" w:rsidRDefault="00D7262C" w:rsidP="00CB52D1">
                      <w:pPr>
                        <w:pStyle w:val="Normal0"/>
                        <w:rPr>
                          <w:rFonts w:eastAsia="Calibri"/>
                          <w:bCs/>
                          <w:sz w:val="20"/>
                          <w:szCs w:val="20"/>
                          <w:lang w:eastAsia="en-US"/>
                        </w:rPr>
                      </w:pPr>
                      <w:r w:rsidRPr="00D7262C">
                        <w:rPr>
                          <w:rFonts w:eastAsia="Calibri"/>
                          <w:bCs/>
                          <w:sz w:val="20"/>
                          <w:szCs w:val="20"/>
                          <w:lang w:eastAsia="en-US"/>
                        </w:rPr>
                        <w:t xml:space="preserve">Los códigos y las tablas de referencia pueden presentar modificaciones. Por ello, el documento recomienda verificar la información histórica frente a la clasificación vigente antes de elaborar el listado definitivo de servicios y tecnologías. En el caso de los procedimientos, debe consultarse la </w:t>
                      </w:r>
                      <w:r w:rsidRPr="00D7262C">
                        <w:rPr>
                          <w:rFonts w:eastAsia="Calibri"/>
                          <w:b/>
                          <w:bCs/>
                          <w:sz w:val="20"/>
                          <w:szCs w:val="20"/>
                          <w:lang w:eastAsia="en-US"/>
                        </w:rPr>
                        <w:t>Clasificación Única de Procedimientos en Salud (CUPS)</w:t>
                      </w:r>
                      <w:r w:rsidRPr="00D7262C">
                        <w:rPr>
                          <w:rFonts w:eastAsia="Calibri"/>
                          <w:bCs/>
                          <w:sz w:val="20"/>
                          <w:szCs w:val="20"/>
                          <w:lang w:eastAsia="en-US"/>
                        </w:rPr>
                        <w:t xml:space="preserve"> vigente, de acuerdo con la normativa aplicable.</w:t>
                      </w:r>
                    </w:p>
                    <w:p w14:paraId="23744949" w14:textId="77777777" w:rsidR="00D7262C" w:rsidRPr="009A6DBD" w:rsidRDefault="00D7262C" w:rsidP="00CB52D1">
                      <w:pPr>
                        <w:pStyle w:val="Normal0"/>
                        <w:rPr>
                          <w:rFonts w:eastAsia="Calibri"/>
                          <w:bCs/>
                          <w:sz w:val="20"/>
                          <w:szCs w:val="20"/>
                          <w:lang w:eastAsia="en-US"/>
                        </w:rPr>
                      </w:pPr>
                    </w:p>
                    <w:p w14:paraId="7F905191" w14:textId="19AFB349" w:rsidR="00877F3E" w:rsidRDefault="00877F3E" w:rsidP="00CB52D1">
                      <w:r w:rsidRPr="009A6DBD">
                        <w:rPr>
                          <w:rFonts w:eastAsia="Calibri"/>
                          <w:bCs/>
                          <w:sz w:val="20"/>
                          <w:szCs w:val="20"/>
                          <w:lang w:eastAsia="en-US"/>
                        </w:rPr>
                        <w:t>Esta verificación resulta relevante porque un código puede haber sido modificado, dividido o retirado de una clasificación posterior. En consecuencia, utilizar códigos desactualizados puede afectar la identificación de los servicios y tecnologías incluidos en la nota técnica y generar dificultades en los procesos posteriores de seguimiento y facturación</w:t>
                      </w:r>
                      <w:r>
                        <w:rPr>
                          <w:rFonts w:eastAsia="Calibri"/>
                          <w:bCs/>
                          <w:sz w:val="20"/>
                          <w:szCs w:val="20"/>
                          <w:lang w:eastAsia="en-US"/>
                        </w:rPr>
                        <w:t>.</w:t>
                      </w:r>
                    </w:p>
                  </w:txbxContent>
                </v:textbox>
                <w10:anchorlock/>
              </v:shape>
            </w:pict>
          </mc:Fallback>
        </mc:AlternateContent>
      </w:r>
    </w:p>
    <w:p w14:paraId="509CEC89" w14:textId="77777777" w:rsidR="00D7262C" w:rsidRPr="009A6DBD" w:rsidRDefault="00D7262C" w:rsidP="009A6DBD">
      <w:pPr>
        <w:pStyle w:val="Normal0"/>
        <w:rPr>
          <w:rFonts w:eastAsia="Calibri"/>
          <w:bCs/>
          <w:sz w:val="20"/>
          <w:szCs w:val="20"/>
          <w:lang w:eastAsia="en-US"/>
        </w:rPr>
      </w:pPr>
    </w:p>
    <w:p w14:paraId="2D6B3133" w14:textId="25556C74" w:rsidR="009A6DBD" w:rsidRDefault="009A6DBD" w:rsidP="009A6DBD">
      <w:pPr>
        <w:pStyle w:val="Normal0"/>
        <w:rPr>
          <w:rFonts w:eastAsia="Calibri"/>
          <w:bCs/>
          <w:sz w:val="20"/>
          <w:szCs w:val="20"/>
          <w:lang w:eastAsia="en-US"/>
        </w:rPr>
      </w:pPr>
      <w:r w:rsidRPr="009A6DBD">
        <w:rPr>
          <w:rFonts w:eastAsia="Calibri"/>
          <w:bCs/>
          <w:sz w:val="20"/>
          <w:szCs w:val="20"/>
          <w:lang w:eastAsia="en-US"/>
        </w:rPr>
        <w:t>En la construcción de la nota técnica, la identificación y codificación de los servicios y tecnologías debe realizarse a partir de las tablas y referencias vigentes, de manera que la información utilizada corresponda al objeto del acuerdo de voluntades y pueda ser reconocida de forma estandarizada por las partes.</w:t>
      </w:r>
    </w:p>
    <w:p w14:paraId="56DC4F3A" w14:textId="5032A91A" w:rsidR="009A6DBD" w:rsidRDefault="009A6DBD" w:rsidP="009A6DBD">
      <w:pPr>
        <w:pStyle w:val="Normal0"/>
        <w:rPr>
          <w:rFonts w:eastAsia="Calibri"/>
          <w:bCs/>
          <w:sz w:val="20"/>
          <w:szCs w:val="20"/>
          <w:lang w:eastAsia="en-US"/>
        </w:rPr>
      </w:pPr>
    </w:p>
    <w:p w14:paraId="428E391D" w14:textId="77777777" w:rsidR="00765F83" w:rsidRPr="00FC3304" w:rsidRDefault="00765F83" w:rsidP="009A6DBD">
      <w:pPr>
        <w:pStyle w:val="Normal0"/>
        <w:rPr>
          <w:rFonts w:eastAsia="Calibri"/>
          <w:bCs/>
          <w:sz w:val="20"/>
          <w:szCs w:val="20"/>
          <w:lang w:eastAsia="en-US"/>
        </w:rPr>
      </w:pPr>
    </w:p>
    <w:p w14:paraId="58CA9A8C" w14:textId="79B1514A" w:rsidR="00AD590A" w:rsidRDefault="00AD590A" w:rsidP="009723E7">
      <w:pPr>
        <w:pStyle w:val="Normal0"/>
        <w:numPr>
          <w:ilvl w:val="0"/>
          <w:numId w:val="27"/>
        </w:numPr>
        <w:rPr>
          <w:rFonts w:eastAsia="Calibri"/>
          <w:b/>
          <w:bCs/>
          <w:sz w:val="20"/>
          <w:szCs w:val="20"/>
          <w:lang w:eastAsia="en-US"/>
        </w:rPr>
      </w:pPr>
      <w:r w:rsidRPr="000D04CD">
        <w:rPr>
          <w:rFonts w:eastAsia="Calibri"/>
          <w:b/>
          <w:bCs/>
          <w:sz w:val="20"/>
          <w:szCs w:val="20"/>
          <w:lang w:eastAsia="en-US"/>
        </w:rPr>
        <w:t>Análisis de la información en salud</w:t>
      </w:r>
    </w:p>
    <w:p w14:paraId="22888D57" w14:textId="6BA2FAB9" w:rsidR="004D71C3" w:rsidRDefault="004D71C3" w:rsidP="004D71C3">
      <w:pPr>
        <w:pStyle w:val="Normal0"/>
        <w:rPr>
          <w:rFonts w:eastAsia="Calibri"/>
          <w:b/>
          <w:bCs/>
          <w:sz w:val="20"/>
          <w:szCs w:val="20"/>
          <w:lang w:eastAsia="en-US"/>
        </w:rPr>
      </w:pPr>
    </w:p>
    <w:p w14:paraId="6FB05A98" w14:textId="77777777" w:rsidR="004D71C3" w:rsidRPr="004D71C3" w:rsidRDefault="004D71C3" w:rsidP="004D71C3">
      <w:pPr>
        <w:pStyle w:val="Normal0"/>
        <w:rPr>
          <w:rFonts w:eastAsia="Calibri"/>
          <w:bCs/>
          <w:sz w:val="20"/>
          <w:szCs w:val="20"/>
          <w:lang w:eastAsia="en-US"/>
        </w:rPr>
      </w:pPr>
      <w:r w:rsidRPr="004D71C3">
        <w:rPr>
          <w:rFonts w:eastAsia="Calibri"/>
          <w:bCs/>
          <w:sz w:val="20"/>
          <w:szCs w:val="20"/>
          <w:lang w:eastAsia="en-US"/>
        </w:rPr>
        <w:t>La construcción de una nota técnica requiere información que permita sustentar las estimaciones relacionadas con la población, las necesidades de atención, la utilización de los servicios y tecnologías en salud y las condiciones en las que se desarrolla la prestación. Por esta razón, el análisis de información constituye una etapa fundamental para transformar los datos disponibles en insumos que permitan realizar proyecciones acordes con las características de la población objeto.</w:t>
      </w:r>
    </w:p>
    <w:p w14:paraId="5B907ED1" w14:textId="77777777" w:rsidR="004D71C3" w:rsidRPr="004D71C3" w:rsidRDefault="004D71C3" w:rsidP="004D71C3">
      <w:pPr>
        <w:pStyle w:val="Normal0"/>
        <w:rPr>
          <w:rFonts w:eastAsia="Calibri"/>
          <w:bCs/>
          <w:sz w:val="20"/>
          <w:szCs w:val="20"/>
          <w:lang w:eastAsia="en-US"/>
        </w:rPr>
      </w:pPr>
    </w:p>
    <w:p w14:paraId="515DECAB" w14:textId="77777777" w:rsidR="004D71C3" w:rsidRPr="004D71C3" w:rsidRDefault="004D71C3" w:rsidP="004D71C3">
      <w:pPr>
        <w:pStyle w:val="Normal0"/>
        <w:rPr>
          <w:rFonts w:eastAsia="Calibri"/>
          <w:bCs/>
          <w:sz w:val="20"/>
          <w:szCs w:val="20"/>
          <w:lang w:eastAsia="en-US"/>
        </w:rPr>
      </w:pPr>
      <w:r w:rsidRPr="004D71C3">
        <w:rPr>
          <w:rFonts w:eastAsia="Calibri"/>
          <w:bCs/>
          <w:sz w:val="20"/>
          <w:szCs w:val="20"/>
          <w:lang w:eastAsia="en-US"/>
        </w:rPr>
        <w:t xml:space="preserve">Las fuentes de información del sector salud aportan datos desde diferentes perspectivas. Algunas permiten identificar la población y sus condiciones de afiliación; otras contienen información sobre las atenciones </w:t>
      </w:r>
      <w:r w:rsidRPr="004D71C3">
        <w:rPr>
          <w:rFonts w:eastAsia="Calibri"/>
          <w:bCs/>
          <w:sz w:val="20"/>
          <w:szCs w:val="20"/>
          <w:lang w:eastAsia="en-US"/>
        </w:rPr>
        <w:lastRenderedPageBreak/>
        <w:t>efectivamente realizadas, los eventos de interés en salud pública, las condiciones de salud o el comportamiento de determinadas enfermedades y grupos de riesgo. La integración de estas fuentes permite obtener una visión más completa de la población y reducir el riesgo de realizar estimaciones a partir de una única fuente de información.</w:t>
      </w:r>
    </w:p>
    <w:p w14:paraId="1B4D46AC" w14:textId="77777777" w:rsidR="004D71C3" w:rsidRPr="004D71C3" w:rsidRDefault="004D71C3" w:rsidP="004D71C3">
      <w:pPr>
        <w:pStyle w:val="Normal0"/>
        <w:rPr>
          <w:rFonts w:eastAsia="Calibri"/>
          <w:bCs/>
          <w:sz w:val="20"/>
          <w:szCs w:val="20"/>
          <w:lang w:eastAsia="en-US"/>
        </w:rPr>
      </w:pPr>
    </w:p>
    <w:p w14:paraId="7E9CF332" w14:textId="77777777" w:rsidR="004D71C3" w:rsidRPr="004D71C3" w:rsidRDefault="004D71C3" w:rsidP="004D71C3">
      <w:pPr>
        <w:pStyle w:val="Normal0"/>
        <w:rPr>
          <w:rFonts w:eastAsia="Calibri"/>
          <w:bCs/>
          <w:sz w:val="20"/>
          <w:szCs w:val="20"/>
          <w:lang w:eastAsia="en-US"/>
        </w:rPr>
      </w:pPr>
      <w:r w:rsidRPr="004D71C3">
        <w:rPr>
          <w:rFonts w:eastAsia="Calibri"/>
          <w:bCs/>
          <w:sz w:val="20"/>
          <w:szCs w:val="20"/>
          <w:lang w:eastAsia="en-US"/>
        </w:rPr>
        <w:t>A partir de la información disponible, es posible analizar el comportamiento histórico de los servicios y tecnologías utilizados, establecer frecuencias de uso y reconocer diferencias asociadas con las características de la población o con las condiciones operativas de la prestación. Este análisis constituye un insumo para proyectar las necesidades esperadas durante el periodo de vigencia del acuerdo de voluntades.</w:t>
      </w:r>
    </w:p>
    <w:p w14:paraId="662AC6A3" w14:textId="77777777" w:rsidR="004D71C3" w:rsidRPr="004D71C3" w:rsidRDefault="004D71C3" w:rsidP="004D71C3">
      <w:pPr>
        <w:pStyle w:val="Normal0"/>
        <w:rPr>
          <w:rFonts w:eastAsia="Calibri"/>
          <w:bCs/>
          <w:sz w:val="20"/>
          <w:szCs w:val="20"/>
          <w:lang w:eastAsia="en-US"/>
        </w:rPr>
      </w:pPr>
    </w:p>
    <w:p w14:paraId="121356A0" w14:textId="77777777" w:rsidR="004D71C3" w:rsidRPr="004D71C3" w:rsidRDefault="004D71C3" w:rsidP="004D71C3">
      <w:pPr>
        <w:pStyle w:val="Normal0"/>
        <w:rPr>
          <w:rFonts w:eastAsia="Calibri"/>
          <w:bCs/>
          <w:sz w:val="20"/>
          <w:szCs w:val="20"/>
          <w:lang w:eastAsia="en-US"/>
        </w:rPr>
      </w:pPr>
      <w:r w:rsidRPr="004D71C3">
        <w:rPr>
          <w:rFonts w:eastAsia="Calibri"/>
          <w:bCs/>
          <w:sz w:val="20"/>
          <w:szCs w:val="20"/>
          <w:lang w:eastAsia="en-US"/>
        </w:rPr>
        <w:t>Asimismo, el análisis debe considerar la relación entre la oferta y la demanda de servicios de salud. La información sobre los servicios disponibles, la capacidad de prestación y las atenciones efectivamente realizadas permite identificar condiciones que pueden influir en el comportamiento observado y que deben tenerse en cuenta al interpretar los datos utilizados para la construcción de la nota técnica.</w:t>
      </w:r>
    </w:p>
    <w:p w14:paraId="5C66DE95" w14:textId="6531F23D" w:rsidR="004D71C3" w:rsidRPr="004D71C3" w:rsidRDefault="004D71C3" w:rsidP="004D71C3">
      <w:pPr>
        <w:pStyle w:val="Normal0"/>
        <w:rPr>
          <w:rFonts w:eastAsia="Calibri"/>
          <w:bCs/>
          <w:sz w:val="20"/>
          <w:szCs w:val="20"/>
          <w:lang w:eastAsia="en-US"/>
        </w:rPr>
      </w:pPr>
    </w:p>
    <w:p w14:paraId="6F97C679" w14:textId="26FF4131" w:rsidR="00AD590A" w:rsidRPr="00902A5B" w:rsidRDefault="00AD590A" w:rsidP="009723E7">
      <w:pPr>
        <w:pStyle w:val="Normal0"/>
        <w:numPr>
          <w:ilvl w:val="1"/>
          <w:numId w:val="27"/>
        </w:numPr>
        <w:rPr>
          <w:rFonts w:eastAsia="Calibri"/>
          <w:b/>
          <w:bCs/>
          <w:sz w:val="20"/>
          <w:szCs w:val="20"/>
          <w:lang w:eastAsia="en-US"/>
        </w:rPr>
      </w:pPr>
      <w:r w:rsidRPr="00902A5B">
        <w:rPr>
          <w:rFonts w:eastAsia="Calibri"/>
          <w:b/>
          <w:bCs/>
          <w:sz w:val="20"/>
          <w:szCs w:val="20"/>
          <w:lang w:eastAsia="en-US"/>
        </w:rPr>
        <w:t>Fuentes de información del sector salud</w:t>
      </w:r>
    </w:p>
    <w:p w14:paraId="2974C893" w14:textId="003F65BB" w:rsidR="00902A5B" w:rsidRDefault="00902A5B" w:rsidP="00902A5B">
      <w:pPr>
        <w:pStyle w:val="Normal0"/>
        <w:rPr>
          <w:rFonts w:eastAsia="Calibri"/>
          <w:bCs/>
          <w:sz w:val="20"/>
          <w:szCs w:val="20"/>
          <w:lang w:eastAsia="en-US"/>
        </w:rPr>
      </w:pPr>
    </w:p>
    <w:p w14:paraId="0EF27FB9" w14:textId="77777777" w:rsidR="008D167C" w:rsidRPr="008D167C" w:rsidRDefault="008D167C" w:rsidP="008D167C">
      <w:pPr>
        <w:pStyle w:val="Normal0"/>
        <w:rPr>
          <w:rFonts w:eastAsia="Calibri"/>
          <w:bCs/>
          <w:sz w:val="20"/>
          <w:szCs w:val="20"/>
          <w:lang w:eastAsia="en-US"/>
        </w:rPr>
      </w:pPr>
      <w:r w:rsidRPr="008D167C">
        <w:rPr>
          <w:rFonts w:eastAsia="Calibri"/>
          <w:bCs/>
          <w:sz w:val="20"/>
          <w:szCs w:val="20"/>
          <w:lang w:eastAsia="en-US"/>
        </w:rPr>
        <w:t>La construcción de la nota técnica requiere información que permita caracterizar la población objeto, identificar sus necesidades de atención, analizar las condiciones de salud y establecer el comportamiento de los servicios y tecnologías utilizados. Para ello, se dispone de diferentes fuentes de información del sector salud, cada una de las cuales aporta datos que pueden complementar el análisis.</w:t>
      </w:r>
    </w:p>
    <w:p w14:paraId="081AA02C" w14:textId="77777777" w:rsidR="008D167C" w:rsidRPr="008D167C" w:rsidRDefault="008D167C" w:rsidP="008D167C">
      <w:pPr>
        <w:pStyle w:val="Normal0"/>
        <w:rPr>
          <w:rFonts w:eastAsia="Calibri"/>
          <w:bCs/>
          <w:sz w:val="20"/>
          <w:szCs w:val="20"/>
          <w:lang w:eastAsia="en-US"/>
        </w:rPr>
      </w:pPr>
    </w:p>
    <w:p w14:paraId="007F61CC" w14:textId="77777777" w:rsidR="008D167C" w:rsidRPr="008D167C" w:rsidRDefault="008D167C" w:rsidP="008D167C">
      <w:pPr>
        <w:pStyle w:val="Normal0"/>
        <w:rPr>
          <w:rFonts w:eastAsia="Calibri"/>
          <w:bCs/>
          <w:sz w:val="20"/>
          <w:szCs w:val="20"/>
          <w:lang w:eastAsia="en-US"/>
        </w:rPr>
      </w:pPr>
      <w:r w:rsidRPr="008D167C">
        <w:rPr>
          <w:rFonts w:eastAsia="Calibri"/>
          <w:bCs/>
          <w:sz w:val="20"/>
          <w:szCs w:val="20"/>
          <w:lang w:eastAsia="en-US"/>
        </w:rPr>
        <w:t>Entre las principales fuentes se encuentran el Sistema Integrado de Información de la Protección Social (SISPRO), el Registro Individual de Prestación de Servicios de Salud (RIPS), la Base de Datos Única de Afiliados (BDUA), el Sistema de Vigilancia en Salud Pública (SIVIGILA), la Cuenta de Alto Costo (CAC) y la información relacionada con la caracterización poblacional y el Análisis de Situación de Salud (ASIS).</w:t>
      </w:r>
    </w:p>
    <w:p w14:paraId="31D79039" w14:textId="77777777" w:rsidR="008D167C" w:rsidRPr="008D167C" w:rsidRDefault="008D167C" w:rsidP="008D167C">
      <w:pPr>
        <w:pStyle w:val="Normal0"/>
        <w:rPr>
          <w:rFonts w:eastAsia="Calibri"/>
          <w:bCs/>
          <w:sz w:val="20"/>
          <w:szCs w:val="20"/>
          <w:lang w:eastAsia="en-US"/>
        </w:rPr>
      </w:pPr>
    </w:p>
    <w:p w14:paraId="3104399F" w14:textId="67284EC4" w:rsidR="008D167C" w:rsidRPr="008D167C" w:rsidRDefault="008D167C" w:rsidP="00765F83">
      <w:pPr>
        <w:pStyle w:val="Normal0"/>
        <w:numPr>
          <w:ilvl w:val="0"/>
          <w:numId w:val="6"/>
        </w:numPr>
        <w:rPr>
          <w:rFonts w:eastAsia="Calibri"/>
          <w:bCs/>
          <w:sz w:val="20"/>
          <w:szCs w:val="20"/>
          <w:lang w:eastAsia="en-US"/>
        </w:rPr>
      </w:pPr>
      <w:r w:rsidRPr="00412667">
        <w:rPr>
          <w:rFonts w:eastAsia="Calibri"/>
          <w:b/>
          <w:bCs/>
          <w:sz w:val="20"/>
          <w:szCs w:val="20"/>
          <w:lang w:eastAsia="en-US"/>
        </w:rPr>
        <w:t>Sistema Integrado de Información de la Protección Social (SISPRO)</w:t>
      </w:r>
      <w:r w:rsidR="00412667" w:rsidRPr="00412667">
        <w:rPr>
          <w:rFonts w:eastAsia="Calibri"/>
          <w:b/>
          <w:bCs/>
          <w:sz w:val="20"/>
          <w:szCs w:val="20"/>
          <w:lang w:eastAsia="en-US"/>
        </w:rPr>
        <w:t>:</w:t>
      </w:r>
      <w:r w:rsidR="00412667">
        <w:rPr>
          <w:rFonts w:eastAsia="Calibri"/>
          <w:bCs/>
          <w:sz w:val="20"/>
          <w:szCs w:val="20"/>
          <w:lang w:eastAsia="en-US"/>
        </w:rPr>
        <w:t xml:space="preserve"> </w:t>
      </w:r>
      <w:r w:rsidRPr="008D167C">
        <w:rPr>
          <w:rFonts w:eastAsia="Calibri"/>
          <w:bCs/>
          <w:sz w:val="20"/>
          <w:szCs w:val="20"/>
          <w:lang w:eastAsia="en-US"/>
        </w:rPr>
        <w:t>integra información proveniente de diferentes registros del sector salud y proporciona datos relacionados con la población, la afiliación, la prestación de servicios y las condiciones de salud. Su consulta permite disponer de información para caracterizar la población y apoyar el análisis requerido en la construcción de la nota técnica.</w:t>
      </w:r>
      <w:r w:rsidR="00765F83">
        <w:rPr>
          <w:rFonts w:eastAsia="Calibri"/>
          <w:bCs/>
          <w:sz w:val="20"/>
          <w:szCs w:val="20"/>
          <w:lang w:eastAsia="en-US"/>
        </w:rPr>
        <w:t xml:space="preserve"> Para mayor información acceder a: </w:t>
      </w:r>
      <w:hyperlink r:id="rId27" w:history="1">
        <w:r w:rsidR="00765F83" w:rsidRPr="00A34FA6">
          <w:rPr>
            <w:rStyle w:val="Hipervnculo"/>
            <w:rFonts w:eastAsia="Calibri"/>
            <w:bCs/>
            <w:sz w:val="20"/>
            <w:szCs w:val="20"/>
            <w:lang w:eastAsia="en-US"/>
          </w:rPr>
          <w:t>https://www.sispro.gov.co/Pages/Home.aspx</w:t>
        </w:r>
      </w:hyperlink>
      <w:r w:rsidR="00765F83">
        <w:rPr>
          <w:rFonts w:eastAsia="Calibri"/>
          <w:bCs/>
          <w:sz w:val="20"/>
          <w:szCs w:val="20"/>
          <w:lang w:eastAsia="en-US"/>
        </w:rPr>
        <w:t xml:space="preserve"> </w:t>
      </w:r>
    </w:p>
    <w:p w14:paraId="0A235079" w14:textId="77777777" w:rsidR="008D167C" w:rsidRPr="008D167C" w:rsidRDefault="008D167C" w:rsidP="008D167C">
      <w:pPr>
        <w:pStyle w:val="Normal0"/>
        <w:rPr>
          <w:rFonts w:eastAsia="Calibri"/>
          <w:bCs/>
          <w:sz w:val="20"/>
          <w:szCs w:val="20"/>
          <w:lang w:eastAsia="en-US"/>
        </w:rPr>
      </w:pPr>
    </w:p>
    <w:p w14:paraId="0CB0A78B" w14:textId="5CCA014B" w:rsidR="008D167C" w:rsidRPr="008D167C" w:rsidRDefault="008D167C" w:rsidP="00765F83">
      <w:pPr>
        <w:pStyle w:val="Normal0"/>
        <w:numPr>
          <w:ilvl w:val="0"/>
          <w:numId w:val="6"/>
        </w:numPr>
        <w:rPr>
          <w:rFonts w:eastAsia="Calibri"/>
          <w:bCs/>
          <w:sz w:val="20"/>
          <w:szCs w:val="20"/>
          <w:lang w:eastAsia="en-US"/>
        </w:rPr>
      </w:pPr>
      <w:r w:rsidRPr="00412667">
        <w:rPr>
          <w:rFonts w:eastAsia="Calibri"/>
          <w:b/>
          <w:bCs/>
          <w:sz w:val="20"/>
          <w:szCs w:val="20"/>
          <w:lang w:eastAsia="en-US"/>
        </w:rPr>
        <w:t>Registro Individual de Prestación de Servicios de Salud (RIPS)</w:t>
      </w:r>
      <w:r w:rsidR="00412667" w:rsidRPr="00412667">
        <w:rPr>
          <w:rFonts w:eastAsia="Calibri"/>
          <w:b/>
          <w:bCs/>
          <w:sz w:val="20"/>
          <w:szCs w:val="20"/>
          <w:lang w:eastAsia="en-US"/>
        </w:rPr>
        <w:t>:</w:t>
      </w:r>
      <w:r w:rsidRPr="008D167C">
        <w:rPr>
          <w:rFonts w:eastAsia="Calibri"/>
          <w:bCs/>
          <w:sz w:val="20"/>
          <w:szCs w:val="20"/>
          <w:lang w:eastAsia="en-US"/>
        </w:rPr>
        <w:t xml:space="preserve"> contiene información relacionada con las atenciones realizadas a los usuarios de los servicios de salud. Su análisis permite identificar el comportamiento histórico de la prestación y establecer las frecuencias de utilización de los servicios y tecnologías. Para este propósito, resulta necesario contar con información consistente y depurada.</w:t>
      </w:r>
      <w:r w:rsidR="00765F83">
        <w:rPr>
          <w:rFonts w:eastAsia="Calibri"/>
          <w:bCs/>
          <w:sz w:val="20"/>
          <w:szCs w:val="20"/>
          <w:lang w:eastAsia="en-US"/>
        </w:rPr>
        <w:t xml:space="preserve"> </w:t>
      </w:r>
      <w:r w:rsidR="00765F83">
        <w:rPr>
          <w:rFonts w:eastAsia="Calibri"/>
          <w:bCs/>
          <w:sz w:val="20"/>
          <w:szCs w:val="20"/>
          <w:lang w:eastAsia="en-US"/>
        </w:rPr>
        <w:t>Para mayor información acceder a:</w:t>
      </w:r>
      <w:r w:rsidR="00765F83">
        <w:rPr>
          <w:rFonts w:eastAsia="Calibri"/>
          <w:bCs/>
          <w:sz w:val="20"/>
          <w:szCs w:val="20"/>
          <w:lang w:eastAsia="en-US"/>
        </w:rPr>
        <w:t xml:space="preserve"> </w:t>
      </w:r>
      <w:hyperlink r:id="rId28" w:history="1">
        <w:r w:rsidR="00765F83" w:rsidRPr="00A34FA6">
          <w:rPr>
            <w:rStyle w:val="Hipervnculo"/>
            <w:rFonts w:eastAsia="Calibri"/>
            <w:bCs/>
            <w:sz w:val="20"/>
            <w:szCs w:val="20"/>
            <w:lang w:eastAsia="en-US"/>
          </w:rPr>
          <w:t>https://www.sispro.gov.co/central-financiamiento/Pages/facturacion-electronica.aspx</w:t>
        </w:r>
      </w:hyperlink>
      <w:r w:rsidR="00765F83">
        <w:rPr>
          <w:rFonts w:eastAsia="Calibri"/>
          <w:bCs/>
          <w:sz w:val="20"/>
          <w:szCs w:val="20"/>
          <w:lang w:eastAsia="en-US"/>
        </w:rPr>
        <w:t xml:space="preserve"> </w:t>
      </w:r>
    </w:p>
    <w:p w14:paraId="70182D20" w14:textId="77777777" w:rsidR="008D167C" w:rsidRPr="008D167C" w:rsidRDefault="008D167C" w:rsidP="008D167C">
      <w:pPr>
        <w:pStyle w:val="Normal0"/>
        <w:rPr>
          <w:rFonts w:eastAsia="Calibri"/>
          <w:bCs/>
          <w:sz w:val="20"/>
          <w:szCs w:val="20"/>
          <w:lang w:eastAsia="en-US"/>
        </w:rPr>
      </w:pPr>
    </w:p>
    <w:p w14:paraId="1C7352A6" w14:textId="16628FA9" w:rsidR="008D167C" w:rsidRPr="008D167C" w:rsidRDefault="008D167C" w:rsidP="00765F83">
      <w:pPr>
        <w:pStyle w:val="Normal0"/>
        <w:numPr>
          <w:ilvl w:val="0"/>
          <w:numId w:val="6"/>
        </w:numPr>
        <w:rPr>
          <w:rFonts w:eastAsia="Calibri"/>
          <w:bCs/>
          <w:sz w:val="20"/>
          <w:szCs w:val="20"/>
          <w:lang w:eastAsia="en-US"/>
        </w:rPr>
      </w:pPr>
      <w:r w:rsidRPr="00412667">
        <w:rPr>
          <w:rFonts w:eastAsia="Calibri"/>
          <w:b/>
          <w:bCs/>
          <w:sz w:val="20"/>
          <w:szCs w:val="20"/>
          <w:lang w:eastAsia="en-US"/>
        </w:rPr>
        <w:t>Base de Datos Única de Afiliados (BDUA)</w:t>
      </w:r>
      <w:r w:rsidR="00412667" w:rsidRPr="00412667">
        <w:rPr>
          <w:rFonts w:eastAsia="Calibri"/>
          <w:b/>
          <w:bCs/>
          <w:sz w:val="20"/>
          <w:szCs w:val="20"/>
          <w:lang w:eastAsia="en-US"/>
        </w:rPr>
        <w:t>:</w:t>
      </w:r>
      <w:r w:rsidR="00412667">
        <w:rPr>
          <w:rFonts w:eastAsia="Calibri"/>
          <w:bCs/>
          <w:sz w:val="20"/>
          <w:szCs w:val="20"/>
          <w:lang w:eastAsia="en-US"/>
        </w:rPr>
        <w:t xml:space="preserve"> </w:t>
      </w:r>
      <w:r w:rsidRPr="008D167C">
        <w:rPr>
          <w:rFonts w:eastAsia="Calibri"/>
          <w:bCs/>
          <w:sz w:val="20"/>
          <w:szCs w:val="20"/>
          <w:lang w:eastAsia="en-US"/>
        </w:rPr>
        <w:t>contiene información relacionada con la afiliación de las personas al Sistema General de Seguridad Social en Salud. Permite identificar aspectos como la población afiliada y el régimen al que pertenece, información que contribuye a delimitar y caracterizar la población objeto del acuerdo de voluntades.</w:t>
      </w:r>
      <w:r w:rsidR="00765F83">
        <w:rPr>
          <w:rFonts w:eastAsia="Calibri"/>
          <w:bCs/>
          <w:sz w:val="20"/>
          <w:szCs w:val="20"/>
          <w:lang w:eastAsia="en-US"/>
        </w:rPr>
        <w:t xml:space="preserve"> </w:t>
      </w:r>
      <w:r w:rsidR="00765F83">
        <w:rPr>
          <w:rFonts w:eastAsia="Calibri"/>
          <w:bCs/>
          <w:sz w:val="20"/>
          <w:szCs w:val="20"/>
          <w:lang w:eastAsia="en-US"/>
        </w:rPr>
        <w:t>Para mayor información acceder a:</w:t>
      </w:r>
      <w:r w:rsidR="00765F83">
        <w:rPr>
          <w:rFonts w:eastAsia="Calibri"/>
          <w:bCs/>
          <w:sz w:val="20"/>
          <w:szCs w:val="20"/>
          <w:lang w:eastAsia="en-US"/>
        </w:rPr>
        <w:t xml:space="preserve"> </w:t>
      </w:r>
      <w:hyperlink r:id="rId29" w:history="1">
        <w:r w:rsidR="00765F83" w:rsidRPr="00A34FA6">
          <w:rPr>
            <w:rStyle w:val="Hipervnculo"/>
            <w:rFonts w:eastAsia="Calibri"/>
            <w:bCs/>
            <w:sz w:val="20"/>
            <w:szCs w:val="20"/>
            <w:lang w:eastAsia="en-US"/>
          </w:rPr>
          <w:t>https://servicios.adres.gov.co/BDUA/Consulta-Afiliados-BDUA</w:t>
        </w:r>
      </w:hyperlink>
      <w:r w:rsidR="00765F83">
        <w:rPr>
          <w:rFonts w:eastAsia="Calibri"/>
          <w:bCs/>
          <w:sz w:val="20"/>
          <w:szCs w:val="20"/>
          <w:lang w:eastAsia="en-US"/>
        </w:rPr>
        <w:t xml:space="preserve"> </w:t>
      </w:r>
    </w:p>
    <w:p w14:paraId="0F367C35" w14:textId="77777777" w:rsidR="008D167C" w:rsidRPr="008D167C" w:rsidRDefault="008D167C" w:rsidP="008D167C">
      <w:pPr>
        <w:pStyle w:val="Normal0"/>
        <w:rPr>
          <w:rFonts w:eastAsia="Calibri"/>
          <w:bCs/>
          <w:sz w:val="20"/>
          <w:szCs w:val="20"/>
          <w:lang w:eastAsia="en-US"/>
        </w:rPr>
      </w:pPr>
    </w:p>
    <w:p w14:paraId="40D17F43" w14:textId="6F457701" w:rsidR="008D167C" w:rsidRPr="008D167C" w:rsidRDefault="008D167C" w:rsidP="00765F83">
      <w:pPr>
        <w:pStyle w:val="Normal0"/>
        <w:numPr>
          <w:ilvl w:val="0"/>
          <w:numId w:val="6"/>
        </w:numPr>
        <w:rPr>
          <w:rFonts w:eastAsia="Calibri"/>
          <w:bCs/>
          <w:sz w:val="20"/>
          <w:szCs w:val="20"/>
          <w:lang w:eastAsia="en-US"/>
        </w:rPr>
      </w:pPr>
      <w:r w:rsidRPr="00412667">
        <w:rPr>
          <w:rFonts w:eastAsia="Calibri"/>
          <w:b/>
          <w:bCs/>
          <w:sz w:val="20"/>
          <w:szCs w:val="20"/>
          <w:lang w:eastAsia="en-US"/>
        </w:rPr>
        <w:t>Sistema de Vigilancia en Salud Pública (SIVIGILA)</w:t>
      </w:r>
      <w:r w:rsidR="00412667" w:rsidRPr="00412667">
        <w:rPr>
          <w:rFonts w:eastAsia="Calibri"/>
          <w:b/>
          <w:bCs/>
          <w:sz w:val="20"/>
          <w:szCs w:val="20"/>
          <w:lang w:eastAsia="en-US"/>
        </w:rPr>
        <w:t>:</w:t>
      </w:r>
      <w:r w:rsidRPr="008D167C">
        <w:rPr>
          <w:rFonts w:eastAsia="Calibri"/>
          <w:bCs/>
          <w:sz w:val="20"/>
          <w:szCs w:val="20"/>
          <w:lang w:eastAsia="en-US"/>
        </w:rPr>
        <w:t xml:space="preserve"> proporciona información sobre eventos de interés en salud pública que son objeto de vigilancia. Estos datos pueden contribuir al análisis de las condiciones epidemiológicas de una población y a la identificación de situaciones que deben </w:t>
      </w:r>
      <w:r w:rsidRPr="008D167C">
        <w:rPr>
          <w:rFonts w:eastAsia="Calibri"/>
          <w:bCs/>
          <w:sz w:val="20"/>
          <w:szCs w:val="20"/>
          <w:lang w:eastAsia="en-US"/>
        </w:rPr>
        <w:lastRenderedPageBreak/>
        <w:t>considerarse en la proyección de servicios y tecnologías en salud.</w:t>
      </w:r>
      <w:r w:rsidR="00765F83">
        <w:rPr>
          <w:rFonts w:eastAsia="Calibri"/>
          <w:bCs/>
          <w:sz w:val="20"/>
          <w:szCs w:val="20"/>
          <w:lang w:eastAsia="en-US"/>
        </w:rPr>
        <w:t xml:space="preserve"> </w:t>
      </w:r>
      <w:r w:rsidR="00765F83">
        <w:rPr>
          <w:rFonts w:eastAsia="Calibri"/>
          <w:bCs/>
          <w:sz w:val="20"/>
          <w:szCs w:val="20"/>
          <w:lang w:eastAsia="en-US"/>
        </w:rPr>
        <w:t>Para mayor información acceder a:</w:t>
      </w:r>
      <w:r w:rsidR="00765F83">
        <w:rPr>
          <w:rFonts w:eastAsia="Calibri"/>
          <w:bCs/>
          <w:sz w:val="20"/>
          <w:szCs w:val="20"/>
          <w:lang w:eastAsia="en-US"/>
        </w:rPr>
        <w:t xml:space="preserve"> </w:t>
      </w:r>
      <w:hyperlink r:id="rId30" w:history="1">
        <w:r w:rsidR="00765F83" w:rsidRPr="00A34FA6">
          <w:rPr>
            <w:rStyle w:val="Hipervnculo"/>
            <w:rFonts w:eastAsia="Calibri"/>
            <w:bCs/>
            <w:sz w:val="20"/>
            <w:szCs w:val="20"/>
            <w:lang w:eastAsia="en-US"/>
          </w:rPr>
          <w:t>https://portalsivigila.ins.gov.co/Paginas/inicio.aspx</w:t>
        </w:r>
      </w:hyperlink>
      <w:r w:rsidR="00765F83">
        <w:rPr>
          <w:rFonts w:eastAsia="Calibri"/>
          <w:bCs/>
          <w:sz w:val="20"/>
          <w:szCs w:val="20"/>
          <w:lang w:eastAsia="en-US"/>
        </w:rPr>
        <w:t xml:space="preserve"> </w:t>
      </w:r>
    </w:p>
    <w:p w14:paraId="400C150A" w14:textId="77777777" w:rsidR="008D167C" w:rsidRPr="008D167C" w:rsidRDefault="008D167C" w:rsidP="008D167C">
      <w:pPr>
        <w:pStyle w:val="Normal0"/>
        <w:rPr>
          <w:rFonts w:eastAsia="Calibri"/>
          <w:bCs/>
          <w:sz w:val="20"/>
          <w:szCs w:val="20"/>
          <w:lang w:eastAsia="en-US"/>
        </w:rPr>
      </w:pPr>
    </w:p>
    <w:p w14:paraId="71154502" w14:textId="2A412786" w:rsidR="008D167C" w:rsidRPr="008D167C" w:rsidRDefault="008D167C" w:rsidP="00765F83">
      <w:pPr>
        <w:pStyle w:val="Normal0"/>
        <w:numPr>
          <w:ilvl w:val="0"/>
          <w:numId w:val="6"/>
        </w:numPr>
        <w:rPr>
          <w:rFonts w:eastAsia="Calibri"/>
          <w:bCs/>
          <w:sz w:val="20"/>
          <w:szCs w:val="20"/>
          <w:lang w:eastAsia="en-US"/>
        </w:rPr>
      </w:pPr>
      <w:r w:rsidRPr="00412667">
        <w:rPr>
          <w:rFonts w:eastAsia="Calibri"/>
          <w:b/>
          <w:bCs/>
          <w:sz w:val="20"/>
          <w:szCs w:val="20"/>
          <w:lang w:eastAsia="en-US"/>
        </w:rPr>
        <w:t>Cuenta de Alto Costo (CAC)</w:t>
      </w:r>
      <w:r w:rsidR="00412667" w:rsidRPr="00412667">
        <w:rPr>
          <w:rFonts w:eastAsia="Calibri"/>
          <w:b/>
          <w:bCs/>
          <w:sz w:val="20"/>
          <w:szCs w:val="20"/>
          <w:lang w:eastAsia="en-US"/>
        </w:rPr>
        <w:t>:</w:t>
      </w:r>
      <w:r w:rsidRPr="008D167C">
        <w:rPr>
          <w:rFonts w:eastAsia="Calibri"/>
          <w:bCs/>
          <w:sz w:val="20"/>
          <w:szCs w:val="20"/>
          <w:lang w:eastAsia="en-US"/>
        </w:rPr>
        <w:t xml:space="preserve"> genera información e indicadores relacionados con la gestión del riesgo de determinadas enfermedades crónicas y condiciones de alto costo. Esta información puede ser utilizada para analizar poblaciones que presentan condiciones específicas y establecer elementos relacionados con sus necesidades de atención.</w:t>
      </w:r>
      <w:r w:rsidR="00765F83">
        <w:rPr>
          <w:rFonts w:eastAsia="Calibri"/>
          <w:bCs/>
          <w:sz w:val="20"/>
          <w:szCs w:val="20"/>
          <w:lang w:eastAsia="en-US"/>
        </w:rPr>
        <w:t xml:space="preserve"> </w:t>
      </w:r>
      <w:r w:rsidR="00765F83">
        <w:rPr>
          <w:rFonts w:eastAsia="Calibri"/>
          <w:bCs/>
          <w:sz w:val="20"/>
          <w:szCs w:val="20"/>
          <w:lang w:eastAsia="en-US"/>
        </w:rPr>
        <w:t>Para mayor información acceder a:</w:t>
      </w:r>
      <w:r w:rsidR="00765F83">
        <w:rPr>
          <w:rFonts w:eastAsia="Calibri"/>
          <w:bCs/>
          <w:sz w:val="20"/>
          <w:szCs w:val="20"/>
          <w:lang w:eastAsia="en-US"/>
        </w:rPr>
        <w:t xml:space="preserve"> </w:t>
      </w:r>
      <w:hyperlink r:id="rId31" w:history="1">
        <w:r w:rsidR="00765F83" w:rsidRPr="00A34FA6">
          <w:rPr>
            <w:rStyle w:val="Hipervnculo"/>
            <w:rFonts w:eastAsia="Calibri"/>
            <w:bCs/>
            <w:sz w:val="20"/>
            <w:szCs w:val="20"/>
            <w:lang w:eastAsia="en-US"/>
          </w:rPr>
          <w:t>https://cuentadealtocosto.org/</w:t>
        </w:r>
      </w:hyperlink>
      <w:r w:rsidR="00765F83">
        <w:rPr>
          <w:rFonts w:eastAsia="Calibri"/>
          <w:bCs/>
          <w:sz w:val="20"/>
          <w:szCs w:val="20"/>
          <w:lang w:eastAsia="en-US"/>
        </w:rPr>
        <w:t xml:space="preserve"> </w:t>
      </w:r>
    </w:p>
    <w:p w14:paraId="58055097" w14:textId="77777777" w:rsidR="008D167C" w:rsidRPr="00412667" w:rsidRDefault="008D167C" w:rsidP="008D167C">
      <w:pPr>
        <w:pStyle w:val="Normal0"/>
        <w:rPr>
          <w:rFonts w:eastAsia="Calibri"/>
          <w:b/>
          <w:bCs/>
          <w:sz w:val="20"/>
          <w:szCs w:val="20"/>
          <w:lang w:eastAsia="en-US"/>
        </w:rPr>
      </w:pPr>
    </w:p>
    <w:p w14:paraId="760AA70B" w14:textId="5134ECDB" w:rsidR="008D167C" w:rsidRPr="008D167C" w:rsidRDefault="008D167C" w:rsidP="00765F83">
      <w:pPr>
        <w:pStyle w:val="Normal0"/>
        <w:numPr>
          <w:ilvl w:val="0"/>
          <w:numId w:val="6"/>
        </w:numPr>
        <w:rPr>
          <w:rFonts w:eastAsia="Calibri"/>
          <w:bCs/>
          <w:sz w:val="20"/>
          <w:szCs w:val="20"/>
          <w:lang w:eastAsia="en-US"/>
        </w:rPr>
      </w:pPr>
      <w:r w:rsidRPr="00412667">
        <w:rPr>
          <w:rFonts w:eastAsia="Calibri"/>
          <w:b/>
          <w:bCs/>
          <w:sz w:val="20"/>
          <w:szCs w:val="20"/>
          <w:lang w:eastAsia="en-US"/>
        </w:rPr>
        <w:t>Caracterización poblacional y Análisis de Situación de Salud (ASIS)</w:t>
      </w:r>
      <w:r w:rsidR="00412667" w:rsidRPr="00412667">
        <w:rPr>
          <w:rFonts w:eastAsia="Calibri"/>
          <w:b/>
          <w:bCs/>
          <w:sz w:val="20"/>
          <w:szCs w:val="20"/>
          <w:lang w:eastAsia="en-US"/>
        </w:rPr>
        <w:t>:</w:t>
      </w:r>
      <w:r w:rsidR="00412667">
        <w:rPr>
          <w:rFonts w:eastAsia="Calibri"/>
          <w:bCs/>
          <w:sz w:val="20"/>
          <w:szCs w:val="20"/>
          <w:lang w:eastAsia="en-US"/>
        </w:rPr>
        <w:t xml:space="preserve"> l</w:t>
      </w:r>
      <w:r w:rsidRPr="008D167C">
        <w:rPr>
          <w:rFonts w:eastAsia="Calibri"/>
          <w:bCs/>
          <w:sz w:val="20"/>
          <w:szCs w:val="20"/>
          <w:lang w:eastAsia="en-US"/>
        </w:rPr>
        <w:t>a caracterización poblacional aporta información sobre las condiciones de salud y las características demográficas, sociales, económicas y territoriales de una población. El Análisis de Situación de Salud (ASIS) integra información que permite reconocer las condiciones de salud, las necesidades y las particularidades de los territorios, constituyéndose en un insumo para la planeación de las intervenciones en salud.</w:t>
      </w:r>
      <w:r w:rsidR="00765F83">
        <w:rPr>
          <w:rFonts w:eastAsia="Calibri"/>
          <w:bCs/>
          <w:sz w:val="20"/>
          <w:szCs w:val="20"/>
          <w:lang w:eastAsia="en-US"/>
        </w:rPr>
        <w:t xml:space="preserve"> </w:t>
      </w:r>
      <w:r w:rsidR="00765F83">
        <w:rPr>
          <w:rFonts w:eastAsia="Calibri"/>
          <w:bCs/>
          <w:sz w:val="20"/>
          <w:szCs w:val="20"/>
          <w:lang w:eastAsia="en-US"/>
        </w:rPr>
        <w:t>Para mayor información acceder a:</w:t>
      </w:r>
      <w:r w:rsidR="00765F83">
        <w:rPr>
          <w:rFonts w:eastAsia="Calibri"/>
          <w:bCs/>
          <w:sz w:val="20"/>
          <w:szCs w:val="20"/>
          <w:lang w:eastAsia="en-US"/>
        </w:rPr>
        <w:t xml:space="preserve"> </w:t>
      </w:r>
      <w:hyperlink r:id="rId32" w:history="1">
        <w:r w:rsidR="00765F83" w:rsidRPr="00A34FA6">
          <w:rPr>
            <w:rStyle w:val="Hipervnculo"/>
            <w:rFonts w:eastAsia="Calibri"/>
            <w:bCs/>
            <w:sz w:val="20"/>
            <w:szCs w:val="20"/>
            <w:lang w:eastAsia="en-US"/>
          </w:rPr>
          <w:t>https://www.minsalud.gov.co/salud/epidemiologia-demografia/Paginas/analisis-de-situacion-de-salud.aspx</w:t>
        </w:r>
      </w:hyperlink>
      <w:r w:rsidR="00765F83">
        <w:rPr>
          <w:rFonts w:eastAsia="Calibri"/>
          <w:bCs/>
          <w:sz w:val="20"/>
          <w:szCs w:val="20"/>
          <w:lang w:eastAsia="en-US"/>
        </w:rPr>
        <w:t xml:space="preserve"> </w:t>
      </w:r>
    </w:p>
    <w:p w14:paraId="11B7509A" w14:textId="77777777" w:rsidR="008D167C" w:rsidRPr="008D167C" w:rsidRDefault="008D167C" w:rsidP="008D167C">
      <w:pPr>
        <w:pStyle w:val="Normal0"/>
        <w:rPr>
          <w:rFonts w:eastAsia="Calibri"/>
          <w:bCs/>
          <w:sz w:val="20"/>
          <w:szCs w:val="20"/>
          <w:lang w:eastAsia="en-US"/>
        </w:rPr>
      </w:pPr>
    </w:p>
    <w:p w14:paraId="0B1E91DE" w14:textId="77777777" w:rsidR="008D167C" w:rsidRPr="008D167C" w:rsidRDefault="008D167C" w:rsidP="008D167C">
      <w:pPr>
        <w:pStyle w:val="Normal0"/>
        <w:rPr>
          <w:rFonts w:eastAsia="Calibri"/>
          <w:bCs/>
          <w:sz w:val="20"/>
          <w:szCs w:val="20"/>
          <w:lang w:eastAsia="en-US"/>
        </w:rPr>
      </w:pPr>
      <w:r w:rsidRPr="008D167C">
        <w:rPr>
          <w:rFonts w:eastAsia="Calibri"/>
          <w:bCs/>
          <w:sz w:val="20"/>
          <w:szCs w:val="20"/>
          <w:lang w:eastAsia="en-US"/>
        </w:rPr>
        <w:t>Las diferentes fuentes de información aportan datos complementarios y su utilización depende del aspecto que se pretenda analizar. Por ejemplo, la información de afiliación permite delimitar la población objeto, mientras que los registros de prestación facilitan el análisis de los servicios utilizados y las fuentes epidemiológicas aportan información sobre las condiciones de salud y los riesgos de la población.</w:t>
      </w:r>
    </w:p>
    <w:p w14:paraId="2ECEB396" w14:textId="77777777" w:rsidR="008D167C" w:rsidRPr="008D167C" w:rsidRDefault="008D167C" w:rsidP="008D167C">
      <w:pPr>
        <w:pStyle w:val="Normal0"/>
        <w:rPr>
          <w:rFonts w:eastAsia="Calibri"/>
          <w:bCs/>
          <w:sz w:val="20"/>
          <w:szCs w:val="20"/>
          <w:lang w:eastAsia="en-US"/>
        </w:rPr>
      </w:pPr>
    </w:p>
    <w:p w14:paraId="245E6BD9" w14:textId="1BF2A7E6" w:rsidR="00902A5B" w:rsidRDefault="008D167C" w:rsidP="008D167C">
      <w:pPr>
        <w:pStyle w:val="Normal0"/>
        <w:rPr>
          <w:rFonts w:eastAsia="Calibri"/>
          <w:bCs/>
          <w:sz w:val="20"/>
          <w:szCs w:val="20"/>
          <w:lang w:eastAsia="en-US"/>
        </w:rPr>
      </w:pPr>
      <w:r w:rsidRPr="008D167C">
        <w:rPr>
          <w:rFonts w:eastAsia="Calibri"/>
          <w:bCs/>
          <w:sz w:val="20"/>
          <w:szCs w:val="20"/>
          <w:lang w:eastAsia="en-US"/>
        </w:rPr>
        <w:t>Por esta razón, la construcción de la nota técnica requiere analizar la información de manera articulada, considerando la población objeto, el periodo de análisis, las características del territorio y el propósito del acuerdo de voluntades. La integración de las fuentes proporciona elementos para sustentar las estimaciones de utilización y las proyecciones de los servicios y tecnologías en salud.</w:t>
      </w:r>
    </w:p>
    <w:p w14:paraId="471FEC5C" w14:textId="77777777" w:rsidR="008D167C" w:rsidRPr="00902A5B" w:rsidRDefault="008D167C" w:rsidP="008D167C">
      <w:pPr>
        <w:pStyle w:val="Normal0"/>
        <w:rPr>
          <w:rFonts w:eastAsia="Calibri"/>
          <w:bCs/>
          <w:sz w:val="20"/>
          <w:szCs w:val="20"/>
          <w:lang w:eastAsia="en-US"/>
        </w:rPr>
      </w:pPr>
    </w:p>
    <w:p w14:paraId="1B2E5E80" w14:textId="555C1D60" w:rsidR="00902A5B" w:rsidRDefault="00902A5B" w:rsidP="00902A5B">
      <w:pPr>
        <w:pStyle w:val="Normal0"/>
        <w:rPr>
          <w:rFonts w:eastAsia="Calibri"/>
          <w:bCs/>
          <w:sz w:val="20"/>
          <w:szCs w:val="20"/>
          <w:lang w:eastAsia="en-US"/>
        </w:rPr>
      </w:pPr>
      <w:r w:rsidRPr="008C6EC5">
        <w:rPr>
          <w:rFonts w:eastAsia="Calibri"/>
          <w:b/>
          <w:bCs/>
          <w:sz w:val="20"/>
          <w:szCs w:val="20"/>
          <w:lang w:eastAsia="en-US"/>
        </w:rPr>
        <w:t>Tabla 4.</w:t>
      </w:r>
      <w:r w:rsidRPr="00902A5B">
        <w:rPr>
          <w:rFonts w:eastAsia="Calibri"/>
          <w:bCs/>
          <w:sz w:val="20"/>
          <w:szCs w:val="20"/>
          <w:lang w:eastAsia="en-US"/>
        </w:rPr>
        <w:t xml:space="preserve"> Principales fuentes de información para la construcción de la nota técnica</w:t>
      </w:r>
    </w:p>
    <w:tbl>
      <w:tblPr>
        <w:tblStyle w:val="Tablaconcuadrcula"/>
        <w:tblW w:w="0" w:type="auto"/>
        <w:tblInd w:w="0" w:type="dxa"/>
        <w:tblLook w:val="04A0" w:firstRow="1" w:lastRow="0" w:firstColumn="1" w:lastColumn="0" w:noHBand="0" w:noVBand="1"/>
      </w:tblPr>
      <w:tblGrid>
        <w:gridCol w:w="2689"/>
        <w:gridCol w:w="3543"/>
        <w:gridCol w:w="3730"/>
      </w:tblGrid>
      <w:tr w:rsidR="008C6EC5" w:rsidRPr="008C6EC5" w14:paraId="6FF7F8F9" w14:textId="77777777" w:rsidTr="00765F83">
        <w:tc>
          <w:tcPr>
            <w:tcW w:w="2689" w:type="dxa"/>
          </w:tcPr>
          <w:p w14:paraId="05F215A2" w14:textId="6177688C" w:rsidR="008C6EC5" w:rsidRPr="008C6EC5" w:rsidRDefault="008C6EC5" w:rsidP="008C6EC5">
            <w:pPr>
              <w:pStyle w:val="Normal0"/>
              <w:rPr>
                <w:rFonts w:eastAsia="Calibri"/>
                <w:b/>
                <w:bCs/>
                <w:sz w:val="20"/>
                <w:szCs w:val="20"/>
                <w:lang w:eastAsia="en-US"/>
              </w:rPr>
            </w:pPr>
            <w:r w:rsidRPr="008C6EC5">
              <w:rPr>
                <w:b/>
                <w:sz w:val="20"/>
                <w:szCs w:val="20"/>
              </w:rPr>
              <w:t>Fuente de información</w:t>
            </w:r>
          </w:p>
        </w:tc>
        <w:tc>
          <w:tcPr>
            <w:tcW w:w="3543" w:type="dxa"/>
          </w:tcPr>
          <w:p w14:paraId="3334AAFD" w14:textId="3CF2AD7C" w:rsidR="008C6EC5" w:rsidRPr="008C6EC5" w:rsidRDefault="008C6EC5" w:rsidP="008C6EC5">
            <w:pPr>
              <w:pStyle w:val="Normal0"/>
              <w:rPr>
                <w:rFonts w:eastAsia="Calibri"/>
                <w:b/>
                <w:bCs/>
                <w:sz w:val="20"/>
                <w:szCs w:val="20"/>
                <w:lang w:eastAsia="en-US"/>
              </w:rPr>
            </w:pPr>
            <w:r w:rsidRPr="008C6EC5">
              <w:rPr>
                <w:b/>
                <w:sz w:val="20"/>
                <w:szCs w:val="20"/>
              </w:rPr>
              <w:t>Información que aporta</w:t>
            </w:r>
          </w:p>
        </w:tc>
        <w:tc>
          <w:tcPr>
            <w:tcW w:w="3730" w:type="dxa"/>
          </w:tcPr>
          <w:p w14:paraId="06907C2A" w14:textId="44F633BB" w:rsidR="008C6EC5" w:rsidRPr="008C6EC5" w:rsidRDefault="008C6EC5" w:rsidP="008C6EC5">
            <w:pPr>
              <w:pStyle w:val="Normal0"/>
              <w:rPr>
                <w:rFonts w:eastAsia="Calibri"/>
                <w:b/>
                <w:bCs/>
                <w:sz w:val="20"/>
                <w:szCs w:val="20"/>
                <w:lang w:eastAsia="en-US"/>
              </w:rPr>
            </w:pPr>
            <w:r w:rsidRPr="008C6EC5">
              <w:rPr>
                <w:b/>
                <w:sz w:val="20"/>
                <w:szCs w:val="20"/>
              </w:rPr>
              <w:t>Utilidad en la nota técnica</w:t>
            </w:r>
          </w:p>
        </w:tc>
      </w:tr>
      <w:tr w:rsidR="008C6EC5" w:rsidRPr="008C6EC5" w14:paraId="7705BD9E" w14:textId="77777777" w:rsidTr="00765F83">
        <w:tc>
          <w:tcPr>
            <w:tcW w:w="2689" w:type="dxa"/>
          </w:tcPr>
          <w:p w14:paraId="17175E9F" w14:textId="342B63ED" w:rsidR="008C6EC5" w:rsidRPr="008C6EC5" w:rsidRDefault="008C6EC5" w:rsidP="008C6EC5">
            <w:pPr>
              <w:pStyle w:val="Normal0"/>
              <w:rPr>
                <w:rFonts w:eastAsia="Calibri"/>
                <w:bCs/>
                <w:sz w:val="20"/>
                <w:szCs w:val="20"/>
                <w:lang w:eastAsia="en-US"/>
              </w:rPr>
            </w:pPr>
            <w:r w:rsidRPr="008C6EC5">
              <w:rPr>
                <w:sz w:val="20"/>
                <w:szCs w:val="20"/>
              </w:rPr>
              <w:t>SISPRO</w:t>
            </w:r>
          </w:p>
        </w:tc>
        <w:tc>
          <w:tcPr>
            <w:tcW w:w="3543" w:type="dxa"/>
          </w:tcPr>
          <w:p w14:paraId="7695BE78" w14:textId="58E97176" w:rsidR="008C6EC5" w:rsidRPr="008C6EC5" w:rsidRDefault="008C6EC5" w:rsidP="008C6EC5">
            <w:pPr>
              <w:pStyle w:val="Normal0"/>
              <w:rPr>
                <w:rFonts w:eastAsia="Calibri"/>
                <w:bCs/>
                <w:sz w:val="20"/>
                <w:szCs w:val="20"/>
                <w:lang w:eastAsia="en-US"/>
              </w:rPr>
            </w:pPr>
            <w:r w:rsidRPr="008C6EC5">
              <w:rPr>
                <w:sz w:val="20"/>
                <w:szCs w:val="20"/>
              </w:rPr>
              <w:t>Información integrada de diferentes registros del sector salud</w:t>
            </w:r>
            <w:r w:rsidR="00412667">
              <w:rPr>
                <w:sz w:val="20"/>
                <w:szCs w:val="20"/>
              </w:rPr>
              <w:t>.</w:t>
            </w:r>
          </w:p>
        </w:tc>
        <w:tc>
          <w:tcPr>
            <w:tcW w:w="3730" w:type="dxa"/>
          </w:tcPr>
          <w:p w14:paraId="69B8F116" w14:textId="11636BD1" w:rsidR="008C6EC5" w:rsidRPr="008C6EC5" w:rsidRDefault="008C6EC5" w:rsidP="008C6EC5">
            <w:pPr>
              <w:pStyle w:val="Normal0"/>
              <w:rPr>
                <w:rFonts w:eastAsia="Calibri"/>
                <w:bCs/>
                <w:sz w:val="20"/>
                <w:szCs w:val="20"/>
                <w:lang w:eastAsia="en-US"/>
              </w:rPr>
            </w:pPr>
            <w:r w:rsidRPr="008C6EC5">
              <w:rPr>
                <w:sz w:val="20"/>
                <w:szCs w:val="20"/>
              </w:rPr>
              <w:t>Apoyar el análisis de la población, las condiciones de salud y la prestación de servicios</w:t>
            </w:r>
            <w:r w:rsidR="00412667">
              <w:rPr>
                <w:sz w:val="20"/>
                <w:szCs w:val="20"/>
              </w:rPr>
              <w:t>.</w:t>
            </w:r>
          </w:p>
        </w:tc>
      </w:tr>
      <w:tr w:rsidR="008C6EC5" w:rsidRPr="008C6EC5" w14:paraId="6B14FA82" w14:textId="77777777" w:rsidTr="00765F83">
        <w:tc>
          <w:tcPr>
            <w:tcW w:w="2689" w:type="dxa"/>
          </w:tcPr>
          <w:p w14:paraId="3248546E" w14:textId="432F05D6" w:rsidR="008C6EC5" w:rsidRPr="008C6EC5" w:rsidRDefault="008C6EC5" w:rsidP="008C6EC5">
            <w:pPr>
              <w:pStyle w:val="Normal0"/>
              <w:rPr>
                <w:rFonts w:eastAsia="Calibri"/>
                <w:bCs/>
                <w:sz w:val="20"/>
                <w:szCs w:val="20"/>
                <w:lang w:eastAsia="en-US"/>
              </w:rPr>
            </w:pPr>
            <w:r w:rsidRPr="008C6EC5">
              <w:rPr>
                <w:sz w:val="20"/>
                <w:szCs w:val="20"/>
              </w:rPr>
              <w:t>RIPS</w:t>
            </w:r>
          </w:p>
        </w:tc>
        <w:tc>
          <w:tcPr>
            <w:tcW w:w="3543" w:type="dxa"/>
          </w:tcPr>
          <w:p w14:paraId="1BDBC785" w14:textId="0EB294CF" w:rsidR="008C6EC5" w:rsidRPr="008C6EC5" w:rsidRDefault="008C6EC5" w:rsidP="008C6EC5">
            <w:pPr>
              <w:pStyle w:val="Normal0"/>
              <w:rPr>
                <w:rFonts w:eastAsia="Calibri"/>
                <w:bCs/>
                <w:sz w:val="20"/>
                <w:szCs w:val="20"/>
                <w:lang w:eastAsia="en-US"/>
              </w:rPr>
            </w:pPr>
            <w:r w:rsidRPr="008C6EC5">
              <w:rPr>
                <w:sz w:val="20"/>
                <w:szCs w:val="20"/>
              </w:rPr>
              <w:t>Información de las atenciones realizadas a los usuarios</w:t>
            </w:r>
            <w:r w:rsidR="00412667">
              <w:rPr>
                <w:sz w:val="20"/>
                <w:szCs w:val="20"/>
              </w:rPr>
              <w:t>.</w:t>
            </w:r>
          </w:p>
        </w:tc>
        <w:tc>
          <w:tcPr>
            <w:tcW w:w="3730" w:type="dxa"/>
          </w:tcPr>
          <w:p w14:paraId="5981FEB3" w14:textId="3485F060" w:rsidR="008C6EC5" w:rsidRPr="008C6EC5" w:rsidRDefault="008C6EC5" w:rsidP="008C6EC5">
            <w:pPr>
              <w:pStyle w:val="Normal0"/>
              <w:rPr>
                <w:rFonts w:eastAsia="Calibri"/>
                <w:bCs/>
                <w:sz w:val="20"/>
                <w:szCs w:val="20"/>
                <w:lang w:eastAsia="en-US"/>
              </w:rPr>
            </w:pPr>
            <w:r w:rsidRPr="008C6EC5">
              <w:rPr>
                <w:sz w:val="20"/>
                <w:szCs w:val="20"/>
              </w:rPr>
              <w:t>Analizar la utilización histórica de servicios y tecnologías y establecer frecuencias de uso</w:t>
            </w:r>
            <w:r w:rsidR="00412667">
              <w:rPr>
                <w:sz w:val="20"/>
                <w:szCs w:val="20"/>
              </w:rPr>
              <w:t>.</w:t>
            </w:r>
          </w:p>
        </w:tc>
      </w:tr>
      <w:tr w:rsidR="008C6EC5" w:rsidRPr="008C6EC5" w14:paraId="38FBB794" w14:textId="77777777" w:rsidTr="00765F83">
        <w:tc>
          <w:tcPr>
            <w:tcW w:w="2689" w:type="dxa"/>
          </w:tcPr>
          <w:p w14:paraId="1EDB3322" w14:textId="72A6BBFD" w:rsidR="008C6EC5" w:rsidRPr="008C6EC5" w:rsidRDefault="008C6EC5" w:rsidP="008C6EC5">
            <w:pPr>
              <w:pStyle w:val="Normal0"/>
              <w:rPr>
                <w:rFonts w:eastAsia="Calibri"/>
                <w:bCs/>
                <w:sz w:val="20"/>
                <w:szCs w:val="20"/>
                <w:lang w:eastAsia="en-US"/>
              </w:rPr>
            </w:pPr>
            <w:r w:rsidRPr="008C6EC5">
              <w:rPr>
                <w:sz w:val="20"/>
                <w:szCs w:val="20"/>
              </w:rPr>
              <w:t>BDUA</w:t>
            </w:r>
          </w:p>
        </w:tc>
        <w:tc>
          <w:tcPr>
            <w:tcW w:w="3543" w:type="dxa"/>
          </w:tcPr>
          <w:p w14:paraId="5A455406" w14:textId="740393FA" w:rsidR="008C6EC5" w:rsidRPr="008C6EC5" w:rsidRDefault="008C6EC5" w:rsidP="008C6EC5">
            <w:pPr>
              <w:pStyle w:val="Normal0"/>
              <w:rPr>
                <w:rFonts w:eastAsia="Calibri"/>
                <w:bCs/>
                <w:sz w:val="20"/>
                <w:szCs w:val="20"/>
                <w:lang w:eastAsia="en-US"/>
              </w:rPr>
            </w:pPr>
            <w:r w:rsidRPr="008C6EC5">
              <w:rPr>
                <w:sz w:val="20"/>
                <w:szCs w:val="20"/>
              </w:rPr>
              <w:t>Información relacionada con la afiliación al sistema de salud</w:t>
            </w:r>
            <w:r w:rsidR="00412667">
              <w:rPr>
                <w:sz w:val="20"/>
                <w:szCs w:val="20"/>
              </w:rPr>
              <w:t>.</w:t>
            </w:r>
          </w:p>
        </w:tc>
        <w:tc>
          <w:tcPr>
            <w:tcW w:w="3730" w:type="dxa"/>
          </w:tcPr>
          <w:p w14:paraId="30B55E9F" w14:textId="75A420A9" w:rsidR="008C6EC5" w:rsidRPr="008C6EC5" w:rsidRDefault="008C6EC5" w:rsidP="008C6EC5">
            <w:pPr>
              <w:pStyle w:val="Normal0"/>
              <w:rPr>
                <w:rFonts w:eastAsia="Calibri"/>
                <w:bCs/>
                <w:sz w:val="20"/>
                <w:szCs w:val="20"/>
                <w:lang w:eastAsia="en-US"/>
              </w:rPr>
            </w:pPr>
            <w:r w:rsidRPr="008C6EC5">
              <w:rPr>
                <w:sz w:val="20"/>
                <w:szCs w:val="20"/>
              </w:rPr>
              <w:t>Delimitar y caracterizar la población objeto</w:t>
            </w:r>
            <w:r w:rsidR="00412667">
              <w:rPr>
                <w:sz w:val="20"/>
                <w:szCs w:val="20"/>
              </w:rPr>
              <w:t>.</w:t>
            </w:r>
          </w:p>
        </w:tc>
      </w:tr>
      <w:tr w:rsidR="008C6EC5" w:rsidRPr="008C6EC5" w14:paraId="7954616B" w14:textId="77777777" w:rsidTr="00765F83">
        <w:tc>
          <w:tcPr>
            <w:tcW w:w="2689" w:type="dxa"/>
          </w:tcPr>
          <w:p w14:paraId="2BBE7CFD" w14:textId="2D17C9A6" w:rsidR="008C6EC5" w:rsidRPr="008C6EC5" w:rsidRDefault="008C6EC5" w:rsidP="008C6EC5">
            <w:pPr>
              <w:pStyle w:val="Normal0"/>
              <w:rPr>
                <w:rFonts w:eastAsia="Calibri"/>
                <w:bCs/>
                <w:sz w:val="20"/>
                <w:szCs w:val="20"/>
                <w:lang w:eastAsia="en-US"/>
              </w:rPr>
            </w:pPr>
            <w:r w:rsidRPr="008C6EC5">
              <w:rPr>
                <w:sz w:val="20"/>
                <w:szCs w:val="20"/>
              </w:rPr>
              <w:t>SIVIGILA</w:t>
            </w:r>
          </w:p>
        </w:tc>
        <w:tc>
          <w:tcPr>
            <w:tcW w:w="3543" w:type="dxa"/>
          </w:tcPr>
          <w:p w14:paraId="45CDAFAE" w14:textId="4850C24D" w:rsidR="008C6EC5" w:rsidRPr="008C6EC5" w:rsidRDefault="008C6EC5" w:rsidP="008C6EC5">
            <w:pPr>
              <w:pStyle w:val="Normal0"/>
              <w:rPr>
                <w:rFonts w:eastAsia="Calibri"/>
                <w:bCs/>
                <w:sz w:val="20"/>
                <w:szCs w:val="20"/>
                <w:lang w:eastAsia="en-US"/>
              </w:rPr>
            </w:pPr>
            <w:r w:rsidRPr="008C6EC5">
              <w:rPr>
                <w:sz w:val="20"/>
                <w:szCs w:val="20"/>
              </w:rPr>
              <w:t>Información sobre eventos de interés en salud pública</w:t>
            </w:r>
            <w:r w:rsidR="00412667">
              <w:rPr>
                <w:sz w:val="20"/>
                <w:szCs w:val="20"/>
              </w:rPr>
              <w:t>.</w:t>
            </w:r>
          </w:p>
        </w:tc>
        <w:tc>
          <w:tcPr>
            <w:tcW w:w="3730" w:type="dxa"/>
          </w:tcPr>
          <w:p w14:paraId="7ED981C5" w14:textId="042E0C8D" w:rsidR="008C6EC5" w:rsidRPr="008C6EC5" w:rsidRDefault="008C6EC5" w:rsidP="008C6EC5">
            <w:pPr>
              <w:pStyle w:val="Normal0"/>
              <w:rPr>
                <w:rFonts w:eastAsia="Calibri"/>
                <w:bCs/>
                <w:sz w:val="20"/>
                <w:szCs w:val="20"/>
                <w:lang w:eastAsia="en-US"/>
              </w:rPr>
            </w:pPr>
            <w:r w:rsidRPr="008C6EC5">
              <w:rPr>
                <w:sz w:val="20"/>
                <w:szCs w:val="20"/>
              </w:rPr>
              <w:t>Identificar condiciones y eventos epidemiológicos relevantes para el análisis</w:t>
            </w:r>
            <w:r w:rsidR="00412667">
              <w:rPr>
                <w:sz w:val="20"/>
                <w:szCs w:val="20"/>
              </w:rPr>
              <w:t>.</w:t>
            </w:r>
          </w:p>
        </w:tc>
      </w:tr>
      <w:tr w:rsidR="008C6EC5" w:rsidRPr="008C6EC5" w14:paraId="4F59C9FB" w14:textId="77777777" w:rsidTr="00765F83">
        <w:tc>
          <w:tcPr>
            <w:tcW w:w="2689" w:type="dxa"/>
          </w:tcPr>
          <w:p w14:paraId="352A33A4" w14:textId="6857772A" w:rsidR="008C6EC5" w:rsidRPr="008C6EC5" w:rsidRDefault="008C6EC5" w:rsidP="008C6EC5">
            <w:pPr>
              <w:pStyle w:val="Normal0"/>
              <w:rPr>
                <w:rFonts w:eastAsia="Calibri"/>
                <w:bCs/>
                <w:sz w:val="20"/>
                <w:szCs w:val="20"/>
                <w:lang w:eastAsia="en-US"/>
              </w:rPr>
            </w:pPr>
            <w:r w:rsidRPr="008C6EC5">
              <w:rPr>
                <w:sz w:val="20"/>
                <w:szCs w:val="20"/>
              </w:rPr>
              <w:t>CAC</w:t>
            </w:r>
          </w:p>
        </w:tc>
        <w:tc>
          <w:tcPr>
            <w:tcW w:w="3543" w:type="dxa"/>
          </w:tcPr>
          <w:p w14:paraId="2F0BF877" w14:textId="5D3ACDC7" w:rsidR="008C6EC5" w:rsidRPr="008C6EC5" w:rsidRDefault="008C6EC5" w:rsidP="008C6EC5">
            <w:pPr>
              <w:pStyle w:val="Normal0"/>
              <w:rPr>
                <w:rFonts w:eastAsia="Calibri"/>
                <w:bCs/>
                <w:sz w:val="20"/>
                <w:szCs w:val="20"/>
                <w:lang w:eastAsia="en-US"/>
              </w:rPr>
            </w:pPr>
            <w:r w:rsidRPr="008C6EC5">
              <w:rPr>
                <w:sz w:val="20"/>
                <w:szCs w:val="20"/>
              </w:rPr>
              <w:t>Información e indicadores sobre determinadas enfermedades crónicas y condiciones de alto costo</w:t>
            </w:r>
            <w:r w:rsidR="00412667">
              <w:rPr>
                <w:sz w:val="20"/>
                <w:szCs w:val="20"/>
              </w:rPr>
              <w:t>.</w:t>
            </w:r>
          </w:p>
        </w:tc>
        <w:tc>
          <w:tcPr>
            <w:tcW w:w="3730" w:type="dxa"/>
          </w:tcPr>
          <w:p w14:paraId="7947B78E" w14:textId="76430545" w:rsidR="008C6EC5" w:rsidRPr="008C6EC5" w:rsidRDefault="008C6EC5" w:rsidP="008C6EC5">
            <w:pPr>
              <w:pStyle w:val="Normal0"/>
              <w:rPr>
                <w:rFonts w:eastAsia="Calibri"/>
                <w:bCs/>
                <w:sz w:val="20"/>
                <w:szCs w:val="20"/>
                <w:lang w:eastAsia="en-US"/>
              </w:rPr>
            </w:pPr>
            <w:r w:rsidRPr="008C6EC5">
              <w:rPr>
                <w:sz w:val="20"/>
                <w:szCs w:val="20"/>
              </w:rPr>
              <w:t>Analizar poblaciones y condiciones específicas de riesgo</w:t>
            </w:r>
            <w:r w:rsidR="00412667">
              <w:rPr>
                <w:sz w:val="20"/>
                <w:szCs w:val="20"/>
              </w:rPr>
              <w:t>.</w:t>
            </w:r>
          </w:p>
        </w:tc>
      </w:tr>
      <w:tr w:rsidR="008C6EC5" w:rsidRPr="008C6EC5" w14:paraId="33D8AF3D" w14:textId="77777777" w:rsidTr="00765F83">
        <w:tc>
          <w:tcPr>
            <w:tcW w:w="2689" w:type="dxa"/>
          </w:tcPr>
          <w:p w14:paraId="42A684B7" w14:textId="1EFE59AA" w:rsidR="008C6EC5" w:rsidRPr="008C6EC5" w:rsidRDefault="008C6EC5" w:rsidP="008C6EC5">
            <w:pPr>
              <w:pStyle w:val="Normal0"/>
              <w:rPr>
                <w:rFonts w:eastAsia="Calibri"/>
                <w:bCs/>
                <w:sz w:val="20"/>
                <w:szCs w:val="20"/>
                <w:lang w:eastAsia="en-US"/>
              </w:rPr>
            </w:pPr>
            <w:r w:rsidRPr="008C6EC5">
              <w:rPr>
                <w:sz w:val="20"/>
                <w:szCs w:val="20"/>
              </w:rPr>
              <w:t>Caracterización poblacional y ASIS</w:t>
            </w:r>
          </w:p>
        </w:tc>
        <w:tc>
          <w:tcPr>
            <w:tcW w:w="3543" w:type="dxa"/>
          </w:tcPr>
          <w:p w14:paraId="093E34DA" w14:textId="33F521E9" w:rsidR="008C6EC5" w:rsidRPr="008C6EC5" w:rsidRDefault="008C6EC5" w:rsidP="008C6EC5">
            <w:pPr>
              <w:pStyle w:val="Normal0"/>
              <w:rPr>
                <w:rFonts w:eastAsia="Calibri"/>
                <w:bCs/>
                <w:sz w:val="20"/>
                <w:szCs w:val="20"/>
                <w:lang w:eastAsia="en-US"/>
              </w:rPr>
            </w:pPr>
            <w:r w:rsidRPr="008C6EC5">
              <w:rPr>
                <w:sz w:val="20"/>
                <w:szCs w:val="20"/>
              </w:rPr>
              <w:t>Información sobre condiciones de salud, características poblacionales y territoriales</w:t>
            </w:r>
            <w:r w:rsidR="00412667">
              <w:rPr>
                <w:sz w:val="20"/>
                <w:szCs w:val="20"/>
              </w:rPr>
              <w:t>.</w:t>
            </w:r>
          </w:p>
        </w:tc>
        <w:tc>
          <w:tcPr>
            <w:tcW w:w="3730" w:type="dxa"/>
          </w:tcPr>
          <w:p w14:paraId="327E56E7" w14:textId="5E22C095" w:rsidR="008C6EC5" w:rsidRPr="008C6EC5" w:rsidRDefault="008C6EC5" w:rsidP="008C6EC5">
            <w:pPr>
              <w:pStyle w:val="Normal0"/>
              <w:rPr>
                <w:rFonts w:eastAsia="Calibri"/>
                <w:bCs/>
                <w:sz w:val="20"/>
                <w:szCs w:val="20"/>
                <w:lang w:eastAsia="en-US"/>
              </w:rPr>
            </w:pPr>
            <w:r w:rsidRPr="008C6EC5">
              <w:rPr>
                <w:sz w:val="20"/>
                <w:szCs w:val="20"/>
              </w:rPr>
              <w:t>Identificar necesidades, riesgos y particularidades de la población y el territorio</w:t>
            </w:r>
            <w:r w:rsidR="00412667">
              <w:rPr>
                <w:sz w:val="20"/>
                <w:szCs w:val="20"/>
              </w:rPr>
              <w:t>.</w:t>
            </w:r>
          </w:p>
        </w:tc>
      </w:tr>
    </w:tbl>
    <w:p w14:paraId="6E9314C1" w14:textId="12937FDE" w:rsidR="00902A5B" w:rsidRDefault="00902A5B" w:rsidP="00902A5B">
      <w:pPr>
        <w:pStyle w:val="Normal0"/>
        <w:rPr>
          <w:rFonts w:eastAsia="Calibri"/>
          <w:bCs/>
          <w:sz w:val="20"/>
          <w:szCs w:val="20"/>
          <w:lang w:eastAsia="en-US"/>
        </w:rPr>
      </w:pPr>
    </w:p>
    <w:p w14:paraId="3F9D3413" w14:textId="77777777" w:rsidR="00412667" w:rsidRPr="000D04CD" w:rsidRDefault="00412667" w:rsidP="00902A5B">
      <w:pPr>
        <w:pStyle w:val="Normal0"/>
        <w:rPr>
          <w:rFonts w:eastAsia="Calibri"/>
          <w:bCs/>
          <w:sz w:val="20"/>
          <w:szCs w:val="20"/>
          <w:lang w:eastAsia="en-US"/>
        </w:rPr>
      </w:pPr>
    </w:p>
    <w:p w14:paraId="2CA5F317" w14:textId="614E90BD" w:rsidR="00AD590A" w:rsidRPr="00412667" w:rsidRDefault="00AD590A" w:rsidP="009723E7">
      <w:pPr>
        <w:pStyle w:val="Normal0"/>
        <w:numPr>
          <w:ilvl w:val="1"/>
          <w:numId w:val="27"/>
        </w:numPr>
        <w:rPr>
          <w:rFonts w:eastAsia="Calibri"/>
          <w:b/>
          <w:bCs/>
          <w:sz w:val="20"/>
          <w:szCs w:val="20"/>
          <w:lang w:eastAsia="en-US"/>
        </w:rPr>
      </w:pPr>
      <w:r w:rsidRPr="00412667">
        <w:rPr>
          <w:rFonts w:eastAsia="Calibri"/>
          <w:b/>
          <w:bCs/>
          <w:sz w:val="20"/>
          <w:szCs w:val="20"/>
          <w:lang w:eastAsia="en-US"/>
        </w:rPr>
        <w:lastRenderedPageBreak/>
        <w:t>Frecuencia de uso de servicios y tecnologías</w:t>
      </w:r>
    </w:p>
    <w:p w14:paraId="1E1398AD" w14:textId="70D4DB8B" w:rsidR="00412667" w:rsidRDefault="00412667" w:rsidP="00412667">
      <w:pPr>
        <w:pStyle w:val="Normal0"/>
        <w:rPr>
          <w:rFonts w:eastAsia="Calibri"/>
          <w:bCs/>
          <w:sz w:val="20"/>
          <w:szCs w:val="20"/>
          <w:lang w:eastAsia="en-US"/>
        </w:rPr>
      </w:pPr>
    </w:p>
    <w:p w14:paraId="5246B871" w14:textId="77777777" w:rsidR="00412667" w:rsidRPr="00412667" w:rsidRDefault="00412667" w:rsidP="00412667">
      <w:pPr>
        <w:pStyle w:val="Normal0"/>
        <w:rPr>
          <w:rFonts w:eastAsia="Calibri"/>
          <w:bCs/>
          <w:sz w:val="20"/>
          <w:szCs w:val="20"/>
          <w:lang w:eastAsia="en-US"/>
        </w:rPr>
      </w:pPr>
      <w:r w:rsidRPr="00412667">
        <w:rPr>
          <w:rFonts w:eastAsia="Calibri"/>
          <w:bCs/>
          <w:sz w:val="20"/>
          <w:szCs w:val="20"/>
          <w:lang w:eastAsia="en-US"/>
        </w:rPr>
        <w:t>Una vez identificada la población objeto y analizadas sus características y necesidades, es necesario establecer la frecuencia con la que se espera que utilice los servicios y tecnologías en salud incluidos en el acuerdo de voluntades. Esta información constituye un elemento fundamental para realizar las estimaciones requeridas en la nota técnica.</w:t>
      </w:r>
    </w:p>
    <w:p w14:paraId="7E1EB771" w14:textId="77777777" w:rsidR="00412667" w:rsidRPr="00412667" w:rsidRDefault="00412667" w:rsidP="00412667">
      <w:pPr>
        <w:pStyle w:val="Normal0"/>
        <w:rPr>
          <w:rFonts w:eastAsia="Calibri"/>
          <w:bCs/>
          <w:sz w:val="20"/>
          <w:szCs w:val="20"/>
          <w:lang w:eastAsia="en-US"/>
        </w:rPr>
      </w:pPr>
    </w:p>
    <w:p w14:paraId="7B705592" w14:textId="77777777" w:rsidR="00412667" w:rsidRPr="00412667" w:rsidRDefault="00412667" w:rsidP="00412667">
      <w:pPr>
        <w:pStyle w:val="Normal0"/>
        <w:rPr>
          <w:rFonts w:eastAsia="Calibri"/>
          <w:bCs/>
          <w:sz w:val="20"/>
          <w:szCs w:val="20"/>
          <w:lang w:eastAsia="en-US"/>
        </w:rPr>
      </w:pPr>
      <w:r w:rsidRPr="00412667">
        <w:rPr>
          <w:rFonts w:eastAsia="Calibri"/>
          <w:bCs/>
          <w:sz w:val="20"/>
          <w:szCs w:val="20"/>
          <w:lang w:eastAsia="en-US"/>
        </w:rPr>
        <w:t>La frecuencia de uso corresponde a la cantidad de veces que un determinado servicio o tecnología puede ser utilizado por una población durante un periodo establecido. Su determinación requiere analizar información histórica de utilización y relacionarla con las características de la población objeto, las condiciones de salud y las particularidades de la prestación.</w:t>
      </w:r>
    </w:p>
    <w:p w14:paraId="1F8FB50E" w14:textId="77777777" w:rsidR="00412667" w:rsidRPr="00412667" w:rsidRDefault="00412667" w:rsidP="00412667">
      <w:pPr>
        <w:pStyle w:val="Normal0"/>
        <w:rPr>
          <w:rFonts w:eastAsia="Calibri"/>
          <w:bCs/>
          <w:sz w:val="20"/>
          <w:szCs w:val="20"/>
          <w:lang w:eastAsia="en-US"/>
        </w:rPr>
      </w:pPr>
    </w:p>
    <w:p w14:paraId="6721AD08" w14:textId="77777777" w:rsidR="00412667" w:rsidRPr="00412667" w:rsidRDefault="00412667" w:rsidP="00412667">
      <w:pPr>
        <w:pStyle w:val="Normal0"/>
        <w:rPr>
          <w:rFonts w:eastAsia="Calibri"/>
          <w:bCs/>
          <w:sz w:val="20"/>
          <w:szCs w:val="20"/>
          <w:lang w:eastAsia="en-US"/>
        </w:rPr>
      </w:pPr>
      <w:r w:rsidRPr="00412667">
        <w:rPr>
          <w:rFonts w:eastAsia="Calibri"/>
          <w:bCs/>
          <w:sz w:val="20"/>
          <w:szCs w:val="20"/>
          <w:lang w:eastAsia="en-US"/>
        </w:rPr>
        <w:t>Para establecer las frecuencias de uso pueden considerarse los siguientes elementos:</w:t>
      </w:r>
    </w:p>
    <w:p w14:paraId="11F7E8AC" w14:textId="77777777" w:rsidR="00412667" w:rsidRPr="00412667" w:rsidRDefault="00412667" w:rsidP="00412667">
      <w:pPr>
        <w:pStyle w:val="Normal0"/>
        <w:rPr>
          <w:rFonts w:eastAsia="Calibri"/>
          <w:bCs/>
          <w:sz w:val="20"/>
          <w:szCs w:val="20"/>
          <w:lang w:eastAsia="en-US"/>
        </w:rPr>
      </w:pPr>
    </w:p>
    <w:p w14:paraId="390F4F13" w14:textId="2C343670" w:rsidR="00412667" w:rsidRDefault="00C827EF" w:rsidP="00412667">
      <w:pPr>
        <w:pStyle w:val="Normal0"/>
        <w:rPr>
          <w:rFonts w:eastAsia="Calibri"/>
          <w:bCs/>
          <w:sz w:val="20"/>
          <w:szCs w:val="20"/>
          <w:lang w:eastAsia="en-US"/>
        </w:rPr>
      </w:pPr>
      <w:r>
        <w:rPr>
          <w:rFonts w:eastAsia="Calibri"/>
          <w:bCs/>
          <w:noProof/>
          <w:sz w:val="20"/>
          <w:szCs w:val="20"/>
          <w:lang w:val="en-US" w:eastAsia="en-US"/>
        </w:rPr>
        <w:drawing>
          <wp:inline distT="0" distB="0" distL="0" distR="0" wp14:anchorId="1C372618" wp14:editId="19D81D16">
            <wp:extent cx="6296025" cy="5029200"/>
            <wp:effectExtent l="0" t="0" r="9525" b="0"/>
            <wp:docPr id="7" name="Diagrama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3" r:lo="rId34" r:qs="rId35" r:cs="rId36"/>
              </a:graphicData>
            </a:graphic>
          </wp:inline>
        </w:drawing>
      </w:r>
    </w:p>
    <w:p w14:paraId="6A1926C0" w14:textId="77777777" w:rsidR="00C827EF" w:rsidRPr="00412667" w:rsidRDefault="00C827EF" w:rsidP="00412667">
      <w:pPr>
        <w:pStyle w:val="Normal0"/>
        <w:rPr>
          <w:rFonts w:eastAsia="Calibri"/>
          <w:bCs/>
          <w:sz w:val="20"/>
          <w:szCs w:val="20"/>
          <w:lang w:eastAsia="en-US"/>
        </w:rPr>
      </w:pPr>
    </w:p>
    <w:p w14:paraId="1B596BAA" w14:textId="77777777" w:rsidR="00412667" w:rsidRPr="00412667" w:rsidRDefault="00412667" w:rsidP="00412667">
      <w:pPr>
        <w:pStyle w:val="Normal0"/>
        <w:rPr>
          <w:rFonts w:eastAsia="Calibri"/>
          <w:bCs/>
          <w:sz w:val="20"/>
          <w:szCs w:val="20"/>
          <w:lang w:eastAsia="en-US"/>
        </w:rPr>
      </w:pPr>
      <w:r w:rsidRPr="00412667">
        <w:rPr>
          <w:rFonts w:eastAsia="Calibri"/>
          <w:bCs/>
          <w:sz w:val="20"/>
          <w:szCs w:val="20"/>
          <w:lang w:eastAsia="en-US"/>
        </w:rPr>
        <w:t xml:space="preserve">Las frecuencias no necesariamente son iguales para toda la población. Cuando un mismo servicio o tecnología presenta comportamientos diferentes entre grupos poblacionales, es necesario analizar nuevamente las características de estos grupos y establecer los ponderadores correspondientes. Por esta razón, en algunos </w:t>
      </w:r>
      <w:r w:rsidRPr="00412667">
        <w:rPr>
          <w:rFonts w:eastAsia="Calibri"/>
          <w:bCs/>
          <w:sz w:val="20"/>
          <w:szCs w:val="20"/>
          <w:lang w:eastAsia="en-US"/>
        </w:rPr>
        <w:lastRenderedPageBreak/>
        <w:t>casos resulta necesario dividir la población inicialmente definida en grupos que presenten características o condiciones operativas diferenciadas.</w:t>
      </w:r>
    </w:p>
    <w:p w14:paraId="3DF78D4B" w14:textId="2759278B" w:rsidR="00206F88" w:rsidRDefault="00206F88" w:rsidP="00412667">
      <w:pPr>
        <w:pStyle w:val="Normal0"/>
        <w:rPr>
          <w:rFonts w:eastAsia="Calibri"/>
          <w:bCs/>
          <w:sz w:val="20"/>
          <w:szCs w:val="20"/>
          <w:lang w:eastAsia="en-US"/>
        </w:rPr>
      </w:pPr>
    </w:p>
    <w:p w14:paraId="7E8F6853" w14:textId="32965490" w:rsidR="00412667" w:rsidRDefault="00206F88" w:rsidP="00206F88">
      <w:pPr>
        <w:pStyle w:val="Normal0"/>
        <w:jc w:val="center"/>
        <w:rPr>
          <w:rFonts w:eastAsia="Calibri"/>
          <w:bCs/>
          <w:sz w:val="20"/>
          <w:szCs w:val="20"/>
          <w:lang w:eastAsia="en-US"/>
        </w:rPr>
      </w:pPr>
      <w:r w:rsidRPr="00CB52D1">
        <w:rPr>
          <w:rFonts w:eastAsia="Calibri"/>
          <w:bCs/>
          <w:noProof/>
          <w:sz w:val="20"/>
          <w:szCs w:val="20"/>
          <w:lang w:val="en-US" w:eastAsia="en-US"/>
        </w:rPr>
        <mc:AlternateContent>
          <mc:Choice Requires="wps">
            <w:drawing>
              <wp:inline distT="0" distB="0" distL="0" distR="0" wp14:anchorId="6503AAE7" wp14:editId="5856F54D">
                <wp:extent cx="5762625" cy="1404620"/>
                <wp:effectExtent l="0" t="0" r="9525" b="8890"/>
                <wp:docPr id="8"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62625" cy="1404620"/>
                        </a:xfrm>
                        <a:prstGeom prst="rect">
                          <a:avLst/>
                        </a:prstGeom>
                        <a:solidFill>
                          <a:schemeClr val="accent1">
                            <a:lumMod val="40000"/>
                            <a:lumOff val="60000"/>
                          </a:schemeClr>
                        </a:solidFill>
                        <a:ln w="9525">
                          <a:noFill/>
                          <a:miter lim="800000"/>
                          <a:headEnd/>
                          <a:tailEnd/>
                        </a:ln>
                      </wps:spPr>
                      <wps:txbx>
                        <w:txbxContent>
                          <w:p w14:paraId="6E20BE19" w14:textId="4556EB86" w:rsidR="00877F3E" w:rsidRPr="00206F88" w:rsidRDefault="00877F3E" w:rsidP="00206F88">
                            <w:pPr>
                              <w:pStyle w:val="Normal0"/>
                              <w:rPr>
                                <w:rFonts w:eastAsia="Calibri"/>
                                <w:bCs/>
                                <w:sz w:val="20"/>
                                <w:szCs w:val="20"/>
                                <w:lang w:eastAsia="en-US"/>
                              </w:rPr>
                            </w:pPr>
                            <w:r w:rsidRPr="00412667">
                              <w:rPr>
                                <w:rFonts w:eastAsia="Calibri"/>
                                <w:bCs/>
                                <w:sz w:val="20"/>
                                <w:szCs w:val="20"/>
                                <w:lang w:eastAsia="en-US"/>
                              </w:rPr>
                              <w:t>Por ejemplo, un servicio puede presentar una frecuencia de utilización diferente entre grupos de población debido a sus características epidemiológicas, edad, ubicación territorial o condiciones de acceso. En estos casos, aplicar una única frecuencia al total de la población podría generar una estimación que no represente adecuadamente el comportamiento esperado.</w:t>
                            </w:r>
                          </w:p>
                        </w:txbxContent>
                      </wps:txbx>
                      <wps:bodyPr rot="0" vert="horz" wrap="square" lIns="91440" tIns="45720" rIns="91440" bIns="45720" anchor="t" anchorCtr="0">
                        <a:spAutoFit/>
                      </wps:bodyPr>
                    </wps:wsp>
                  </a:graphicData>
                </a:graphic>
              </wp:inline>
            </w:drawing>
          </mc:Choice>
          <mc:Fallback>
            <w:pict>
              <v:shape w14:anchorId="6503AAE7" id="_x0000_s1031" type="#_x0000_t202" style="width:453.75pt;height:110.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" fillcolor="#b8cce4 [1300]" stroked="f">
                <v:textbox style="mso-fit-shape-to-text:t">
                  <w:txbxContent>
                    <w:p w14:paraId="6E20BE19" w14:textId="4556EB86" w:rsidR="00877F3E" w:rsidRPr="00206F88" w:rsidRDefault="00877F3E" w:rsidP="00206F88">
                      <w:pPr>
                        <w:pStyle w:val="Normal0"/>
                        <w:rPr>
                          <w:rFonts w:eastAsia="Calibri"/>
                          <w:bCs/>
                          <w:sz w:val="20"/>
                          <w:szCs w:val="20"/>
                          <w:lang w:eastAsia="en-US"/>
                        </w:rPr>
                      </w:pPr>
                      <w:r w:rsidRPr="00412667">
                        <w:rPr>
                          <w:rFonts w:eastAsia="Calibri"/>
                          <w:bCs/>
                          <w:sz w:val="20"/>
                          <w:szCs w:val="20"/>
                          <w:lang w:eastAsia="en-US"/>
                        </w:rPr>
                        <w:t>Por ejemplo, un servicio puede presentar una frecuencia de utilización diferente entre grupos de población debido a sus características epidemiológicas, edad, ubicación territorial o condiciones de acceso. En estos casos, aplicar una única frecuencia al total de la población podría generar una estimación que no represente adecuadamente el comportamiento esperado.</w:t>
                      </w:r>
                    </w:p>
                  </w:txbxContent>
                </v:textbox>
                <w10:anchorlock/>
              </v:shape>
            </w:pict>
          </mc:Fallback>
        </mc:AlternateContent>
      </w:r>
    </w:p>
    <w:p w14:paraId="4C36ECD5" w14:textId="77777777" w:rsidR="00206F88" w:rsidRPr="00412667" w:rsidRDefault="00206F88" w:rsidP="00412667">
      <w:pPr>
        <w:pStyle w:val="Normal0"/>
        <w:rPr>
          <w:rFonts w:eastAsia="Calibri"/>
          <w:bCs/>
          <w:sz w:val="20"/>
          <w:szCs w:val="20"/>
          <w:lang w:eastAsia="en-US"/>
        </w:rPr>
      </w:pPr>
    </w:p>
    <w:p w14:paraId="5EA2470A" w14:textId="77777777" w:rsidR="00412667" w:rsidRPr="00412667" w:rsidRDefault="00412667" w:rsidP="00412667">
      <w:pPr>
        <w:pStyle w:val="Normal0"/>
        <w:rPr>
          <w:rFonts w:eastAsia="Calibri"/>
          <w:bCs/>
          <w:sz w:val="20"/>
          <w:szCs w:val="20"/>
          <w:lang w:eastAsia="en-US"/>
        </w:rPr>
      </w:pPr>
      <w:r w:rsidRPr="00412667">
        <w:rPr>
          <w:rFonts w:eastAsia="Calibri"/>
          <w:bCs/>
          <w:sz w:val="20"/>
          <w:szCs w:val="20"/>
          <w:lang w:eastAsia="en-US"/>
        </w:rPr>
        <w:t>La información histórica de utilización constituye, por tanto, un elemento importante para establecer las frecuencias. En este proceso, los datos provenientes de los registros de prestación deben analizarse teniendo en cuenta la población objeto y las condiciones bajo las cuales se produjeron las atenciones. La información debe ser consistente y encontrarse depurada para evitar que registros que no correspondan a la población o al servicio analizado afecten las estimaciones.</w:t>
      </w:r>
    </w:p>
    <w:p w14:paraId="128C3376" w14:textId="77777777" w:rsidR="00412667" w:rsidRPr="00412667" w:rsidRDefault="00412667" w:rsidP="00412667">
      <w:pPr>
        <w:pStyle w:val="Normal0"/>
        <w:rPr>
          <w:rFonts w:eastAsia="Calibri"/>
          <w:bCs/>
          <w:sz w:val="20"/>
          <w:szCs w:val="20"/>
          <w:lang w:eastAsia="en-US"/>
        </w:rPr>
      </w:pPr>
    </w:p>
    <w:p w14:paraId="30F75444" w14:textId="279EEDC4" w:rsidR="00412667" w:rsidRDefault="00412667" w:rsidP="00412667">
      <w:pPr>
        <w:pStyle w:val="Normal0"/>
        <w:rPr>
          <w:rFonts w:eastAsia="Calibri"/>
          <w:bCs/>
          <w:sz w:val="20"/>
          <w:szCs w:val="20"/>
          <w:lang w:eastAsia="en-US"/>
        </w:rPr>
      </w:pPr>
      <w:r w:rsidRPr="00412667">
        <w:rPr>
          <w:rFonts w:eastAsia="Calibri"/>
          <w:bCs/>
          <w:sz w:val="20"/>
          <w:szCs w:val="20"/>
          <w:lang w:eastAsia="en-US"/>
        </w:rPr>
        <w:t>En la construcción de la nota técnica, las frecuencias de uso permiten relacionar la población susceptible, los servicios y tecnologías en salud y la utilización esperada durante el periodo del acuerdo de voluntades. De esta manera, se generan insumos para las proyecciones que posteriormente se relacionarán con los costos y demás elementos de la nota técnica.</w:t>
      </w:r>
    </w:p>
    <w:p w14:paraId="1193A5D0" w14:textId="77777777" w:rsidR="00412667" w:rsidRPr="000D04CD" w:rsidRDefault="00412667" w:rsidP="00412667">
      <w:pPr>
        <w:pStyle w:val="Normal0"/>
        <w:rPr>
          <w:rFonts w:eastAsia="Calibri"/>
          <w:bCs/>
          <w:sz w:val="20"/>
          <w:szCs w:val="20"/>
          <w:lang w:eastAsia="en-US"/>
        </w:rPr>
      </w:pPr>
    </w:p>
    <w:p w14:paraId="3706E45C" w14:textId="6E0378A9" w:rsidR="00AD590A" w:rsidRPr="00206F88" w:rsidRDefault="00AD590A" w:rsidP="009723E7">
      <w:pPr>
        <w:pStyle w:val="Normal0"/>
        <w:numPr>
          <w:ilvl w:val="1"/>
          <w:numId w:val="27"/>
        </w:numPr>
        <w:rPr>
          <w:rFonts w:eastAsia="Calibri"/>
          <w:b/>
          <w:bCs/>
          <w:sz w:val="20"/>
          <w:szCs w:val="20"/>
          <w:lang w:eastAsia="en-US"/>
        </w:rPr>
      </w:pPr>
      <w:r w:rsidRPr="00206F88">
        <w:rPr>
          <w:rFonts w:eastAsia="Calibri"/>
          <w:b/>
          <w:bCs/>
          <w:sz w:val="20"/>
          <w:szCs w:val="20"/>
          <w:lang w:eastAsia="en-US"/>
        </w:rPr>
        <w:t>Análisis de la oferta y la demanda de servicios</w:t>
      </w:r>
    </w:p>
    <w:p w14:paraId="0736047E" w14:textId="2100D7B0" w:rsidR="00206F88" w:rsidRDefault="00206F88" w:rsidP="00206F88">
      <w:pPr>
        <w:pStyle w:val="Normal0"/>
        <w:rPr>
          <w:rFonts w:eastAsia="Calibri"/>
          <w:bCs/>
          <w:sz w:val="20"/>
          <w:szCs w:val="20"/>
          <w:lang w:eastAsia="en-US"/>
        </w:rPr>
      </w:pPr>
    </w:p>
    <w:p w14:paraId="16C8D53C" w14:textId="77777777" w:rsidR="006105B8" w:rsidRPr="006105B8" w:rsidRDefault="006105B8" w:rsidP="006105B8">
      <w:pPr>
        <w:pStyle w:val="Normal0"/>
        <w:rPr>
          <w:rFonts w:eastAsia="Calibri"/>
          <w:bCs/>
          <w:sz w:val="20"/>
          <w:szCs w:val="20"/>
          <w:lang w:eastAsia="en-US"/>
        </w:rPr>
      </w:pPr>
      <w:r w:rsidRPr="006105B8">
        <w:rPr>
          <w:rFonts w:eastAsia="Calibri"/>
          <w:bCs/>
          <w:sz w:val="20"/>
          <w:szCs w:val="20"/>
          <w:lang w:eastAsia="en-US"/>
        </w:rPr>
        <w:t>El análisis de la oferta y la demanda permite relacionar las necesidades de la población con la capacidad disponible para atenderlas y con el comportamiento observado en la utilización de los servicios de salud. Esta información contribuye a interpretar los datos históricos y a establecer proyecciones coherentes con las condiciones de la población objeto y del territorio.</w:t>
      </w:r>
    </w:p>
    <w:p w14:paraId="31A92F7F" w14:textId="77777777" w:rsidR="006105B8" w:rsidRPr="006105B8" w:rsidRDefault="006105B8" w:rsidP="006105B8">
      <w:pPr>
        <w:pStyle w:val="Normal0"/>
        <w:rPr>
          <w:rFonts w:eastAsia="Calibri"/>
          <w:bCs/>
          <w:sz w:val="20"/>
          <w:szCs w:val="20"/>
          <w:lang w:eastAsia="en-US"/>
        </w:rPr>
      </w:pPr>
    </w:p>
    <w:p w14:paraId="467E7DC1" w14:textId="67EFE0BA" w:rsidR="006105B8" w:rsidRDefault="006105B8" w:rsidP="006105B8">
      <w:pPr>
        <w:pStyle w:val="Normal0"/>
        <w:rPr>
          <w:rFonts w:eastAsia="Calibri"/>
          <w:bCs/>
          <w:sz w:val="20"/>
          <w:szCs w:val="20"/>
          <w:lang w:eastAsia="en-US"/>
        </w:rPr>
      </w:pPr>
      <w:r>
        <w:rPr>
          <w:rFonts w:eastAsia="Calibri"/>
          <w:bCs/>
          <w:noProof/>
          <w:sz w:val="20"/>
          <w:szCs w:val="20"/>
          <w:lang w:val="en-US" w:eastAsia="en-US"/>
        </w:rPr>
        <w:drawing>
          <wp:inline distT="0" distB="0" distL="0" distR="0" wp14:anchorId="254A9330" wp14:editId="2AF0D3A1">
            <wp:extent cx="6381750" cy="2855343"/>
            <wp:effectExtent l="0" t="0" r="0" b="2540"/>
            <wp:docPr id="9" name="Diagrama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8" r:lo="rId39" r:qs="rId40" r:cs="rId41"/>
              </a:graphicData>
            </a:graphic>
          </wp:inline>
        </w:drawing>
      </w:r>
    </w:p>
    <w:p w14:paraId="788D2A1D" w14:textId="77777777" w:rsidR="006105B8" w:rsidRPr="006105B8" w:rsidRDefault="006105B8" w:rsidP="006105B8">
      <w:pPr>
        <w:pStyle w:val="Normal0"/>
        <w:rPr>
          <w:rFonts w:eastAsia="Calibri"/>
          <w:bCs/>
          <w:sz w:val="20"/>
          <w:szCs w:val="20"/>
          <w:lang w:eastAsia="en-US"/>
        </w:rPr>
      </w:pPr>
    </w:p>
    <w:p w14:paraId="7DAB3551" w14:textId="77777777" w:rsidR="006105B8" w:rsidRPr="006105B8" w:rsidRDefault="006105B8" w:rsidP="006105B8">
      <w:pPr>
        <w:pStyle w:val="Normal0"/>
        <w:rPr>
          <w:rFonts w:eastAsia="Calibri"/>
          <w:bCs/>
          <w:sz w:val="20"/>
          <w:szCs w:val="20"/>
          <w:lang w:eastAsia="en-US"/>
        </w:rPr>
      </w:pPr>
      <w:r w:rsidRPr="006105B8">
        <w:rPr>
          <w:rFonts w:eastAsia="Calibri"/>
          <w:bCs/>
          <w:sz w:val="20"/>
          <w:szCs w:val="20"/>
          <w:lang w:eastAsia="en-US"/>
        </w:rPr>
        <w:t>Por esta razón, el análisis debe considerar tanto la oferta disponible como el comportamiento de la demanda. La relación entre ambas puede variar según las características de la población, el territorio, las condiciones epidemiológicas y las posibilidades de acceso a los servicios.</w:t>
      </w:r>
    </w:p>
    <w:p w14:paraId="2C296D52" w14:textId="77777777" w:rsidR="006105B8" w:rsidRPr="006105B8" w:rsidRDefault="006105B8" w:rsidP="006105B8">
      <w:pPr>
        <w:pStyle w:val="Normal0"/>
        <w:rPr>
          <w:rFonts w:eastAsia="Calibri"/>
          <w:bCs/>
          <w:sz w:val="20"/>
          <w:szCs w:val="20"/>
          <w:lang w:eastAsia="en-US"/>
        </w:rPr>
      </w:pPr>
    </w:p>
    <w:p w14:paraId="4C53B73C" w14:textId="77777777" w:rsidR="006105B8" w:rsidRPr="006105B8" w:rsidRDefault="006105B8" w:rsidP="006105B8">
      <w:pPr>
        <w:pStyle w:val="Normal0"/>
        <w:rPr>
          <w:rFonts w:eastAsia="Calibri"/>
          <w:bCs/>
          <w:sz w:val="20"/>
          <w:szCs w:val="20"/>
          <w:lang w:eastAsia="en-US"/>
        </w:rPr>
      </w:pPr>
      <w:r w:rsidRPr="006105B8">
        <w:rPr>
          <w:rFonts w:eastAsia="Calibri"/>
          <w:bCs/>
          <w:sz w:val="20"/>
          <w:szCs w:val="20"/>
          <w:lang w:eastAsia="en-US"/>
        </w:rPr>
        <w:lastRenderedPageBreak/>
        <w:t>El análisis de la oferta y la demanda no debe limitarse a una observación puntual. El comportamiento registrado durante diferentes periodos permite identificar tendencias y variaciones relevantes para las proyecciones de la nota técnica. Para este análisis pueden considerarse los siguientes aspectos:</w:t>
      </w:r>
    </w:p>
    <w:p w14:paraId="42A94779" w14:textId="77777777" w:rsidR="006105B8" w:rsidRPr="006105B8" w:rsidRDefault="006105B8" w:rsidP="006105B8">
      <w:pPr>
        <w:pStyle w:val="Normal0"/>
        <w:rPr>
          <w:rFonts w:eastAsia="Calibri"/>
          <w:bCs/>
          <w:sz w:val="20"/>
          <w:szCs w:val="20"/>
          <w:lang w:eastAsia="en-US"/>
        </w:rPr>
      </w:pPr>
    </w:p>
    <w:p w14:paraId="7327BC27" w14:textId="77777777" w:rsidR="006105B8" w:rsidRPr="006105B8" w:rsidRDefault="006105B8" w:rsidP="00716DEA">
      <w:pPr>
        <w:pStyle w:val="Normal0"/>
        <w:numPr>
          <w:ilvl w:val="0"/>
          <w:numId w:val="7"/>
        </w:numPr>
        <w:rPr>
          <w:rFonts w:eastAsia="Calibri"/>
          <w:bCs/>
          <w:sz w:val="20"/>
          <w:szCs w:val="20"/>
          <w:lang w:eastAsia="en-US"/>
        </w:rPr>
      </w:pPr>
      <w:r w:rsidRPr="0019129F">
        <w:rPr>
          <w:rFonts w:eastAsia="Calibri"/>
          <w:b/>
          <w:bCs/>
          <w:sz w:val="20"/>
          <w:szCs w:val="20"/>
          <w:lang w:eastAsia="en-US"/>
        </w:rPr>
        <w:t>Comportamiento de la utilización:</w:t>
      </w:r>
      <w:r w:rsidRPr="006105B8">
        <w:rPr>
          <w:rFonts w:eastAsia="Calibri"/>
          <w:bCs/>
          <w:sz w:val="20"/>
          <w:szCs w:val="20"/>
          <w:lang w:eastAsia="en-US"/>
        </w:rPr>
        <w:t xml:space="preserve"> analizar los servicios y tecnologías utilizados durante diferentes periodos, teniendo en cuenta las condiciones en las que se produjeron las atenciones.</w:t>
      </w:r>
    </w:p>
    <w:p w14:paraId="566A2425" w14:textId="77777777" w:rsidR="006105B8" w:rsidRPr="006105B8" w:rsidRDefault="006105B8" w:rsidP="00716DEA">
      <w:pPr>
        <w:pStyle w:val="Normal0"/>
        <w:numPr>
          <w:ilvl w:val="0"/>
          <w:numId w:val="7"/>
        </w:numPr>
        <w:rPr>
          <w:rFonts w:eastAsia="Calibri"/>
          <w:bCs/>
          <w:sz w:val="20"/>
          <w:szCs w:val="20"/>
          <w:lang w:eastAsia="en-US"/>
        </w:rPr>
      </w:pPr>
      <w:r w:rsidRPr="0019129F">
        <w:rPr>
          <w:rFonts w:eastAsia="Calibri"/>
          <w:b/>
          <w:bCs/>
          <w:sz w:val="20"/>
          <w:szCs w:val="20"/>
          <w:lang w:eastAsia="en-US"/>
        </w:rPr>
        <w:t>Frecuencia esperada:</w:t>
      </w:r>
      <w:r w:rsidRPr="006105B8">
        <w:rPr>
          <w:rFonts w:eastAsia="Calibri"/>
          <w:bCs/>
          <w:sz w:val="20"/>
          <w:szCs w:val="20"/>
          <w:lang w:eastAsia="en-US"/>
        </w:rPr>
        <w:t xml:space="preserve"> cuando existen guías de práctica clínica o Rutas Integrales de Atención en Salud (RIAS) que permiten establecer una frecuencia esperada, estas pueden utilizarse como referentes para analizar la utilización de determinados servicios.</w:t>
      </w:r>
    </w:p>
    <w:p w14:paraId="40F98292" w14:textId="77777777" w:rsidR="006105B8" w:rsidRPr="006105B8" w:rsidRDefault="006105B8" w:rsidP="00716DEA">
      <w:pPr>
        <w:pStyle w:val="Normal0"/>
        <w:numPr>
          <w:ilvl w:val="0"/>
          <w:numId w:val="7"/>
        </w:numPr>
        <w:rPr>
          <w:rFonts w:eastAsia="Calibri"/>
          <w:bCs/>
          <w:sz w:val="20"/>
          <w:szCs w:val="20"/>
          <w:lang w:eastAsia="en-US"/>
        </w:rPr>
      </w:pPr>
      <w:r w:rsidRPr="0019129F">
        <w:rPr>
          <w:rFonts w:eastAsia="Calibri"/>
          <w:b/>
          <w:bCs/>
          <w:sz w:val="20"/>
          <w:szCs w:val="20"/>
          <w:lang w:eastAsia="en-US"/>
        </w:rPr>
        <w:t>Información histórica</w:t>
      </w:r>
      <w:r w:rsidRPr="006105B8">
        <w:rPr>
          <w:rFonts w:eastAsia="Calibri"/>
          <w:bCs/>
          <w:sz w:val="20"/>
          <w:szCs w:val="20"/>
          <w:lang w:eastAsia="en-US"/>
        </w:rPr>
        <w:t>: cuando la demanda presenta mayor variabilidad, la información histórica de la misma población o de poblaciones comparables puede aportar elementos para establecer las estimaciones correspondientes.</w:t>
      </w:r>
    </w:p>
    <w:p w14:paraId="3F1300CB" w14:textId="77777777" w:rsidR="006105B8" w:rsidRPr="006105B8" w:rsidRDefault="006105B8" w:rsidP="00716DEA">
      <w:pPr>
        <w:pStyle w:val="Normal0"/>
        <w:numPr>
          <w:ilvl w:val="0"/>
          <w:numId w:val="7"/>
        </w:numPr>
        <w:rPr>
          <w:rFonts w:eastAsia="Calibri"/>
          <w:bCs/>
          <w:sz w:val="20"/>
          <w:szCs w:val="20"/>
          <w:lang w:eastAsia="en-US"/>
        </w:rPr>
      </w:pPr>
      <w:r w:rsidRPr="0019129F">
        <w:rPr>
          <w:rFonts w:eastAsia="Calibri"/>
          <w:b/>
          <w:bCs/>
          <w:sz w:val="20"/>
          <w:szCs w:val="20"/>
          <w:lang w:eastAsia="en-US"/>
        </w:rPr>
        <w:t>Cambios en la población:</w:t>
      </w:r>
      <w:r w:rsidRPr="006105B8">
        <w:rPr>
          <w:rFonts w:eastAsia="Calibri"/>
          <w:bCs/>
          <w:sz w:val="20"/>
          <w:szCs w:val="20"/>
          <w:lang w:eastAsia="en-US"/>
        </w:rPr>
        <w:t xml:space="preserve"> considerar las variaciones en el tamaño y las características demográficas o epidemiológicas de la población durante el periodo analizado.</w:t>
      </w:r>
    </w:p>
    <w:p w14:paraId="571238D9" w14:textId="77777777" w:rsidR="006105B8" w:rsidRPr="006105B8" w:rsidRDefault="006105B8" w:rsidP="00716DEA">
      <w:pPr>
        <w:pStyle w:val="Normal0"/>
        <w:numPr>
          <w:ilvl w:val="0"/>
          <w:numId w:val="7"/>
        </w:numPr>
        <w:rPr>
          <w:rFonts w:eastAsia="Calibri"/>
          <w:bCs/>
          <w:sz w:val="20"/>
          <w:szCs w:val="20"/>
          <w:lang w:eastAsia="en-US"/>
        </w:rPr>
      </w:pPr>
      <w:r w:rsidRPr="0019129F">
        <w:rPr>
          <w:rFonts w:eastAsia="Calibri"/>
          <w:b/>
          <w:bCs/>
          <w:sz w:val="20"/>
          <w:szCs w:val="20"/>
          <w:lang w:eastAsia="en-US"/>
        </w:rPr>
        <w:t>Cambios en la oferta:</w:t>
      </w:r>
      <w:r w:rsidRPr="006105B8">
        <w:rPr>
          <w:rFonts w:eastAsia="Calibri"/>
          <w:bCs/>
          <w:sz w:val="20"/>
          <w:szCs w:val="20"/>
          <w:lang w:eastAsia="en-US"/>
        </w:rPr>
        <w:t xml:space="preserve"> identificar modificaciones en la disponibilidad de servicios, talento humano, infraestructura u otras condiciones que puedan influir en el comportamiento observado.</w:t>
      </w:r>
    </w:p>
    <w:p w14:paraId="711BB326" w14:textId="77777777" w:rsidR="006105B8" w:rsidRPr="006105B8" w:rsidRDefault="006105B8" w:rsidP="00716DEA">
      <w:pPr>
        <w:pStyle w:val="Normal0"/>
        <w:numPr>
          <w:ilvl w:val="0"/>
          <w:numId w:val="7"/>
        </w:numPr>
        <w:rPr>
          <w:rFonts w:eastAsia="Calibri"/>
          <w:bCs/>
          <w:sz w:val="20"/>
          <w:szCs w:val="20"/>
          <w:lang w:eastAsia="en-US"/>
        </w:rPr>
      </w:pPr>
      <w:r w:rsidRPr="0019129F">
        <w:rPr>
          <w:rFonts w:eastAsia="Calibri"/>
          <w:b/>
          <w:bCs/>
          <w:sz w:val="20"/>
          <w:szCs w:val="20"/>
          <w:lang w:eastAsia="en-US"/>
        </w:rPr>
        <w:t>Condiciones de acceso y prestación:</w:t>
      </w:r>
      <w:r w:rsidRPr="006105B8">
        <w:rPr>
          <w:rFonts w:eastAsia="Calibri"/>
          <w:bCs/>
          <w:sz w:val="20"/>
          <w:szCs w:val="20"/>
          <w:lang w:eastAsia="en-US"/>
        </w:rPr>
        <w:t xml:space="preserve"> considerar factores que puedan facilitar o limitar la utilización de los servicios, como las condiciones territoriales y operativas.</w:t>
      </w:r>
    </w:p>
    <w:p w14:paraId="4EB49C3C" w14:textId="77777777" w:rsidR="006105B8" w:rsidRPr="006105B8" w:rsidRDefault="006105B8" w:rsidP="006105B8">
      <w:pPr>
        <w:pStyle w:val="Normal0"/>
        <w:rPr>
          <w:rFonts w:eastAsia="Calibri"/>
          <w:bCs/>
          <w:sz w:val="20"/>
          <w:szCs w:val="20"/>
          <w:lang w:eastAsia="en-US"/>
        </w:rPr>
      </w:pPr>
    </w:p>
    <w:p w14:paraId="01DA8523" w14:textId="77777777" w:rsidR="006105B8" w:rsidRPr="006105B8" w:rsidRDefault="006105B8" w:rsidP="006105B8">
      <w:pPr>
        <w:pStyle w:val="Normal0"/>
        <w:rPr>
          <w:rFonts w:eastAsia="Calibri"/>
          <w:bCs/>
          <w:sz w:val="20"/>
          <w:szCs w:val="20"/>
          <w:lang w:eastAsia="en-US"/>
        </w:rPr>
      </w:pPr>
      <w:r w:rsidRPr="006105B8">
        <w:rPr>
          <w:rFonts w:eastAsia="Calibri"/>
          <w:bCs/>
          <w:sz w:val="20"/>
          <w:szCs w:val="20"/>
          <w:lang w:eastAsia="en-US"/>
        </w:rPr>
        <w:t>Una variación en el número de atenciones no necesariamente significa que hayan cambiado las necesidades de salud de la población; también puede estar relacionada con modificaciones en la población, la oferta disponible, el acceso o las condiciones de prestación.</w:t>
      </w:r>
    </w:p>
    <w:p w14:paraId="3732534D" w14:textId="77777777" w:rsidR="006105B8" w:rsidRPr="006105B8" w:rsidRDefault="006105B8" w:rsidP="006105B8">
      <w:pPr>
        <w:pStyle w:val="Normal0"/>
        <w:rPr>
          <w:rFonts w:eastAsia="Calibri"/>
          <w:bCs/>
          <w:sz w:val="20"/>
          <w:szCs w:val="20"/>
          <w:lang w:eastAsia="en-US"/>
        </w:rPr>
      </w:pPr>
    </w:p>
    <w:p w14:paraId="20B284AC" w14:textId="77777777" w:rsidR="006105B8" w:rsidRPr="006105B8" w:rsidRDefault="006105B8" w:rsidP="006105B8">
      <w:pPr>
        <w:pStyle w:val="Normal0"/>
        <w:rPr>
          <w:rFonts w:eastAsia="Calibri"/>
          <w:bCs/>
          <w:sz w:val="20"/>
          <w:szCs w:val="20"/>
          <w:lang w:eastAsia="en-US"/>
        </w:rPr>
      </w:pPr>
      <w:r w:rsidRPr="006105B8">
        <w:rPr>
          <w:rFonts w:eastAsia="Calibri"/>
          <w:bCs/>
          <w:sz w:val="20"/>
          <w:szCs w:val="20"/>
          <w:lang w:eastAsia="en-US"/>
        </w:rPr>
        <w:t>En la construcción de la nota técnica, el análisis conjunto de la oferta y la demanda permite relacionar la capacidad disponible, la utilización observada y las necesidades de la población objeto. Esta información complementa el análisis de las frecuencias de uso y proporciona elementos para sustentar las proyecciones de servicios y tecnologías durante el periodo del acuerdo de voluntades.</w:t>
      </w:r>
    </w:p>
    <w:p w14:paraId="38B0E694" w14:textId="11C1DD52" w:rsidR="006105B8" w:rsidRDefault="006105B8" w:rsidP="006105B8">
      <w:pPr>
        <w:pStyle w:val="Normal0"/>
        <w:rPr>
          <w:rFonts w:eastAsia="Calibri"/>
          <w:bCs/>
          <w:sz w:val="20"/>
          <w:szCs w:val="20"/>
          <w:lang w:eastAsia="en-US"/>
        </w:rPr>
      </w:pPr>
    </w:p>
    <w:p w14:paraId="4EF56A62" w14:textId="16C2F016" w:rsidR="00192A5D" w:rsidRDefault="00192A5D" w:rsidP="00192A5D">
      <w:pPr>
        <w:pStyle w:val="Normal0"/>
        <w:jc w:val="center"/>
        <w:rPr>
          <w:rFonts w:eastAsia="Calibri"/>
          <w:bCs/>
          <w:sz w:val="20"/>
          <w:szCs w:val="20"/>
          <w:lang w:eastAsia="en-US"/>
        </w:rPr>
      </w:pPr>
      <w:r w:rsidRPr="00CB52D1">
        <w:rPr>
          <w:rFonts w:eastAsia="Calibri"/>
          <w:bCs/>
          <w:noProof/>
          <w:sz w:val="20"/>
          <w:szCs w:val="20"/>
          <w:lang w:val="en-US" w:eastAsia="en-US"/>
        </w:rPr>
        <mc:AlternateContent>
          <mc:Choice Requires="wps">
            <w:drawing>
              <wp:inline distT="0" distB="0" distL="0" distR="0" wp14:anchorId="4F814BA4" wp14:editId="2E3FAFA4">
                <wp:extent cx="5762625" cy="1404620"/>
                <wp:effectExtent l="0" t="0" r="9525" b="8890"/>
                <wp:docPr id="10"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62625" cy="1404620"/>
                        </a:xfrm>
                        <a:prstGeom prst="rect">
                          <a:avLst/>
                        </a:prstGeom>
                        <a:solidFill>
                          <a:schemeClr val="accent1">
                            <a:lumMod val="40000"/>
                            <a:lumOff val="60000"/>
                          </a:schemeClr>
                        </a:solidFill>
                        <a:ln w="9525">
                          <a:noFill/>
                          <a:miter lim="800000"/>
                          <a:headEnd/>
                          <a:tailEnd/>
                        </a:ln>
                      </wps:spPr>
                      <wps:txbx>
                        <w:txbxContent>
                          <w:p w14:paraId="51022C4C" w14:textId="3E9FC127" w:rsidR="00877F3E" w:rsidRPr="00206F88" w:rsidRDefault="00877F3E" w:rsidP="00192A5D">
                            <w:pPr>
                              <w:pStyle w:val="Normal0"/>
                              <w:rPr>
                                <w:rFonts w:eastAsia="Calibri"/>
                                <w:bCs/>
                                <w:sz w:val="20"/>
                                <w:szCs w:val="20"/>
                                <w:lang w:eastAsia="en-US"/>
                              </w:rPr>
                            </w:pPr>
                            <w:r w:rsidRPr="00412667">
                              <w:rPr>
                                <w:rFonts w:eastAsia="Calibri"/>
                                <w:bCs/>
                                <w:sz w:val="20"/>
                                <w:szCs w:val="20"/>
                                <w:lang w:eastAsia="en-US"/>
                              </w:rPr>
                              <w:t xml:space="preserve">Por ejemplo, </w:t>
                            </w:r>
                            <w:r>
                              <w:rPr>
                                <w:rFonts w:eastAsia="Calibri"/>
                                <w:bCs/>
                                <w:sz w:val="20"/>
                                <w:szCs w:val="20"/>
                                <w:lang w:eastAsia="en-US"/>
                              </w:rPr>
                              <w:t>u</w:t>
                            </w:r>
                            <w:r w:rsidRPr="00192A5D">
                              <w:rPr>
                                <w:rFonts w:eastAsia="Calibri"/>
                                <w:bCs/>
                                <w:sz w:val="20"/>
                                <w:szCs w:val="20"/>
                                <w:lang w:eastAsia="en-US"/>
                              </w:rPr>
                              <w:t>na población puede presentar una necesidad determinada de atención, pero la utilización registrada puede ser inferior debido a dificultades de acceso, disponibilidad limitada de servicios o condiciones territoriales. En este caso, analizar únicamente el número histórico de atenciones podría no representar adecuadamente las necesidades de la población. Por ello, la interpretación de los datos debe considerar conjuntamente las características de la población, la demanda observada y la capacidad de oferta disponible.</w:t>
                            </w:r>
                          </w:p>
                        </w:txbxContent>
                      </wps:txbx>
                      <wps:bodyPr rot="0" vert="horz" wrap="square" lIns="91440" tIns="45720" rIns="91440" bIns="45720" anchor="t" anchorCtr="0">
                        <a:spAutoFit/>
                      </wps:bodyPr>
                    </wps:wsp>
                  </a:graphicData>
                </a:graphic>
              </wp:inline>
            </w:drawing>
          </mc:Choice>
          <mc:Fallback>
            <w:pict>
              <v:shape w14:anchorId="4F814BA4" id="_x0000_s1032" type="#_x0000_t202" style="width:453.75pt;height:110.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" fillcolor="#b8cce4 [1300]" stroked="f">
                <v:textbox style="mso-fit-shape-to-text:t">
                  <w:txbxContent>
                    <w:p w14:paraId="51022C4C" w14:textId="3E9FC127" w:rsidR="00877F3E" w:rsidRPr="00206F88" w:rsidRDefault="00877F3E" w:rsidP="00192A5D">
                      <w:pPr>
                        <w:pStyle w:val="Normal0"/>
                        <w:rPr>
                          <w:rFonts w:eastAsia="Calibri"/>
                          <w:bCs/>
                          <w:sz w:val="20"/>
                          <w:szCs w:val="20"/>
                          <w:lang w:eastAsia="en-US"/>
                        </w:rPr>
                      </w:pPr>
                      <w:r w:rsidRPr="00412667">
                        <w:rPr>
                          <w:rFonts w:eastAsia="Calibri"/>
                          <w:bCs/>
                          <w:sz w:val="20"/>
                          <w:szCs w:val="20"/>
                          <w:lang w:eastAsia="en-US"/>
                        </w:rPr>
                        <w:t xml:space="preserve">Por ejemplo, </w:t>
                      </w:r>
                      <w:r>
                        <w:rPr>
                          <w:rFonts w:eastAsia="Calibri"/>
                          <w:bCs/>
                          <w:sz w:val="20"/>
                          <w:szCs w:val="20"/>
                          <w:lang w:eastAsia="en-US"/>
                        </w:rPr>
                        <w:t>u</w:t>
                      </w:r>
                      <w:r w:rsidRPr="00192A5D">
                        <w:rPr>
                          <w:rFonts w:eastAsia="Calibri"/>
                          <w:bCs/>
                          <w:sz w:val="20"/>
                          <w:szCs w:val="20"/>
                          <w:lang w:eastAsia="en-US"/>
                        </w:rPr>
                        <w:t>na población puede presentar una necesidad determinada de atención, pero la utilización registrada puede ser inferior debido a dificultades de acceso, disponibilidad limitada de servicios o condiciones territoriales. En este caso, analizar únicamente el número histórico de atenciones podría no representar adecuadamente las necesidades de la población. Por ello, la interpretación de los datos debe considerar conjuntamente las características de la población, la demanda observada y la capacidad de oferta disponible.</w:t>
                      </w:r>
                    </w:p>
                  </w:txbxContent>
                </v:textbox>
                <w10:anchorlock/>
              </v:shape>
            </w:pict>
          </mc:Fallback>
        </mc:AlternateContent>
      </w:r>
    </w:p>
    <w:p w14:paraId="4DEB2548" w14:textId="77777777" w:rsidR="00192A5D" w:rsidRDefault="00192A5D" w:rsidP="006105B8">
      <w:pPr>
        <w:pStyle w:val="Normal0"/>
        <w:rPr>
          <w:rFonts w:eastAsia="Calibri"/>
          <w:bCs/>
          <w:sz w:val="20"/>
          <w:szCs w:val="20"/>
          <w:lang w:eastAsia="en-US"/>
        </w:rPr>
      </w:pPr>
    </w:p>
    <w:p w14:paraId="13E0E5CE" w14:textId="1FDB9090" w:rsidR="008C6EC5" w:rsidRPr="00192A5D" w:rsidRDefault="008C6EC5" w:rsidP="009723E7">
      <w:pPr>
        <w:pStyle w:val="Normal0"/>
        <w:numPr>
          <w:ilvl w:val="1"/>
          <w:numId w:val="27"/>
        </w:numPr>
        <w:rPr>
          <w:rFonts w:eastAsia="Calibri"/>
          <w:b/>
          <w:bCs/>
          <w:sz w:val="20"/>
          <w:szCs w:val="20"/>
          <w:lang w:eastAsia="en-US"/>
        </w:rPr>
      </w:pPr>
      <w:r w:rsidRPr="00192A5D">
        <w:rPr>
          <w:rFonts w:eastAsia="Calibri"/>
          <w:b/>
          <w:bCs/>
          <w:sz w:val="20"/>
          <w:szCs w:val="20"/>
          <w:lang w:eastAsia="en-US"/>
        </w:rPr>
        <w:t>Validación de los soportes de atención</w:t>
      </w:r>
    </w:p>
    <w:p w14:paraId="4545AD5E" w14:textId="1D18CCD0" w:rsidR="00192A5D" w:rsidRDefault="00192A5D" w:rsidP="00192A5D">
      <w:pPr>
        <w:pStyle w:val="Normal0"/>
        <w:rPr>
          <w:rFonts w:eastAsia="Calibri"/>
          <w:bCs/>
          <w:sz w:val="20"/>
          <w:szCs w:val="20"/>
          <w:lang w:eastAsia="en-US"/>
        </w:rPr>
      </w:pPr>
    </w:p>
    <w:p w14:paraId="5AAD8716" w14:textId="77777777" w:rsidR="00192A5D" w:rsidRPr="00192A5D" w:rsidRDefault="00192A5D" w:rsidP="00192A5D">
      <w:pPr>
        <w:pStyle w:val="Normal0"/>
        <w:rPr>
          <w:rFonts w:eastAsia="Calibri"/>
          <w:bCs/>
          <w:sz w:val="20"/>
          <w:szCs w:val="20"/>
          <w:lang w:eastAsia="en-US"/>
        </w:rPr>
      </w:pPr>
      <w:r w:rsidRPr="00192A5D">
        <w:rPr>
          <w:rFonts w:eastAsia="Calibri"/>
          <w:bCs/>
          <w:sz w:val="20"/>
          <w:szCs w:val="20"/>
          <w:lang w:eastAsia="en-US"/>
        </w:rPr>
        <w:t>La información utilizada para establecer las frecuencias de uso debe corresponder a atenciones efectivamente realizadas. Por esta razón, antes de utilizar los datos históricos como insumo para la construcción de la nota técnica, es necesario validar los soportes que respaldan la prestación de los servicios y tecnologías en salud.</w:t>
      </w:r>
    </w:p>
    <w:p w14:paraId="4E2440B7" w14:textId="77777777" w:rsidR="00192A5D" w:rsidRPr="00192A5D" w:rsidRDefault="00192A5D" w:rsidP="00192A5D">
      <w:pPr>
        <w:pStyle w:val="Normal0"/>
        <w:rPr>
          <w:rFonts w:eastAsia="Calibri"/>
          <w:bCs/>
          <w:sz w:val="20"/>
          <w:szCs w:val="20"/>
          <w:lang w:eastAsia="en-US"/>
        </w:rPr>
      </w:pPr>
    </w:p>
    <w:p w14:paraId="5FD391A2" w14:textId="77777777" w:rsidR="00192A5D" w:rsidRPr="00192A5D" w:rsidRDefault="00192A5D" w:rsidP="00192A5D">
      <w:pPr>
        <w:pStyle w:val="Normal0"/>
        <w:rPr>
          <w:rFonts w:eastAsia="Calibri"/>
          <w:bCs/>
          <w:sz w:val="20"/>
          <w:szCs w:val="20"/>
          <w:lang w:eastAsia="en-US"/>
        </w:rPr>
      </w:pPr>
      <w:r w:rsidRPr="00192A5D">
        <w:rPr>
          <w:rFonts w:eastAsia="Calibri"/>
          <w:bCs/>
          <w:sz w:val="20"/>
          <w:szCs w:val="20"/>
          <w:lang w:eastAsia="en-US"/>
        </w:rPr>
        <w:t xml:space="preserve">Los </w:t>
      </w:r>
      <w:r w:rsidRPr="00192A5D">
        <w:rPr>
          <w:rFonts w:eastAsia="Calibri"/>
          <w:b/>
          <w:bCs/>
          <w:sz w:val="20"/>
          <w:szCs w:val="20"/>
          <w:lang w:eastAsia="en-US"/>
        </w:rPr>
        <w:t>soportes de atención</w:t>
      </w:r>
      <w:r w:rsidRPr="00192A5D">
        <w:rPr>
          <w:rFonts w:eastAsia="Calibri"/>
          <w:bCs/>
          <w:sz w:val="20"/>
          <w:szCs w:val="20"/>
          <w:lang w:eastAsia="en-US"/>
        </w:rPr>
        <w:t xml:space="preserve"> corresponden a la documentación clínica y administrativa que permite acreditar la prestación de un servicio o tecnología en salud. Entre estos pueden encontrarse la historia clínica, la orden médica, el Registro Individual de Prestación de Servicios de Salud (RIPS) asociado y los documentos relacionados con la facturación electrónica en salud.</w:t>
      </w:r>
    </w:p>
    <w:p w14:paraId="5286D5EF" w14:textId="77777777" w:rsidR="00192A5D" w:rsidRPr="00192A5D" w:rsidRDefault="00192A5D" w:rsidP="00192A5D">
      <w:pPr>
        <w:pStyle w:val="Normal0"/>
        <w:rPr>
          <w:rFonts w:eastAsia="Calibri"/>
          <w:bCs/>
          <w:sz w:val="20"/>
          <w:szCs w:val="20"/>
          <w:lang w:eastAsia="en-US"/>
        </w:rPr>
      </w:pPr>
    </w:p>
    <w:p w14:paraId="19CA02C0" w14:textId="77777777" w:rsidR="00192A5D" w:rsidRPr="00192A5D" w:rsidRDefault="00192A5D" w:rsidP="00192A5D">
      <w:pPr>
        <w:pStyle w:val="Normal0"/>
        <w:rPr>
          <w:rFonts w:eastAsia="Calibri"/>
          <w:bCs/>
          <w:sz w:val="20"/>
          <w:szCs w:val="20"/>
          <w:lang w:eastAsia="en-US"/>
        </w:rPr>
      </w:pPr>
      <w:r w:rsidRPr="00192A5D">
        <w:rPr>
          <w:rFonts w:eastAsia="Calibri"/>
          <w:bCs/>
          <w:sz w:val="20"/>
          <w:szCs w:val="20"/>
          <w:lang w:eastAsia="en-US"/>
        </w:rPr>
        <w:lastRenderedPageBreak/>
        <w:t>La validación de estos soportes permite comprobar que la información utilizada para analizar las frecuencias de uso corresponde a servicios efectivamente prestados y que los registros guardan relación con la población objeto y con los servicios analizados. Para este proceso pueden considerarse los siguientes aspectos:</w:t>
      </w:r>
    </w:p>
    <w:p w14:paraId="75D839D1" w14:textId="77777777" w:rsidR="00192A5D" w:rsidRPr="00192A5D" w:rsidRDefault="00192A5D" w:rsidP="00192A5D">
      <w:pPr>
        <w:pStyle w:val="Normal0"/>
        <w:rPr>
          <w:rFonts w:eastAsia="Calibri"/>
          <w:bCs/>
          <w:sz w:val="20"/>
          <w:szCs w:val="20"/>
          <w:lang w:eastAsia="en-US"/>
        </w:rPr>
      </w:pPr>
    </w:p>
    <w:p w14:paraId="032EFE5E" w14:textId="77777777" w:rsidR="00192A5D" w:rsidRPr="00192A5D" w:rsidRDefault="00192A5D" w:rsidP="00716DEA">
      <w:pPr>
        <w:pStyle w:val="Normal0"/>
        <w:numPr>
          <w:ilvl w:val="0"/>
          <w:numId w:val="8"/>
        </w:numPr>
        <w:rPr>
          <w:rFonts w:eastAsia="Calibri"/>
          <w:bCs/>
          <w:sz w:val="20"/>
          <w:szCs w:val="20"/>
          <w:lang w:eastAsia="en-US"/>
        </w:rPr>
      </w:pPr>
      <w:r w:rsidRPr="00192A5D">
        <w:rPr>
          <w:rFonts w:eastAsia="Calibri"/>
          <w:b/>
          <w:bCs/>
          <w:sz w:val="20"/>
          <w:szCs w:val="20"/>
          <w:lang w:eastAsia="en-US"/>
        </w:rPr>
        <w:t>Correspondencia de la atención:</w:t>
      </w:r>
      <w:r w:rsidRPr="00192A5D">
        <w:rPr>
          <w:rFonts w:eastAsia="Calibri"/>
          <w:bCs/>
          <w:sz w:val="20"/>
          <w:szCs w:val="20"/>
          <w:lang w:eastAsia="en-US"/>
        </w:rPr>
        <w:t xml:space="preserve"> verificar que el soporte permita establecer que el servicio o tecnología fue efectivamente prestado.</w:t>
      </w:r>
    </w:p>
    <w:p w14:paraId="3CE0FDF1" w14:textId="77777777" w:rsidR="00192A5D" w:rsidRPr="00192A5D" w:rsidRDefault="00192A5D" w:rsidP="00716DEA">
      <w:pPr>
        <w:pStyle w:val="Normal0"/>
        <w:numPr>
          <w:ilvl w:val="0"/>
          <w:numId w:val="8"/>
        </w:numPr>
        <w:rPr>
          <w:rFonts w:eastAsia="Calibri"/>
          <w:bCs/>
          <w:sz w:val="20"/>
          <w:szCs w:val="20"/>
          <w:lang w:eastAsia="en-US"/>
        </w:rPr>
      </w:pPr>
      <w:r w:rsidRPr="00192A5D">
        <w:rPr>
          <w:rFonts w:eastAsia="Calibri"/>
          <w:b/>
          <w:bCs/>
          <w:sz w:val="20"/>
          <w:szCs w:val="20"/>
          <w:lang w:eastAsia="en-US"/>
        </w:rPr>
        <w:t>Identificación del servicio:</w:t>
      </w:r>
      <w:r w:rsidRPr="00192A5D">
        <w:rPr>
          <w:rFonts w:eastAsia="Calibri"/>
          <w:bCs/>
          <w:sz w:val="20"/>
          <w:szCs w:val="20"/>
          <w:lang w:eastAsia="en-US"/>
        </w:rPr>
        <w:t xml:space="preserve"> comprobar que el servicio o tecnología registrado corresponda al código y denominación utilizados en el análisis.</w:t>
      </w:r>
    </w:p>
    <w:p w14:paraId="1E7ADD53" w14:textId="77777777" w:rsidR="00192A5D" w:rsidRPr="00192A5D" w:rsidRDefault="00192A5D" w:rsidP="00716DEA">
      <w:pPr>
        <w:pStyle w:val="Normal0"/>
        <w:numPr>
          <w:ilvl w:val="0"/>
          <w:numId w:val="8"/>
        </w:numPr>
        <w:rPr>
          <w:rFonts w:eastAsia="Calibri"/>
          <w:bCs/>
          <w:sz w:val="20"/>
          <w:szCs w:val="20"/>
          <w:lang w:eastAsia="en-US"/>
        </w:rPr>
      </w:pPr>
      <w:r w:rsidRPr="00192A5D">
        <w:rPr>
          <w:rFonts w:eastAsia="Calibri"/>
          <w:b/>
          <w:bCs/>
          <w:sz w:val="20"/>
          <w:szCs w:val="20"/>
          <w:lang w:eastAsia="en-US"/>
        </w:rPr>
        <w:t>Correspondencia con la población:</w:t>
      </w:r>
      <w:r w:rsidRPr="00192A5D">
        <w:rPr>
          <w:rFonts w:eastAsia="Calibri"/>
          <w:bCs/>
          <w:sz w:val="20"/>
          <w:szCs w:val="20"/>
          <w:lang w:eastAsia="en-US"/>
        </w:rPr>
        <w:t xml:space="preserve"> verificar que la atención corresponda a personas que hacen parte de la población objeto o susceptible definida para el análisis.</w:t>
      </w:r>
    </w:p>
    <w:p w14:paraId="6A896A4E" w14:textId="77777777" w:rsidR="00192A5D" w:rsidRPr="00192A5D" w:rsidRDefault="00192A5D" w:rsidP="00716DEA">
      <w:pPr>
        <w:pStyle w:val="Normal0"/>
        <w:numPr>
          <w:ilvl w:val="0"/>
          <w:numId w:val="8"/>
        </w:numPr>
        <w:rPr>
          <w:rFonts w:eastAsia="Calibri"/>
          <w:bCs/>
          <w:sz w:val="20"/>
          <w:szCs w:val="20"/>
          <w:lang w:eastAsia="en-US"/>
        </w:rPr>
      </w:pPr>
      <w:r w:rsidRPr="00192A5D">
        <w:rPr>
          <w:rFonts w:eastAsia="Calibri"/>
          <w:b/>
          <w:bCs/>
          <w:sz w:val="20"/>
          <w:szCs w:val="20"/>
          <w:lang w:eastAsia="en-US"/>
        </w:rPr>
        <w:t>Consistencia de los registros:</w:t>
      </w:r>
      <w:r w:rsidRPr="00192A5D">
        <w:rPr>
          <w:rFonts w:eastAsia="Calibri"/>
          <w:bCs/>
          <w:sz w:val="20"/>
          <w:szCs w:val="20"/>
          <w:lang w:eastAsia="en-US"/>
        </w:rPr>
        <w:t xml:space="preserve"> identificar posibles duplicidades, inconsistencias o errores de codificación que puedan alterar las frecuencias de uso.</w:t>
      </w:r>
    </w:p>
    <w:p w14:paraId="34C0122C" w14:textId="77777777" w:rsidR="00192A5D" w:rsidRPr="00192A5D" w:rsidRDefault="00192A5D" w:rsidP="00716DEA">
      <w:pPr>
        <w:pStyle w:val="Normal0"/>
        <w:numPr>
          <w:ilvl w:val="0"/>
          <w:numId w:val="8"/>
        </w:numPr>
        <w:rPr>
          <w:rFonts w:eastAsia="Calibri"/>
          <w:bCs/>
          <w:sz w:val="20"/>
          <w:szCs w:val="20"/>
          <w:lang w:eastAsia="en-US"/>
        </w:rPr>
      </w:pPr>
      <w:r w:rsidRPr="00192A5D">
        <w:rPr>
          <w:rFonts w:eastAsia="Calibri"/>
          <w:b/>
          <w:bCs/>
          <w:sz w:val="20"/>
          <w:szCs w:val="20"/>
          <w:lang w:eastAsia="en-US"/>
        </w:rPr>
        <w:t>Relación entre los soportes:</w:t>
      </w:r>
      <w:r w:rsidRPr="00192A5D">
        <w:rPr>
          <w:rFonts w:eastAsia="Calibri"/>
          <w:bCs/>
          <w:sz w:val="20"/>
          <w:szCs w:val="20"/>
          <w:lang w:eastAsia="en-US"/>
        </w:rPr>
        <w:t xml:space="preserve"> comprobar la correspondencia entre los documentos clínicos, los registros de prestación y la información utilizada para el análisis histórico.</w:t>
      </w:r>
    </w:p>
    <w:p w14:paraId="4785E1AC" w14:textId="77777777" w:rsidR="00192A5D" w:rsidRPr="00192A5D" w:rsidRDefault="00192A5D" w:rsidP="00716DEA">
      <w:pPr>
        <w:pStyle w:val="Normal0"/>
        <w:numPr>
          <w:ilvl w:val="0"/>
          <w:numId w:val="8"/>
        </w:numPr>
        <w:rPr>
          <w:rFonts w:eastAsia="Calibri"/>
          <w:bCs/>
          <w:sz w:val="20"/>
          <w:szCs w:val="20"/>
          <w:lang w:eastAsia="en-US"/>
        </w:rPr>
      </w:pPr>
      <w:r w:rsidRPr="00192A5D">
        <w:rPr>
          <w:rFonts w:eastAsia="Calibri"/>
          <w:b/>
          <w:bCs/>
          <w:sz w:val="20"/>
          <w:szCs w:val="20"/>
          <w:lang w:eastAsia="en-US"/>
        </w:rPr>
        <w:t>Soportes de facturación:</w:t>
      </w:r>
      <w:r w:rsidRPr="00192A5D">
        <w:rPr>
          <w:rFonts w:eastAsia="Calibri"/>
          <w:bCs/>
          <w:sz w:val="20"/>
          <w:szCs w:val="20"/>
          <w:lang w:eastAsia="en-US"/>
        </w:rPr>
        <w:t xml:space="preserve"> considerar la documentación asociada a la factura electrónica en salud y los requisitos establecidos para respaldar la prestación de los servicios.</w:t>
      </w:r>
    </w:p>
    <w:p w14:paraId="762F6C75" w14:textId="77777777" w:rsidR="00192A5D" w:rsidRPr="00192A5D" w:rsidRDefault="00192A5D" w:rsidP="00192A5D">
      <w:pPr>
        <w:pStyle w:val="Normal0"/>
        <w:rPr>
          <w:rFonts w:eastAsia="Calibri"/>
          <w:bCs/>
          <w:sz w:val="20"/>
          <w:szCs w:val="20"/>
          <w:lang w:eastAsia="en-US"/>
        </w:rPr>
      </w:pPr>
    </w:p>
    <w:p w14:paraId="1460B0B4" w14:textId="77777777" w:rsidR="00192A5D" w:rsidRPr="00192A5D" w:rsidRDefault="00192A5D" w:rsidP="00192A5D">
      <w:pPr>
        <w:pStyle w:val="Normal0"/>
        <w:rPr>
          <w:rFonts w:eastAsia="Calibri"/>
          <w:bCs/>
          <w:sz w:val="20"/>
          <w:szCs w:val="20"/>
          <w:lang w:eastAsia="en-US"/>
        </w:rPr>
      </w:pPr>
      <w:r w:rsidRPr="00192A5D">
        <w:rPr>
          <w:rFonts w:eastAsia="Calibri"/>
          <w:bCs/>
          <w:sz w:val="20"/>
          <w:szCs w:val="20"/>
          <w:lang w:eastAsia="en-US"/>
        </w:rPr>
        <w:t xml:space="preserve">La validación también debe considerar el marco normativo relacionado con la auditoría, las devoluciones, las glosas y las respuestas. La </w:t>
      </w:r>
      <w:r w:rsidRPr="00192A5D">
        <w:rPr>
          <w:rFonts w:eastAsia="Calibri"/>
          <w:b/>
          <w:bCs/>
          <w:sz w:val="20"/>
          <w:szCs w:val="20"/>
          <w:lang w:eastAsia="en-US"/>
        </w:rPr>
        <w:t>Resolución 2284 de 2023</w:t>
      </w:r>
      <w:r w:rsidRPr="00192A5D">
        <w:rPr>
          <w:rFonts w:eastAsia="Calibri"/>
          <w:bCs/>
          <w:sz w:val="20"/>
          <w:szCs w:val="20"/>
          <w:lang w:eastAsia="en-US"/>
        </w:rPr>
        <w:t xml:space="preserve">, modificada por la </w:t>
      </w:r>
      <w:r w:rsidRPr="00192A5D">
        <w:rPr>
          <w:rFonts w:eastAsia="Calibri"/>
          <w:b/>
          <w:bCs/>
          <w:sz w:val="20"/>
          <w:szCs w:val="20"/>
          <w:lang w:eastAsia="en-US"/>
        </w:rPr>
        <w:t>Resolución 1885 de 2024</w:t>
      </w:r>
      <w:r w:rsidRPr="00192A5D">
        <w:rPr>
          <w:rFonts w:eastAsia="Calibri"/>
          <w:bCs/>
          <w:sz w:val="20"/>
          <w:szCs w:val="20"/>
          <w:lang w:eastAsia="en-US"/>
        </w:rPr>
        <w:t xml:space="preserve">, establece disposiciones relacionadas con estos procesos, mientras que la </w:t>
      </w:r>
      <w:r w:rsidRPr="00192A5D">
        <w:rPr>
          <w:rFonts w:eastAsia="Calibri"/>
          <w:b/>
          <w:bCs/>
          <w:sz w:val="20"/>
          <w:szCs w:val="20"/>
          <w:lang w:eastAsia="en-US"/>
        </w:rPr>
        <w:t>Circular Conjunta 007 de 2025</w:t>
      </w:r>
      <w:r w:rsidRPr="00192A5D">
        <w:rPr>
          <w:rFonts w:eastAsia="Calibri"/>
          <w:bCs/>
          <w:sz w:val="20"/>
          <w:szCs w:val="20"/>
          <w:lang w:eastAsia="en-US"/>
        </w:rPr>
        <w:t xml:space="preserve"> del Ministerio de Salud y Protección Social y la Superintendencia Nacional de Salud aborda aspectos relacionados con la justificación de las glosas y su utilización dentro de los procesos de facturación.</w:t>
      </w:r>
    </w:p>
    <w:p w14:paraId="5C67A7F4" w14:textId="77777777" w:rsidR="00192A5D" w:rsidRPr="00192A5D" w:rsidRDefault="00192A5D" w:rsidP="00192A5D">
      <w:pPr>
        <w:pStyle w:val="Normal0"/>
        <w:rPr>
          <w:rFonts w:eastAsia="Calibri"/>
          <w:bCs/>
          <w:sz w:val="20"/>
          <w:szCs w:val="20"/>
          <w:lang w:eastAsia="en-US"/>
        </w:rPr>
      </w:pPr>
    </w:p>
    <w:p w14:paraId="0FA32F2F" w14:textId="77777777" w:rsidR="00192A5D" w:rsidRPr="00192A5D" w:rsidRDefault="00192A5D" w:rsidP="00192A5D">
      <w:pPr>
        <w:pStyle w:val="Normal0"/>
        <w:rPr>
          <w:rFonts w:eastAsia="Calibri"/>
          <w:bCs/>
          <w:sz w:val="20"/>
          <w:szCs w:val="20"/>
          <w:lang w:eastAsia="en-US"/>
        </w:rPr>
      </w:pPr>
      <w:r w:rsidRPr="00192A5D">
        <w:rPr>
          <w:rFonts w:eastAsia="Calibri"/>
          <w:bCs/>
          <w:sz w:val="20"/>
          <w:szCs w:val="20"/>
          <w:lang w:eastAsia="en-US"/>
        </w:rPr>
        <w:t>Es importante diferenciar la validación de los soportes de la función de la nota técnica. La nota técnica utiliza información histórica para analizar el comportamiento de las frecuencias de uso y sustentar proyecciones; por tanto, la validación busca garantizar la calidad y correspondencia de los datos utilizados como insumo, pero no convierte la nota técnica en un mecanismo de auditoría de cada servicio prestado.</w:t>
      </w:r>
    </w:p>
    <w:p w14:paraId="4FAC2B1D" w14:textId="3ADD63E4" w:rsidR="00192A5D" w:rsidRDefault="00192A5D" w:rsidP="00192A5D">
      <w:pPr>
        <w:pStyle w:val="Normal0"/>
        <w:rPr>
          <w:rFonts w:eastAsia="Calibri"/>
          <w:bCs/>
          <w:sz w:val="20"/>
          <w:szCs w:val="20"/>
          <w:lang w:eastAsia="en-US"/>
        </w:rPr>
      </w:pPr>
    </w:p>
    <w:p w14:paraId="406D769C" w14:textId="25322C95" w:rsidR="00192A5D" w:rsidRDefault="00192A5D" w:rsidP="00192A5D">
      <w:pPr>
        <w:pStyle w:val="Normal0"/>
        <w:jc w:val="center"/>
        <w:rPr>
          <w:rFonts w:eastAsia="Calibri"/>
          <w:bCs/>
          <w:sz w:val="20"/>
          <w:szCs w:val="20"/>
          <w:lang w:eastAsia="en-US"/>
        </w:rPr>
      </w:pPr>
      <w:r w:rsidRPr="00CB52D1">
        <w:rPr>
          <w:rFonts w:eastAsia="Calibri"/>
          <w:bCs/>
          <w:noProof/>
          <w:sz w:val="20"/>
          <w:szCs w:val="20"/>
          <w:lang w:val="en-US" w:eastAsia="en-US"/>
        </w:rPr>
        <mc:AlternateContent>
          <mc:Choice Requires="wps">
            <w:drawing>
              <wp:inline distT="0" distB="0" distL="0" distR="0" wp14:anchorId="10E50FD2" wp14:editId="3E9CADE7">
                <wp:extent cx="5762625" cy="1404620"/>
                <wp:effectExtent l="0" t="0" r="9525" b="8890"/>
                <wp:docPr id="11"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62625" cy="1404620"/>
                        </a:xfrm>
                        <a:prstGeom prst="rect">
                          <a:avLst/>
                        </a:prstGeom>
                        <a:solidFill>
                          <a:schemeClr val="accent1">
                            <a:lumMod val="40000"/>
                            <a:lumOff val="60000"/>
                          </a:schemeClr>
                        </a:solidFill>
                        <a:ln w="9525">
                          <a:noFill/>
                          <a:miter lim="800000"/>
                          <a:headEnd/>
                          <a:tailEnd/>
                        </a:ln>
                      </wps:spPr>
                      <wps:txbx>
                        <w:txbxContent>
                          <w:p w14:paraId="426C24F3" w14:textId="117B1B92" w:rsidR="00877F3E" w:rsidRPr="00206F88" w:rsidRDefault="00877F3E" w:rsidP="00192A5D">
                            <w:pPr>
                              <w:pStyle w:val="Normal0"/>
                              <w:rPr>
                                <w:rFonts w:eastAsia="Calibri"/>
                                <w:bCs/>
                                <w:sz w:val="20"/>
                                <w:szCs w:val="20"/>
                                <w:lang w:eastAsia="en-US"/>
                              </w:rPr>
                            </w:pPr>
                            <w:r w:rsidRPr="00412667">
                              <w:rPr>
                                <w:rFonts w:eastAsia="Calibri"/>
                                <w:bCs/>
                                <w:sz w:val="20"/>
                                <w:szCs w:val="20"/>
                                <w:lang w:eastAsia="en-US"/>
                              </w:rPr>
                              <w:t xml:space="preserve">Por ejemplo, </w:t>
                            </w:r>
                            <w:r>
                              <w:rPr>
                                <w:rFonts w:eastAsia="Calibri"/>
                                <w:bCs/>
                                <w:sz w:val="20"/>
                                <w:szCs w:val="20"/>
                                <w:lang w:eastAsia="en-US"/>
                              </w:rPr>
                              <w:t>p</w:t>
                            </w:r>
                            <w:r w:rsidRPr="00192A5D">
                              <w:rPr>
                                <w:rFonts w:eastAsia="Calibri"/>
                                <w:bCs/>
                                <w:sz w:val="20"/>
                                <w:szCs w:val="20"/>
                                <w:lang w:eastAsia="en-US"/>
                              </w:rPr>
                              <w:t>ara proyectar la frecuencia de un determinado servicio, se dispone de registros históricos de atención. Antes de utilizar estos datos, se identifican registros duplicados, atenciones correspondientes a personas que no pertenecen a la población objeto y registros cuyo código no corresponde al servicio analizado. Después de realizar la validación y depuración, los datos que cumplen las condiciones establecidas pueden utilizarse como insumo para analizar el comportamiento histórico y establecer las frecuencias correspondientes.</w:t>
                            </w:r>
                          </w:p>
                        </w:txbxContent>
                      </wps:txbx>
                      <wps:bodyPr rot="0" vert="horz" wrap="square" lIns="91440" tIns="45720" rIns="91440" bIns="45720" anchor="t" anchorCtr="0">
                        <a:spAutoFit/>
                      </wps:bodyPr>
                    </wps:wsp>
                  </a:graphicData>
                </a:graphic>
              </wp:inline>
            </w:drawing>
          </mc:Choice>
          <mc:Fallback>
            <w:pict>
              <v:shape w14:anchorId="10E50FD2" id="_x0000_s1033" type="#_x0000_t202" style="width:453.75pt;height:110.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" fillcolor="#b8cce4 [1300]" stroked="f">
                <v:textbox style="mso-fit-shape-to-text:t">
                  <w:txbxContent>
                    <w:p w14:paraId="426C24F3" w14:textId="117B1B92" w:rsidR="00877F3E" w:rsidRPr="00206F88" w:rsidRDefault="00877F3E" w:rsidP="00192A5D">
                      <w:pPr>
                        <w:pStyle w:val="Normal0"/>
                        <w:rPr>
                          <w:rFonts w:eastAsia="Calibri"/>
                          <w:bCs/>
                          <w:sz w:val="20"/>
                          <w:szCs w:val="20"/>
                          <w:lang w:eastAsia="en-US"/>
                        </w:rPr>
                      </w:pPr>
                      <w:r w:rsidRPr="00412667">
                        <w:rPr>
                          <w:rFonts w:eastAsia="Calibri"/>
                          <w:bCs/>
                          <w:sz w:val="20"/>
                          <w:szCs w:val="20"/>
                          <w:lang w:eastAsia="en-US"/>
                        </w:rPr>
                        <w:t xml:space="preserve">Por ejemplo, </w:t>
                      </w:r>
                      <w:r>
                        <w:rPr>
                          <w:rFonts w:eastAsia="Calibri"/>
                          <w:bCs/>
                          <w:sz w:val="20"/>
                          <w:szCs w:val="20"/>
                          <w:lang w:eastAsia="en-US"/>
                        </w:rPr>
                        <w:t>p</w:t>
                      </w:r>
                      <w:r w:rsidRPr="00192A5D">
                        <w:rPr>
                          <w:rFonts w:eastAsia="Calibri"/>
                          <w:bCs/>
                          <w:sz w:val="20"/>
                          <w:szCs w:val="20"/>
                          <w:lang w:eastAsia="en-US"/>
                        </w:rPr>
                        <w:t>ara proyectar la frecuencia de un determinado servicio, se dispone de registros históricos de atención. Antes de utilizar estos datos, se identifican registros duplicados, atenciones correspondientes a personas que no pertenecen a la población objeto y registros cuyo código no corresponde al servicio analizado. Después de realizar la validación y depuración, los datos que cumplen las condiciones establecidas pueden utilizarse como insumo para analizar el comportamiento histórico y establecer las frecuencias correspondientes.</w:t>
                      </w:r>
                    </w:p>
                  </w:txbxContent>
                </v:textbox>
                <w10:anchorlock/>
              </v:shape>
            </w:pict>
          </mc:Fallback>
        </mc:AlternateContent>
      </w:r>
    </w:p>
    <w:p w14:paraId="7169CAE1" w14:textId="02991812" w:rsidR="00192A5D" w:rsidRDefault="00192A5D" w:rsidP="00192A5D">
      <w:pPr>
        <w:pStyle w:val="Normal0"/>
        <w:rPr>
          <w:rFonts w:eastAsia="Calibri"/>
          <w:bCs/>
          <w:sz w:val="20"/>
          <w:szCs w:val="20"/>
          <w:lang w:eastAsia="en-US"/>
        </w:rPr>
      </w:pPr>
    </w:p>
    <w:p w14:paraId="463D279B" w14:textId="77777777" w:rsidR="00192A5D" w:rsidRPr="00FC3304" w:rsidRDefault="00192A5D" w:rsidP="00192A5D">
      <w:pPr>
        <w:pStyle w:val="Normal0"/>
        <w:rPr>
          <w:rFonts w:eastAsia="Calibri"/>
          <w:bCs/>
          <w:sz w:val="20"/>
          <w:szCs w:val="20"/>
          <w:lang w:eastAsia="en-US"/>
        </w:rPr>
      </w:pPr>
    </w:p>
    <w:p w14:paraId="640D100F" w14:textId="058F2ACE" w:rsidR="008C6EC5" w:rsidRDefault="008C6EC5" w:rsidP="009723E7">
      <w:pPr>
        <w:pStyle w:val="Normal0"/>
        <w:numPr>
          <w:ilvl w:val="0"/>
          <w:numId w:val="27"/>
        </w:numPr>
        <w:rPr>
          <w:rFonts w:eastAsia="Calibri"/>
          <w:b/>
          <w:bCs/>
          <w:sz w:val="20"/>
          <w:szCs w:val="20"/>
          <w:lang w:eastAsia="en-US"/>
        </w:rPr>
      </w:pPr>
      <w:r>
        <w:rPr>
          <w:rFonts w:eastAsia="Calibri"/>
          <w:b/>
          <w:bCs/>
          <w:sz w:val="20"/>
          <w:szCs w:val="20"/>
          <w:lang w:eastAsia="en-US"/>
        </w:rPr>
        <w:t xml:space="preserve">Fundamentos </w:t>
      </w:r>
      <w:r w:rsidRPr="008C6EC5">
        <w:rPr>
          <w:rFonts w:eastAsia="Calibri"/>
          <w:b/>
          <w:bCs/>
          <w:sz w:val="20"/>
          <w:szCs w:val="20"/>
          <w:lang w:eastAsia="en-US"/>
        </w:rPr>
        <w:t>de la contratación en salud</w:t>
      </w:r>
    </w:p>
    <w:p w14:paraId="6069C40E" w14:textId="549325CA" w:rsidR="00192A5D" w:rsidRDefault="00192A5D" w:rsidP="00192A5D">
      <w:pPr>
        <w:pStyle w:val="Normal0"/>
        <w:rPr>
          <w:rFonts w:eastAsia="Calibri"/>
          <w:b/>
          <w:bCs/>
          <w:sz w:val="20"/>
          <w:szCs w:val="20"/>
          <w:lang w:eastAsia="en-US"/>
        </w:rPr>
      </w:pPr>
    </w:p>
    <w:p w14:paraId="36A881A7" w14:textId="77777777" w:rsidR="00192A5D" w:rsidRPr="00192A5D" w:rsidRDefault="00192A5D" w:rsidP="00192A5D">
      <w:pPr>
        <w:pStyle w:val="Normal0"/>
        <w:rPr>
          <w:rFonts w:eastAsia="Calibri"/>
          <w:bCs/>
          <w:sz w:val="20"/>
          <w:szCs w:val="20"/>
          <w:lang w:eastAsia="en-US"/>
        </w:rPr>
      </w:pPr>
      <w:r w:rsidRPr="00192A5D">
        <w:rPr>
          <w:rFonts w:eastAsia="Calibri"/>
          <w:bCs/>
          <w:sz w:val="20"/>
          <w:szCs w:val="20"/>
          <w:lang w:eastAsia="en-US"/>
        </w:rPr>
        <w:t>La construcción de una nota técnica requiere comprender el contexto en el que se establecen los acuerdos de voluntades entre las entidades responsables del pago, los prestadores de servicios de salud y los proveedores de tecnologías en salud. Estos acuerdos definen las condiciones bajo las cuales se organiza y desarrolla la prestación de los servicios y tecnologías requeridos por una población determinada.</w:t>
      </w:r>
    </w:p>
    <w:p w14:paraId="7982A8F9" w14:textId="77777777" w:rsidR="00192A5D" w:rsidRPr="00192A5D" w:rsidRDefault="00192A5D" w:rsidP="00192A5D">
      <w:pPr>
        <w:pStyle w:val="Normal0"/>
        <w:rPr>
          <w:rFonts w:eastAsia="Calibri"/>
          <w:bCs/>
          <w:sz w:val="20"/>
          <w:szCs w:val="20"/>
          <w:lang w:eastAsia="en-US"/>
        </w:rPr>
      </w:pPr>
    </w:p>
    <w:p w14:paraId="24995956" w14:textId="77777777" w:rsidR="00192A5D" w:rsidRPr="00192A5D" w:rsidRDefault="00192A5D" w:rsidP="00192A5D">
      <w:pPr>
        <w:pStyle w:val="Normal0"/>
        <w:rPr>
          <w:rFonts w:eastAsia="Calibri"/>
          <w:bCs/>
          <w:sz w:val="20"/>
          <w:szCs w:val="20"/>
          <w:lang w:eastAsia="en-US"/>
        </w:rPr>
      </w:pPr>
      <w:r w:rsidRPr="00192A5D">
        <w:rPr>
          <w:rFonts w:eastAsia="Calibri"/>
          <w:bCs/>
          <w:sz w:val="20"/>
          <w:szCs w:val="20"/>
          <w:lang w:eastAsia="en-US"/>
        </w:rPr>
        <w:t>En este contexto, la contratación en salud se relaciona con aspectos normativos, administrativos, técnicos y financieros que deben considerarse al establecer las condiciones del acuerdo. Entre ellos se encuentran las modalidades de pago, la identificación de los servicios y tecnologías, las condiciones de prestación, los mecanismos de seguimiento y la información que sustenta las estimaciones realizadas.</w:t>
      </w:r>
    </w:p>
    <w:p w14:paraId="2A04FBE7" w14:textId="77777777" w:rsidR="00192A5D" w:rsidRPr="00192A5D" w:rsidRDefault="00192A5D" w:rsidP="00192A5D">
      <w:pPr>
        <w:pStyle w:val="Normal0"/>
        <w:rPr>
          <w:rFonts w:eastAsia="Calibri"/>
          <w:bCs/>
          <w:sz w:val="20"/>
          <w:szCs w:val="20"/>
          <w:lang w:eastAsia="en-US"/>
        </w:rPr>
      </w:pPr>
    </w:p>
    <w:p w14:paraId="1C40A795" w14:textId="77777777" w:rsidR="00192A5D" w:rsidRPr="00192A5D" w:rsidRDefault="00192A5D" w:rsidP="00192A5D">
      <w:pPr>
        <w:pStyle w:val="Normal0"/>
        <w:rPr>
          <w:rFonts w:eastAsia="Calibri"/>
          <w:bCs/>
          <w:sz w:val="20"/>
          <w:szCs w:val="20"/>
          <w:lang w:eastAsia="en-US"/>
        </w:rPr>
      </w:pPr>
      <w:r w:rsidRPr="00192A5D">
        <w:rPr>
          <w:rFonts w:eastAsia="Calibri"/>
          <w:bCs/>
          <w:sz w:val="20"/>
          <w:szCs w:val="20"/>
          <w:lang w:eastAsia="en-US"/>
        </w:rPr>
        <w:lastRenderedPageBreak/>
        <w:t xml:space="preserve">El </w:t>
      </w:r>
      <w:r w:rsidRPr="00192A5D">
        <w:rPr>
          <w:rFonts w:eastAsia="Calibri"/>
          <w:b/>
          <w:bCs/>
          <w:sz w:val="20"/>
          <w:szCs w:val="20"/>
          <w:lang w:eastAsia="en-US"/>
        </w:rPr>
        <w:t>Decreto 441 de 2022</w:t>
      </w:r>
      <w:r w:rsidRPr="00192A5D">
        <w:rPr>
          <w:rFonts w:eastAsia="Calibri"/>
          <w:bCs/>
          <w:sz w:val="20"/>
          <w:szCs w:val="20"/>
          <w:lang w:eastAsia="en-US"/>
        </w:rPr>
        <w:t>, que modificó y adicionó disposiciones del Decreto 780 de 2016 en materia de acuerdos de voluntades, establece elementos relacionados con la contratación entre las entidades responsables de pago, los prestadores de servicios de salud y los proveedores de tecnologías en salud. Dentro de este marco, la nota técnica constituye un elemento asociado a los acuerdos de voluntades y proporciona información para sustentar aspectos relacionados con la población, los servicios y tecnologías, las frecuencias de uso y los riesgos considerados.</w:t>
      </w:r>
    </w:p>
    <w:p w14:paraId="7769D0B9" w14:textId="77777777" w:rsidR="00192A5D" w:rsidRPr="00192A5D" w:rsidRDefault="00192A5D" w:rsidP="00192A5D">
      <w:pPr>
        <w:pStyle w:val="Normal0"/>
        <w:rPr>
          <w:rFonts w:eastAsia="Calibri"/>
          <w:bCs/>
          <w:sz w:val="20"/>
          <w:szCs w:val="20"/>
          <w:lang w:eastAsia="en-US"/>
        </w:rPr>
      </w:pPr>
    </w:p>
    <w:p w14:paraId="317941FE" w14:textId="77777777" w:rsidR="00192A5D" w:rsidRPr="00192A5D" w:rsidRDefault="00192A5D" w:rsidP="00192A5D">
      <w:pPr>
        <w:pStyle w:val="Normal0"/>
        <w:rPr>
          <w:rFonts w:eastAsia="Calibri"/>
          <w:bCs/>
          <w:sz w:val="20"/>
          <w:szCs w:val="20"/>
          <w:lang w:eastAsia="en-US"/>
        </w:rPr>
      </w:pPr>
      <w:r w:rsidRPr="00192A5D">
        <w:rPr>
          <w:rFonts w:eastAsia="Calibri"/>
          <w:bCs/>
          <w:sz w:val="20"/>
          <w:szCs w:val="20"/>
          <w:lang w:eastAsia="en-US"/>
        </w:rPr>
        <w:t>El análisis de estos fundamentos permite comprender cómo se relacionan las condiciones de contratación con la información utilizada para construir y hacer seguimiento a la nota técnica. Para ello, este apartado aborda:</w:t>
      </w:r>
    </w:p>
    <w:p w14:paraId="13E57F9F" w14:textId="77777777" w:rsidR="00192A5D" w:rsidRPr="00192A5D" w:rsidRDefault="00192A5D" w:rsidP="00192A5D">
      <w:pPr>
        <w:pStyle w:val="Normal0"/>
        <w:rPr>
          <w:rFonts w:eastAsia="Calibri"/>
          <w:bCs/>
          <w:sz w:val="20"/>
          <w:szCs w:val="20"/>
          <w:lang w:eastAsia="en-US"/>
        </w:rPr>
      </w:pPr>
    </w:p>
    <w:p w14:paraId="665DC223" w14:textId="77777777" w:rsidR="00192A5D" w:rsidRPr="00192A5D" w:rsidRDefault="00192A5D" w:rsidP="00716DEA">
      <w:pPr>
        <w:pStyle w:val="Normal0"/>
        <w:numPr>
          <w:ilvl w:val="0"/>
          <w:numId w:val="9"/>
        </w:numPr>
        <w:rPr>
          <w:rFonts w:eastAsia="Calibri"/>
          <w:bCs/>
          <w:sz w:val="20"/>
          <w:szCs w:val="20"/>
          <w:lang w:eastAsia="en-US"/>
        </w:rPr>
      </w:pPr>
      <w:r w:rsidRPr="00192A5D">
        <w:rPr>
          <w:rFonts w:eastAsia="Calibri"/>
          <w:b/>
          <w:bCs/>
          <w:sz w:val="20"/>
          <w:szCs w:val="20"/>
          <w:lang w:eastAsia="en-US"/>
        </w:rPr>
        <w:t>Marco normativo aplicable a los acuerdos de voluntades:</w:t>
      </w:r>
      <w:r w:rsidRPr="00192A5D">
        <w:rPr>
          <w:rFonts w:eastAsia="Calibri"/>
          <w:bCs/>
          <w:sz w:val="20"/>
          <w:szCs w:val="20"/>
          <w:lang w:eastAsia="en-US"/>
        </w:rPr>
        <w:t xml:space="preserve"> principales disposiciones que regulan las relaciones entre los actores que participan en la contratación de servicios y tecnologías en salud.</w:t>
      </w:r>
    </w:p>
    <w:p w14:paraId="35EDAE94" w14:textId="77777777" w:rsidR="00192A5D" w:rsidRPr="00192A5D" w:rsidRDefault="00192A5D" w:rsidP="00716DEA">
      <w:pPr>
        <w:pStyle w:val="Normal0"/>
        <w:numPr>
          <w:ilvl w:val="0"/>
          <w:numId w:val="9"/>
        </w:numPr>
        <w:rPr>
          <w:rFonts w:eastAsia="Calibri"/>
          <w:bCs/>
          <w:sz w:val="20"/>
          <w:szCs w:val="20"/>
          <w:lang w:eastAsia="en-US"/>
        </w:rPr>
      </w:pPr>
      <w:r w:rsidRPr="00192A5D">
        <w:rPr>
          <w:rFonts w:eastAsia="Calibri"/>
          <w:b/>
          <w:bCs/>
          <w:sz w:val="20"/>
          <w:szCs w:val="20"/>
          <w:lang w:eastAsia="en-US"/>
        </w:rPr>
        <w:t>Modalidades de pago:</w:t>
      </w:r>
      <w:r w:rsidRPr="00192A5D">
        <w:rPr>
          <w:rFonts w:eastAsia="Calibri"/>
          <w:bCs/>
          <w:sz w:val="20"/>
          <w:szCs w:val="20"/>
          <w:lang w:eastAsia="en-US"/>
        </w:rPr>
        <w:t xml:space="preserve"> mecanismos mediante los cuales se establece la forma de reconocimiento y pago de los servicios y tecnologías contratados.</w:t>
      </w:r>
    </w:p>
    <w:p w14:paraId="7A4F32E3" w14:textId="77777777" w:rsidR="00192A5D" w:rsidRPr="00192A5D" w:rsidRDefault="00192A5D" w:rsidP="00716DEA">
      <w:pPr>
        <w:pStyle w:val="Normal0"/>
        <w:numPr>
          <w:ilvl w:val="0"/>
          <w:numId w:val="9"/>
        </w:numPr>
        <w:rPr>
          <w:rFonts w:eastAsia="Calibri"/>
          <w:bCs/>
          <w:sz w:val="20"/>
          <w:szCs w:val="20"/>
          <w:lang w:eastAsia="en-US"/>
        </w:rPr>
      </w:pPr>
      <w:r w:rsidRPr="00192A5D">
        <w:rPr>
          <w:rFonts w:eastAsia="Calibri"/>
          <w:b/>
          <w:bCs/>
          <w:sz w:val="20"/>
          <w:szCs w:val="20"/>
          <w:lang w:eastAsia="en-US"/>
        </w:rPr>
        <w:t>Registro Individual de Prestación de Servicios de Salud (RIPS):</w:t>
      </w:r>
      <w:r w:rsidRPr="00192A5D">
        <w:rPr>
          <w:rFonts w:eastAsia="Calibri"/>
          <w:bCs/>
          <w:sz w:val="20"/>
          <w:szCs w:val="20"/>
          <w:lang w:eastAsia="en-US"/>
        </w:rPr>
        <w:t xml:space="preserve"> información relacionada con las atenciones realizadas, utilizada como fuente para analizar la utilización de servicios y tecnologías y sustentar las frecuencias de uso.</w:t>
      </w:r>
    </w:p>
    <w:p w14:paraId="4B602779" w14:textId="77777777" w:rsidR="00192A5D" w:rsidRPr="00192A5D" w:rsidRDefault="00192A5D" w:rsidP="00192A5D">
      <w:pPr>
        <w:pStyle w:val="Normal0"/>
        <w:rPr>
          <w:rFonts w:eastAsia="Calibri"/>
          <w:bCs/>
          <w:sz w:val="20"/>
          <w:szCs w:val="20"/>
          <w:lang w:eastAsia="en-US"/>
        </w:rPr>
      </w:pPr>
    </w:p>
    <w:p w14:paraId="2C1DA9B3" w14:textId="42D73449" w:rsidR="00192A5D" w:rsidRPr="00192A5D" w:rsidRDefault="00192A5D" w:rsidP="00192A5D">
      <w:pPr>
        <w:pStyle w:val="Normal0"/>
        <w:rPr>
          <w:rFonts w:eastAsia="Calibri"/>
          <w:bCs/>
          <w:sz w:val="20"/>
          <w:szCs w:val="20"/>
          <w:lang w:eastAsia="en-US"/>
        </w:rPr>
      </w:pPr>
      <w:r w:rsidRPr="00192A5D">
        <w:rPr>
          <w:rFonts w:eastAsia="Calibri"/>
          <w:bCs/>
          <w:sz w:val="20"/>
          <w:szCs w:val="20"/>
          <w:lang w:eastAsia="en-US"/>
        </w:rPr>
        <w:t>El conocimiento de estos elementos permite relacionar la información poblacional y de utilización analizada en los apartados anteriores con las condiciones bajo las cuales se estructuran los acuerdos de voluntades y se desarrolla la contratación en salud.</w:t>
      </w:r>
    </w:p>
    <w:p w14:paraId="79908173" w14:textId="77777777" w:rsidR="00192A5D" w:rsidRPr="008C6EC5" w:rsidRDefault="00192A5D" w:rsidP="00192A5D">
      <w:pPr>
        <w:pStyle w:val="Normal0"/>
        <w:rPr>
          <w:rFonts w:eastAsia="Calibri"/>
          <w:b/>
          <w:bCs/>
          <w:sz w:val="20"/>
          <w:szCs w:val="20"/>
          <w:lang w:eastAsia="en-US"/>
        </w:rPr>
      </w:pPr>
    </w:p>
    <w:p w14:paraId="4D93A3F2" w14:textId="44EEADF8" w:rsidR="00AD590A" w:rsidRPr="00192A5D" w:rsidRDefault="00AD590A" w:rsidP="009723E7">
      <w:pPr>
        <w:pStyle w:val="Normal0"/>
        <w:numPr>
          <w:ilvl w:val="1"/>
          <w:numId w:val="27"/>
        </w:numPr>
        <w:rPr>
          <w:rFonts w:eastAsia="Calibri"/>
          <w:b/>
          <w:bCs/>
          <w:sz w:val="20"/>
          <w:szCs w:val="20"/>
          <w:lang w:eastAsia="en-US"/>
        </w:rPr>
      </w:pPr>
      <w:r w:rsidRPr="00192A5D">
        <w:rPr>
          <w:rFonts w:eastAsia="Calibri"/>
          <w:b/>
          <w:bCs/>
          <w:sz w:val="20"/>
          <w:szCs w:val="20"/>
          <w:lang w:eastAsia="en-US"/>
        </w:rPr>
        <w:t>Marco normativo aplicable a los acuerdos de voluntades</w:t>
      </w:r>
    </w:p>
    <w:p w14:paraId="1394E64D" w14:textId="5253DE54" w:rsidR="00192A5D" w:rsidRDefault="00192A5D" w:rsidP="00192A5D">
      <w:pPr>
        <w:pStyle w:val="Normal0"/>
        <w:rPr>
          <w:rFonts w:eastAsia="Calibri"/>
          <w:bCs/>
          <w:sz w:val="20"/>
          <w:szCs w:val="20"/>
          <w:lang w:eastAsia="en-US"/>
        </w:rPr>
      </w:pPr>
    </w:p>
    <w:p w14:paraId="0392717D" w14:textId="77777777" w:rsidR="00192A5D" w:rsidRPr="00192A5D" w:rsidRDefault="00192A5D" w:rsidP="00192A5D">
      <w:pPr>
        <w:pStyle w:val="Normal0"/>
        <w:rPr>
          <w:rFonts w:eastAsia="Calibri"/>
          <w:bCs/>
          <w:sz w:val="20"/>
          <w:szCs w:val="20"/>
          <w:lang w:eastAsia="en-US"/>
        </w:rPr>
      </w:pPr>
      <w:r w:rsidRPr="00192A5D">
        <w:rPr>
          <w:rFonts w:eastAsia="Calibri"/>
          <w:bCs/>
          <w:sz w:val="20"/>
          <w:szCs w:val="20"/>
          <w:lang w:eastAsia="en-US"/>
        </w:rPr>
        <w:t>Los acuerdos de voluntades en el sector salud establecen las condiciones bajo las cuales se organizan y desarrollan las relaciones entre las Entidades Responsables de Pago (ERP), los Prestadores de Servicios de Salud (PSS) y los Proveedores de Tecnologías en Salud (PTS). Su regulación busca establecer condiciones para la prestación de servicios y tecnologías, así como para el reconocimiento y pago de las atenciones realizadas.</w:t>
      </w:r>
    </w:p>
    <w:p w14:paraId="24187C6A" w14:textId="77777777" w:rsidR="00192A5D" w:rsidRPr="00192A5D" w:rsidRDefault="00192A5D" w:rsidP="00192A5D">
      <w:pPr>
        <w:pStyle w:val="Normal0"/>
        <w:rPr>
          <w:rFonts w:eastAsia="Calibri"/>
          <w:bCs/>
          <w:sz w:val="20"/>
          <w:szCs w:val="20"/>
          <w:lang w:eastAsia="en-US"/>
        </w:rPr>
      </w:pPr>
    </w:p>
    <w:p w14:paraId="5A69A43B" w14:textId="77777777" w:rsidR="00192A5D" w:rsidRPr="00192A5D" w:rsidRDefault="00192A5D" w:rsidP="00192A5D">
      <w:pPr>
        <w:pStyle w:val="Normal0"/>
        <w:rPr>
          <w:rFonts w:eastAsia="Calibri"/>
          <w:bCs/>
          <w:sz w:val="20"/>
          <w:szCs w:val="20"/>
          <w:lang w:eastAsia="en-US"/>
        </w:rPr>
      </w:pPr>
      <w:r w:rsidRPr="00192A5D">
        <w:rPr>
          <w:rFonts w:eastAsia="Calibri"/>
          <w:bCs/>
          <w:sz w:val="20"/>
          <w:szCs w:val="20"/>
          <w:lang w:eastAsia="en-US"/>
        </w:rPr>
        <w:t xml:space="preserve">El marco normativo aplicable a estos acuerdos se encuentra principalmente en el </w:t>
      </w:r>
      <w:r w:rsidRPr="00192A5D">
        <w:rPr>
          <w:rFonts w:eastAsia="Calibri"/>
          <w:b/>
          <w:bCs/>
          <w:sz w:val="20"/>
          <w:szCs w:val="20"/>
          <w:lang w:eastAsia="en-US"/>
        </w:rPr>
        <w:t>Decreto 780 de 2016</w:t>
      </w:r>
      <w:r w:rsidRPr="00192A5D">
        <w:rPr>
          <w:rFonts w:eastAsia="Calibri"/>
          <w:bCs/>
          <w:sz w:val="20"/>
          <w:szCs w:val="20"/>
          <w:lang w:eastAsia="en-US"/>
        </w:rPr>
        <w:t xml:space="preserve">, Decreto Único Reglamentario del Sector Salud y Protección Social, y en las disposiciones que lo han modificado y adicionado. Entre estas se encuentra el </w:t>
      </w:r>
      <w:r w:rsidRPr="00192A5D">
        <w:rPr>
          <w:rFonts w:eastAsia="Calibri"/>
          <w:b/>
          <w:bCs/>
          <w:sz w:val="20"/>
          <w:szCs w:val="20"/>
          <w:lang w:eastAsia="en-US"/>
        </w:rPr>
        <w:t>Decreto 441 de 2022</w:t>
      </w:r>
      <w:r w:rsidRPr="00192A5D">
        <w:rPr>
          <w:rFonts w:eastAsia="Calibri"/>
          <w:bCs/>
          <w:sz w:val="20"/>
          <w:szCs w:val="20"/>
          <w:lang w:eastAsia="en-US"/>
        </w:rPr>
        <w:t>, que incorporó disposiciones específicas relacionadas con los acuerdos de voluntades y la nota técnica.</w:t>
      </w:r>
    </w:p>
    <w:p w14:paraId="21CE4E57" w14:textId="77777777" w:rsidR="00192A5D" w:rsidRPr="00192A5D" w:rsidRDefault="00192A5D" w:rsidP="00192A5D">
      <w:pPr>
        <w:pStyle w:val="Normal0"/>
        <w:rPr>
          <w:rFonts w:eastAsia="Calibri"/>
          <w:bCs/>
          <w:sz w:val="20"/>
          <w:szCs w:val="20"/>
          <w:lang w:eastAsia="en-US"/>
        </w:rPr>
      </w:pPr>
    </w:p>
    <w:p w14:paraId="02A03075" w14:textId="77777777" w:rsidR="00192A5D" w:rsidRPr="00192A5D" w:rsidRDefault="00192A5D" w:rsidP="00192A5D">
      <w:pPr>
        <w:pStyle w:val="Normal0"/>
        <w:rPr>
          <w:rFonts w:eastAsia="Calibri"/>
          <w:bCs/>
          <w:sz w:val="20"/>
          <w:szCs w:val="20"/>
          <w:lang w:eastAsia="en-US"/>
        </w:rPr>
      </w:pPr>
      <w:r w:rsidRPr="00192A5D">
        <w:rPr>
          <w:rFonts w:eastAsia="Calibri"/>
          <w:bCs/>
          <w:sz w:val="20"/>
          <w:szCs w:val="20"/>
          <w:lang w:eastAsia="en-US"/>
        </w:rPr>
        <w:t>Dentro de este marco, los acuerdos de voluntades deben establecer de manera clara las condiciones relacionadas con la prestación de los servicios y tecnologías en salud. Entre los elementos que pueden considerarse se encuentran:</w:t>
      </w:r>
    </w:p>
    <w:p w14:paraId="566FAB9B" w14:textId="77777777" w:rsidR="00192A5D" w:rsidRPr="00192A5D" w:rsidRDefault="00192A5D" w:rsidP="00192A5D">
      <w:pPr>
        <w:pStyle w:val="Normal0"/>
        <w:rPr>
          <w:rFonts w:eastAsia="Calibri"/>
          <w:bCs/>
          <w:sz w:val="20"/>
          <w:szCs w:val="20"/>
          <w:lang w:eastAsia="en-US"/>
        </w:rPr>
      </w:pPr>
    </w:p>
    <w:p w14:paraId="15172E82" w14:textId="77777777" w:rsidR="00192A5D" w:rsidRPr="00192A5D" w:rsidRDefault="00192A5D" w:rsidP="00716DEA">
      <w:pPr>
        <w:pStyle w:val="Normal0"/>
        <w:numPr>
          <w:ilvl w:val="0"/>
          <w:numId w:val="10"/>
        </w:numPr>
        <w:rPr>
          <w:rFonts w:eastAsia="Calibri"/>
          <w:bCs/>
          <w:sz w:val="20"/>
          <w:szCs w:val="20"/>
          <w:lang w:eastAsia="en-US"/>
        </w:rPr>
      </w:pPr>
      <w:r w:rsidRPr="00192A5D">
        <w:rPr>
          <w:rFonts w:eastAsia="Calibri"/>
          <w:b/>
          <w:bCs/>
          <w:sz w:val="20"/>
          <w:szCs w:val="20"/>
          <w:lang w:eastAsia="en-US"/>
        </w:rPr>
        <w:t>Actores que intervienen:</w:t>
      </w:r>
      <w:r w:rsidRPr="00192A5D">
        <w:rPr>
          <w:rFonts w:eastAsia="Calibri"/>
          <w:bCs/>
          <w:sz w:val="20"/>
          <w:szCs w:val="20"/>
          <w:lang w:eastAsia="en-US"/>
        </w:rPr>
        <w:t xml:space="preserve"> identificación de las entidades responsables de pago, los prestadores de servicios de salud y los proveedores de tecnologías en salud que participan en el acuerdo.</w:t>
      </w:r>
    </w:p>
    <w:p w14:paraId="355FE980" w14:textId="77777777" w:rsidR="00192A5D" w:rsidRPr="00192A5D" w:rsidRDefault="00192A5D" w:rsidP="00716DEA">
      <w:pPr>
        <w:pStyle w:val="Normal0"/>
        <w:numPr>
          <w:ilvl w:val="0"/>
          <w:numId w:val="10"/>
        </w:numPr>
        <w:rPr>
          <w:rFonts w:eastAsia="Calibri"/>
          <w:bCs/>
          <w:sz w:val="20"/>
          <w:szCs w:val="20"/>
          <w:lang w:eastAsia="en-US"/>
        </w:rPr>
      </w:pPr>
      <w:r w:rsidRPr="00192A5D">
        <w:rPr>
          <w:rFonts w:eastAsia="Calibri"/>
          <w:b/>
          <w:bCs/>
          <w:sz w:val="20"/>
          <w:szCs w:val="20"/>
          <w:lang w:eastAsia="en-US"/>
        </w:rPr>
        <w:t>Población objeto:</w:t>
      </w:r>
      <w:r w:rsidRPr="00192A5D">
        <w:rPr>
          <w:rFonts w:eastAsia="Calibri"/>
          <w:bCs/>
          <w:sz w:val="20"/>
          <w:szCs w:val="20"/>
          <w:lang w:eastAsia="en-US"/>
        </w:rPr>
        <w:t xml:space="preserve"> definición de la población a la cual se dirige la prestación de los servicios y tecnologías.</w:t>
      </w:r>
    </w:p>
    <w:p w14:paraId="3B8D96C9" w14:textId="77777777" w:rsidR="00192A5D" w:rsidRPr="00192A5D" w:rsidRDefault="00192A5D" w:rsidP="00716DEA">
      <w:pPr>
        <w:pStyle w:val="Normal0"/>
        <w:numPr>
          <w:ilvl w:val="0"/>
          <w:numId w:val="10"/>
        </w:numPr>
        <w:rPr>
          <w:rFonts w:eastAsia="Calibri"/>
          <w:bCs/>
          <w:sz w:val="20"/>
          <w:szCs w:val="20"/>
          <w:lang w:eastAsia="en-US"/>
        </w:rPr>
      </w:pPr>
      <w:r w:rsidRPr="00192A5D">
        <w:rPr>
          <w:rFonts w:eastAsia="Calibri"/>
          <w:b/>
          <w:bCs/>
          <w:sz w:val="20"/>
          <w:szCs w:val="20"/>
          <w:lang w:eastAsia="en-US"/>
        </w:rPr>
        <w:t>Servicios y tecnologías:</w:t>
      </w:r>
      <w:r w:rsidRPr="00192A5D">
        <w:rPr>
          <w:rFonts w:eastAsia="Calibri"/>
          <w:bCs/>
          <w:sz w:val="20"/>
          <w:szCs w:val="20"/>
          <w:lang w:eastAsia="en-US"/>
        </w:rPr>
        <w:t xml:space="preserve"> identificación de las atenciones que hacen parte del acuerdo, utilizando las codificaciones correspondientes.</w:t>
      </w:r>
    </w:p>
    <w:p w14:paraId="41DE7B34" w14:textId="77777777" w:rsidR="00192A5D" w:rsidRPr="00192A5D" w:rsidRDefault="00192A5D" w:rsidP="00716DEA">
      <w:pPr>
        <w:pStyle w:val="Normal0"/>
        <w:numPr>
          <w:ilvl w:val="0"/>
          <w:numId w:val="10"/>
        </w:numPr>
        <w:rPr>
          <w:rFonts w:eastAsia="Calibri"/>
          <w:bCs/>
          <w:sz w:val="20"/>
          <w:szCs w:val="20"/>
          <w:lang w:eastAsia="en-US"/>
        </w:rPr>
      </w:pPr>
      <w:r w:rsidRPr="00192A5D">
        <w:rPr>
          <w:rFonts w:eastAsia="Calibri"/>
          <w:b/>
          <w:bCs/>
          <w:sz w:val="20"/>
          <w:szCs w:val="20"/>
          <w:lang w:eastAsia="en-US"/>
        </w:rPr>
        <w:t>Frecuencias de uso:</w:t>
      </w:r>
      <w:r w:rsidRPr="00192A5D">
        <w:rPr>
          <w:rFonts w:eastAsia="Calibri"/>
          <w:bCs/>
          <w:sz w:val="20"/>
          <w:szCs w:val="20"/>
          <w:lang w:eastAsia="en-US"/>
        </w:rPr>
        <w:t xml:space="preserve"> estimación de la utilización esperada de los servicios y tecnologías durante el periodo establecido.</w:t>
      </w:r>
    </w:p>
    <w:p w14:paraId="0F296019" w14:textId="77777777" w:rsidR="00192A5D" w:rsidRPr="00192A5D" w:rsidRDefault="00192A5D" w:rsidP="00716DEA">
      <w:pPr>
        <w:pStyle w:val="Normal0"/>
        <w:numPr>
          <w:ilvl w:val="0"/>
          <w:numId w:val="10"/>
        </w:numPr>
        <w:rPr>
          <w:rFonts w:eastAsia="Calibri"/>
          <w:bCs/>
          <w:sz w:val="20"/>
          <w:szCs w:val="20"/>
          <w:lang w:eastAsia="en-US"/>
        </w:rPr>
      </w:pPr>
      <w:r w:rsidRPr="00192A5D">
        <w:rPr>
          <w:rFonts w:eastAsia="Calibri"/>
          <w:b/>
          <w:bCs/>
          <w:sz w:val="20"/>
          <w:szCs w:val="20"/>
          <w:lang w:eastAsia="en-US"/>
        </w:rPr>
        <w:lastRenderedPageBreak/>
        <w:t>Condiciones económicas:</w:t>
      </w:r>
      <w:r w:rsidRPr="00192A5D">
        <w:rPr>
          <w:rFonts w:eastAsia="Calibri"/>
          <w:bCs/>
          <w:sz w:val="20"/>
          <w:szCs w:val="20"/>
          <w:lang w:eastAsia="en-US"/>
        </w:rPr>
        <w:t xml:space="preserve"> definición de los valores y condiciones de reconocimiento y pago de acuerdo con la modalidad pactada.</w:t>
      </w:r>
    </w:p>
    <w:p w14:paraId="41584944" w14:textId="77777777" w:rsidR="00192A5D" w:rsidRPr="00192A5D" w:rsidRDefault="00192A5D" w:rsidP="00716DEA">
      <w:pPr>
        <w:pStyle w:val="Normal0"/>
        <w:numPr>
          <w:ilvl w:val="0"/>
          <w:numId w:val="10"/>
        </w:numPr>
        <w:rPr>
          <w:rFonts w:eastAsia="Calibri"/>
          <w:bCs/>
          <w:sz w:val="20"/>
          <w:szCs w:val="20"/>
          <w:lang w:eastAsia="en-US"/>
        </w:rPr>
      </w:pPr>
      <w:r w:rsidRPr="00192A5D">
        <w:rPr>
          <w:rFonts w:eastAsia="Calibri"/>
          <w:b/>
          <w:bCs/>
          <w:sz w:val="20"/>
          <w:szCs w:val="20"/>
          <w:lang w:eastAsia="en-US"/>
        </w:rPr>
        <w:t>Nota técnica:</w:t>
      </w:r>
      <w:r w:rsidRPr="00192A5D">
        <w:rPr>
          <w:rFonts w:eastAsia="Calibri"/>
          <w:bCs/>
          <w:sz w:val="20"/>
          <w:szCs w:val="20"/>
          <w:lang w:eastAsia="en-US"/>
        </w:rPr>
        <w:t xml:space="preserve"> incorporación de la información que sustenta las estimaciones de servicios, tecnologías, frecuencias, costos y demás elementos requeridos según el acuerdo.</w:t>
      </w:r>
    </w:p>
    <w:p w14:paraId="72FF99A8" w14:textId="77777777" w:rsidR="00192A5D" w:rsidRPr="00192A5D" w:rsidRDefault="00192A5D" w:rsidP="00716DEA">
      <w:pPr>
        <w:pStyle w:val="Normal0"/>
        <w:numPr>
          <w:ilvl w:val="0"/>
          <w:numId w:val="10"/>
        </w:numPr>
        <w:rPr>
          <w:rFonts w:eastAsia="Calibri"/>
          <w:bCs/>
          <w:sz w:val="20"/>
          <w:szCs w:val="20"/>
          <w:lang w:eastAsia="en-US"/>
        </w:rPr>
      </w:pPr>
      <w:r w:rsidRPr="00192A5D">
        <w:rPr>
          <w:rFonts w:eastAsia="Calibri"/>
          <w:b/>
          <w:bCs/>
          <w:sz w:val="20"/>
          <w:szCs w:val="20"/>
          <w:lang w:eastAsia="en-US"/>
        </w:rPr>
        <w:t>Seguimiento:</w:t>
      </w:r>
      <w:r w:rsidRPr="00192A5D">
        <w:rPr>
          <w:rFonts w:eastAsia="Calibri"/>
          <w:bCs/>
          <w:sz w:val="20"/>
          <w:szCs w:val="20"/>
          <w:lang w:eastAsia="en-US"/>
        </w:rPr>
        <w:t xml:space="preserve"> establecimiento de mecanismos que permitan analizar el comportamiento de los servicios, las frecuencias de uso, los costos y los riesgos durante la ejecución del acuerdo.</w:t>
      </w:r>
    </w:p>
    <w:p w14:paraId="52B6A7B5" w14:textId="77777777" w:rsidR="00192A5D" w:rsidRPr="00192A5D" w:rsidRDefault="00192A5D" w:rsidP="00192A5D">
      <w:pPr>
        <w:pStyle w:val="Normal0"/>
        <w:rPr>
          <w:rFonts w:eastAsia="Calibri"/>
          <w:bCs/>
          <w:sz w:val="20"/>
          <w:szCs w:val="20"/>
          <w:lang w:eastAsia="en-US"/>
        </w:rPr>
      </w:pPr>
    </w:p>
    <w:p w14:paraId="444CB753" w14:textId="77777777" w:rsidR="00192A5D" w:rsidRPr="00192A5D" w:rsidRDefault="00192A5D" w:rsidP="00192A5D">
      <w:pPr>
        <w:pStyle w:val="Normal0"/>
        <w:rPr>
          <w:rFonts w:eastAsia="Calibri"/>
          <w:bCs/>
          <w:sz w:val="20"/>
          <w:szCs w:val="20"/>
          <w:lang w:eastAsia="en-US"/>
        </w:rPr>
      </w:pPr>
      <w:r w:rsidRPr="00192A5D">
        <w:rPr>
          <w:rFonts w:eastAsia="Calibri"/>
          <w:bCs/>
          <w:sz w:val="20"/>
          <w:szCs w:val="20"/>
          <w:lang w:eastAsia="en-US"/>
        </w:rPr>
        <w:t xml:space="preserve">El </w:t>
      </w:r>
      <w:r w:rsidRPr="00192A5D">
        <w:rPr>
          <w:rFonts w:eastAsia="Calibri"/>
          <w:b/>
          <w:bCs/>
          <w:sz w:val="20"/>
          <w:szCs w:val="20"/>
          <w:lang w:eastAsia="en-US"/>
        </w:rPr>
        <w:t>Decreto 441 de 2022</w:t>
      </w:r>
      <w:r w:rsidRPr="00192A5D">
        <w:rPr>
          <w:rFonts w:eastAsia="Calibri"/>
          <w:bCs/>
          <w:sz w:val="20"/>
          <w:szCs w:val="20"/>
          <w:lang w:eastAsia="en-US"/>
        </w:rPr>
        <w:t xml:space="preserve"> establece que la nota técnica hace parte de los elementos asociados a los acuerdos de voluntades y la define como una herramienta de transparencia y eficiencia entre las partes. Esta refleja información detallada sobre los servicios y tecnologías de salud, sus frecuencias de uso estimadas, los costos individuales y el valor total correspondiente a la población o grupo de riesgo, de acuerdo con la duración y la modalidad de pago pactada.</w:t>
      </w:r>
    </w:p>
    <w:p w14:paraId="4E21CC8F" w14:textId="77777777" w:rsidR="00192A5D" w:rsidRPr="00192A5D" w:rsidRDefault="00192A5D" w:rsidP="00192A5D">
      <w:pPr>
        <w:pStyle w:val="Normal0"/>
        <w:rPr>
          <w:rFonts w:eastAsia="Calibri"/>
          <w:bCs/>
          <w:sz w:val="20"/>
          <w:szCs w:val="20"/>
          <w:lang w:eastAsia="en-US"/>
        </w:rPr>
      </w:pPr>
    </w:p>
    <w:p w14:paraId="01B168E3" w14:textId="77777777" w:rsidR="00192A5D" w:rsidRPr="00192A5D" w:rsidRDefault="00192A5D" w:rsidP="00192A5D">
      <w:pPr>
        <w:pStyle w:val="Normal0"/>
        <w:rPr>
          <w:rFonts w:eastAsia="Calibri"/>
          <w:bCs/>
          <w:sz w:val="20"/>
          <w:szCs w:val="20"/>
          <w:lang w:eastAsia="en-US"/>
        </w:rPr>
      </w:pPr>
      <w:r w:rsidRPr="00192A5D">
        <w:rPr>
          <w:rFonts w:eastAsia="Calibri"/>
          <w:bCs/>
          <w:sz w:val="20"/>
          <w:szCs w:val="20"/>
          <w:lang w:eastAsia="en-US"/>
        </w:rPr>
        <w:t>Por otra parte, el marco de los acuerdos de voluntades se relaciona con la gestión del riesgo en salud y con el seguimiento de los resultados de la atención. La nota técnica proporciona información que puede utilizarse para analizar desviaciones en las frecuencias de uso y los costos, así como para identificar situaciones que requieran ajustes durante la ejecución del acuerdo.</w:t>
      </w:r>
    </w:p>
    <w:p w14:paraId="0E118544" w14:textId="77777777" w:rsidR="00192A5D" w:rsidRPr="00192A5D" w:rsidRDefault="00192A5D" w:rsidP="00192A5D">
      <w:pPr>
        <w:pStyle w:val="Normal0"/>
        <w:rPr>
          <w:rFonts w:eastAsia="Calibri"/>
          <w:bCs/>
          <w:sz w:val="20"/>
          <w:szCs w:val="20"/>
          <w:lang w:eastAsia="en-US"/>
        </w:rPr>
      </w:pPr>
    </w:p>
    <w:p w14:paraId="76852BDB" w14:textId="5132290B" w:rsidR="00192A5D" w:rsidRDefault="00192A5D" w:rsidP="00192A5D">
      <w:pPr>
        <w:pStyle w:val="Normal0"/>
        <w:rPr>
          <w:rFonts w:eastAsia="Calibri"/>
          <w:bCs/>
          <w:sz w:val="20"/>
          <w:szCs w:val="20"/>
          <w:lang w:eastAsia="en-US"/>
        </w:rPr>
      </w:pPr>
      <w:r w:rsidRPr="00192A5D">
        <w:rPr>
          <w:rFonts w:eastAsia="Calibri"/>
          <w:bCs/>
          <w:sz w:val="20"/>
          <w:szCs w:val="20"/>
          <w:lang w:eastAsia="en-US"/>
        </w:rPr>
        <w:t>En este sentido, el conocimiento del marco normativo permite comprender que la contratación en salud no se limita a establecer un valor económico por los servicios prestados. Los acuerdos de voluntades articulan elementos relacionados con la población, las necesidades de atención, los servicios y tecnologías, las modalidades de pago, la gestión del riesgo y el seguimiento de la prestación. Estos elementos constituyen el contexto normativo y operativo en el que se construye y utiliza la nota técnica.</w:t>
      </w:r>
    </w:p>
    <w:p w14:paraId="3BAA0005" w14:textId="77777777" w:rsidR="00192A5D" w:rsidRPr="000D04CD" w:rsidRDefault="00192A5D" w:rsidP="00192A5D">
      <w:pPr>
        <w:pStyle w:val="Normal0"/>
        <w:rPr>
          <w:rFonts w:eastAsia="Calibri"/>
          <w:bCs/>
          <w:sz w:val="20"/>
          <w:szCs w:val="20"/>
          <w:lang w:eastAsia="en-US"/>
        </w:rPr>
      </w:pPr>
    </w:p>
    <w:p w14:paraId="34054A6A" w14:textId="0B9CA6E3" w:rsidR="00AD590A" w:rsidRPr="00192A5D" w:rsidRDefault="00AD590A" w:rsidP="009723E7">
      <w:pPr>
        <w:pStyle w:val="Normal0"/>
        <w:numPr>
          <w:ilvl w:val="1"/>
          <w:numId w:val="27"/>
        </w:numPr>
        <w:rPr>
          <w:rFonts w:eastAsia="Calibri"/>
          <w:b/>
          <w:bCs/>
          <w:sz w:val="20"/>
          <w:szCs w:val="20"/>
          <w:lang w:eastAsia="en-US"/>
        </w:rPr>
      </w:pPr>
      <w:r w:rsidRPr="00192A5D">
        <w:rPr>
          <w:rFonts w:eastAsia="Calibri"/>
          <w:b/>
          <w:bCs/>
          <w:sz w:val="20"/>
          <w:szCs w:val="20"/>
          <w:lang w:eastAsia="en-US"/>
        </w:rPr>
        <w:t>Modalidades de pago</w:t>
      </w:r>
    </w:p>
    <w:p w14:paraId="13BB0E43" w14:textId="0A1ED1DF" w:rsidR="00192A5D" w:rsidRDefault="00192A5D" w:rsidP="00192A5D">
      <w:pPr>
        <w:pStyle w:val="Normal0"/>
        <w:rPr>
          <w:rFonts w:eastAsia="Calibri"/>
          <w:bCs/>
          <w:sz w:val="20"/>
          <w:szCs w:val="20"/>
          <w:lang w:eastAsia="en-US"/>
        </w:rPr>
      </w:pPr>
    </w:p>
    <w:p w14:paraId="4DD4B961" w14:textId="77777777" w:rsidR="00192A5D" w:rsidRPr="00192A5D" w:rsidRDefault="00192A5D" w:rsidP="00192A5D">
      <w:pPr>
        <w:pStyle w:val="Normal0"/>
        <w:rPr>
          <w:rFonts w:eastAsia="Calibri"/>
          <w:bCs/>
          <w:sz w:val="20"/>
          <w:szCs w:val="20"/>
          <w:lang w:eastAsia="en-US"/>
        </w:rPr>
      </w:pPr>
      <w:r w:rsidRPr="00192A5D">
        <w:rPr>
          <w:rFonts w:eastAsia="Calibri"/>
          <w:bCs/>
          <w:sz w:val="20"/>
          <w:szCs w:val="20"/>
          <w:lang w:eastAsia="en-US"/>
        </w:rPr>
        <w:t>Las modalidades de pago establecen la forma en que se reconoce económicamente la prestación de los servicios y tecnologías en salud dentro de un acuerdo de voluntades. Su elección se relaciona con las características de la población, los servicios contratados, las frecuencias de uso estimadas y la distribución de los riesgos entre las partes.</w:t>
      </w:r>
    </w:p>
    <w:p w14:paraId="74D8971A" w14:textId="77777777" w:rsidR="00192A5D" w:rsidRPr="00192A5D" w:rsidRDefault="00192A5D" w:rsidP="00192A5D">
      <w:pPr>
        <w:pStyle w:val="Normal0"/>
        <w:rPr>
          <w:rFonts w:eastAsia="Calibri"/>
          <w:bCs/>
          <w:sz w:val="20"/>
          <w:szCs w:val="20"/>
          <w:lang w:eastAsia="en-US"/>
        </w:rPr>
      </w:pPr>
    </w:p>
    <w:p w14:paraId="3429AA9F" w14:textId="77777777" w:rsidR="00192A5D" w:rsidRPr="00192A5D" w:rsidRDefault="00192A5D" w:rsidP="00192A5D">
      <w:pPr>
        <w:pStyle w:val="Normal0"/>
        <w:rPr>
          <w:rFonts w:eastAsia="Calibri"/>
          <w:bCs/>
          <w:sz w:val="20"/>
          <w:szCs w:val="20"/>
          <w:lang w:eastAsia="en-US"/>
        </w:rPr>
      </w:pPr>
      <w:r w:rsidRPr="00192A5D">
        <w:rPr>
          <w:rFonts w:eastAsia="Calibri"/>
          <w:bCs/>
          <w:sz w:val="20"/>
          <w:szCs w:val="20"/>
          <w:lang w:eastAsia="en-US"/>
        </w:rPr>
        <w:t>De acuerdo con el enfoque presentado en el insumo, las modalidades de pago pueden clasificarse en prospectivas y retrospectivas, según el momento en que se establece el reconocimiento económico frente a la prestación de los servicios.</w:t>
      </w:r>
    </w:p>
    <w:p w14:paraId="3D835813" w14:textId="77777777" w:rsidR="00192A5D" w:rsidRPr="00192A5D" w:rsidRDefault="00192A5D" w:rsidP="00192A5D">
      <w:pPr>
        <w:pStyle w:val="Normal0"/>
        <w:rPr>
          <w:rFonts w:eastAsia="Calibri"/>
          <w:bCs/>
          <w:sz w:val="20"/>
          <w:szCs w:val="20"/>
          <w:lang w:eastAsia="en-US"/>
        </w:rPr>
      </w:pPr>
    </w:p>
    <w:p w14:paraId="06A6DAF4" w14:textId="77777777" w:rsidR="0015569D" w:rsidRDefault="00192A5D" w:rsidP="00716DEA">
      <w:pPr>
        <w:pStyle w:val="Normal0"/>
        <w:numPr>
          <w:ilvl w:val="0"/>
          <w:numId w:val="11"/>
        </w:numPr>
        <w:rPr>
          <w:rFonts w:eastAsia="Calibri"/>
          <w:bCs/>
          <w:sz w:val="20"/>
          <w:szCs w:val="20"/>
          <w:lang w:eastAsia="en-US"/>
        </w:rPr>
      </w:pPr>
      <w:r w:rsidRPr="0015569D">
        <w:rPr>
          <w:rFonts w:eastAsia="Calibri"/>
          <w:b/>
          <w:bCs/>
          <w:sz w:val="20"/>
          <w:szCs w:val="20"/>
          <w:lang w:eastAsia="en-US"/>
        </w:rPr>
        <w:t>Modalidades de pago prospectivas</w:t>
      </w:r>
      <w:r w:rsidR="0015569D" w:rsidRPr="0015569D">
        <w:rPr>
          <w:rFonts w:eastAsia="Calibri"/>
          <w:b/>
          <w:bCs/>
          <w:sz w:val="20"/>
          <w:szCs w:val="20"/>
          <w:lang w:eastAsia="en-US"/>
        </w:rPr>
        <w:t>:</w:t>
      </w:r>
      <w:r w:rsidR="0015569D">
        <w:rPr>
          <w:rFonts w:eastAsia="Calibri"/>
          <w:bCs/>
          <w:sz w:val="20"/>
          <w:szCs w:val="20"/>
          <w:lang w:eastAsia="en-US"/>
        </w:rPr>
        <w:t xml:space="preserve"> </w:t>
      </w:r>
      <w:r w:rsidRPr="0015569D">
        <w:rPr>
          <w:rFonts w:eastAsia="Calibri"/>
          <w:bCs/>
          <w:sz w:val="20"/>
          <w:szCs w:val="20"/>
          <w:lang w:eastAsia="en-US"/>
        </w:rPr>
        <w:t>el reconocimiento económico se establece antes de que se produzca la atención, a partir de una proyección de la población, los servicios o tecnologías y las frecuencias de uso esperadas. Entre las modalidades señaladas se encuentran la capitación, el pago global prospectivo (PGP), el pago por paquete o canasta y otras formas de pago previamente acordadas.</w:t>
      </w:r>
    </w:p>
    <w:p w14:paraId="5941973C" w14:textId="77777777" w:rsidR="0015569D" w:rsidRDefault="0015569D" w:rsidP="0015569D">
      <w:pPr>
        <w:pStyle w:val="Normal0"/>
        <w:ind w:left="720"/>
        <w:rPr>
          <w:rFonts w:eastAsia="Calibri"/>
          <w:bCs/>
          <w:sz w:val="20"/>
          <w:szCs w:val="20"/>
          <w:lang w:eastAsia="en-US"/>
        </w:rPr>
      </w:pPr>
    </w:p>
    <w:p w14:paraId="7918A6D3" w14:textId="77777777" w:rsidR="0015569D" w:rsidRDefault="00192A5D" w:rsidP="0015569D">
      <w:pPr>
        <w:pStyle w:val="Normal0"/>
        <w:ind w:left="720"/>
        <w:rPr>
          <w:rFonts w:eastAsia="Calibri"/>
          <w:bCs/>
          <w:sz w:val="20"/>
          <w:szCs w:val="20"/>
          <w:lang w:eastAsia="en-US"/>
        </w:rPr>
      </w:pPr>
      <w:r w:rsidRPr="0015569D">
        <w:rPr>
          <w:rFonts w:eastAsia="Calibri"/>
          <w:bCs/>
          <w:sz w:val="20"/>
          <w:szCs w:val="20"/>
          <w:lang w:eastAsia="en-US"/>
        </w:rPr>
        <w:t>Estas modalidades requieren estimaciones que permitan establecer los recursos necesarios para atender a la población durante el periodo definido. Por ello, la nota técnica adquiere especial importancia como instrumento para sustentar las frecuencias de uso, los costos y los valores asociados a los servicios y tecnologías incluidos en el acuerdo.</w:t>
      </w:r>
    </w:p>
    <w:p w14:paraId="388638EA" w14:textId="77777777" w:rsidR="0015569D" w:rsidRDefault="0015569D" w:rsidP="0015569D">
      <w:pPr>
        <w:pStyle w:val="Normal0"/>
        <w:ind w:left="720"/>
        <w:rPr>
          <w:rFonts w:eastAsia="Calibri"/>
          <w:bCs/>
          <w:sz w:val="20"/>
          <w:szCs w:val="20"/>
          <w:lang w:eastAsia="en-US"/>
        </w:rPr>
      </w:pPr>
    </w:p>
    <w:p w14:paraId="40A0BDF5" w14:textId="77777777" w:rsidR="0015569D" w:rsidRDefault="00192A5D" w:rsidP="0015569D">
      <w:pPr>
        <w:pStyle w:val="Normal0"/>
        <w:ind w:left="720"/>
        <w:rPr>
          <w:rFonts w:eastAsia="Calibri"/>
          <w:bCs/>
          <w:sz w:val="20"/>
          <w:szCs w:val="20"/>
          <w:lang w:eastAsia="en-US"/>
        </w:rPr>
      </w:pPr>
      <w:r w:rsidRPr="00192A5D">
        <w:rPr>
          <w:rFonts w:eastAsia="Calibri"/>
          <w:bCs/>
          <w:sz w:val="20"/>
          <w:szCs w:val="20"/>
          <w:lang w:eastAsia="en-US"/>
        </w:rPr>
        <w:t>Entre las modalidades prospectivas pueden considerarse:</w:t>
      </w:r>
    </w:p>
    <w:p w14:paraId="40518625" w14:textId="77777777" w:rsidR="0015569D" w:rsidRDefault="00192A5D" w:rsidP="00716DEA">
      <w:pPr>
        <w:pStyle w:val="Normal0"/>
        <w:numPr>
          <w:ilvl w:val="0"/>
          <w:numId w:val="12"/>
        </w:numPr>
        <w:rPr>
          <w:rFonts w:eastAsia="Calibri"/>
          <w:bCs/>
          <w:sz w:val="20"/>
          <w:szCs w:val="20"/>
          <w:lang w:eastAsia="en-US"/>
        </w:rPr>
      </w:pPr>
      <w:r w:rsidRPr="00192A5D">
        <w:rPr>
          <w:rFonts w:eastAsia="Calibri"/>
          <w:bCs/>
          <w:sz w:val="20"/>
          <w:szCs w:val="20"/>
          <w:lang w:eastAsia="en-US"/>
        </w:rPr>
        <w:t>Pago por capitación: establece un valor por persona durante un periodo determinado, de acuerdo con las condiciones definidas en el acuerdo de voluntades.</w:t>
      </w:r>
    </w:p>
    <w:p w14:paraId="61AC46FE" w14:textId="77777777" w:rsidR="0015569D" w:rsidRDefault="00192A5D" w:rsidP="00716DEA">
      <w:pPr>
        <w:pStyle w:val="Normal0"/>
        <w:numPr>
          <w:ilvl w:val="0"/>
          <w:numId w:val="12"/>
        </w:numPr>
        <w:rPr>
          <w:rFonts w:eastAsia="Calibri"/>
          <w:bCs/>
          <w:sz w:val="20"/>
          <w:szCs w:val="20"/>
          <w:lang w:eastAsia="en-US"/>
        </w:rPr>
      </w:pPr>
      <w:r w:rsidRPr="00192A5D">
        <w:rPr>
          <w:rFonts w:eastAsia="Calibri"/>
          <w:bCs/>
          <w:sz w:val="20"/>
          <w:szCs w:val="20"/>
          <w:lang w:eastAsia="en-US"/>
        </w:rPr>
        <w:lastRenderedPageBreak/>
        <w:t>Pago global prospectivo (PGP): establece anticipadamente un valor global para atender un conjunto determinado de servicios, población y condiciones pactadas.</w:t>
      </w:r>
    </w:p>
    <w:p w14:paraId="2665F1D9" w14:textId="77777777" w:rsidR="0015569D" w:rsidRDefault="00192A5D" w:rsidP="00716DEA">
      <w:pPr>
        <w:pStyle w:val="Normal0"/>
        <w:numPr>
          <w:ilvl w:val="0"/>
          <w:numId w:val="12"/>
        </w:numPr>
        <w:rPr>
          <w:rFonts w:eastAsia="Calibri"/>
          <w:bCs/>
          <w:sz w:val="20"/>
          <w:szCs w:val="20"/>
          <w:lang w:eastAsia="en-US"/>
        </w:rPr>
      </w:pPr>
      <w:r w:rsidRPr="00192A5D">
        <w:rPr>
          <w:rFonts w:eastAsia="Calibri"/>
          <w:bCs/>
          <w:sz w:val="20"/>
          <w:szCs w:val="20"/>
          <w:lang w:eastAsia="en-US"/>
        </w:rPr>
        <w:t>Pago por paquete o canasta: establece un valor para un conjunto definido de servicios y tecnologías relacionados con una atención o proceso determinado.</w:t>
      </w:r>
    </w:p>
    <w:p w14:paraId="6AF240AB" w14:textId="77777777" w:rsidR="0015569D" w:rsidRDefault="0015569D" w:rsidP="0015569D">
      <w:pPr>
        <w:pStyle w:val="Normal0"/>
        <w:ind w:left="720"/>
        <w:rPr>
          <w:rFonts w:eastAsia="Calibri"/>
          <w:bCs/>
          <w:sz w:val="20"/>
          <w:szCs w:val="20"/>
          <w:lang w:eastAsia="en-US"/>
        </w:rPr>
      </w:pPr>
    </w:p>
    <w:p w14:paraId="656B4E58" w14:textId="2FFBD39F" w:rsidR="00192A5D" w:rsidRPr="00192A5D" w:rsidRDefault="00192A5D" w:rsidP="0015569D">
      <w:pPr>
        <w:pStyle w:val="Normal0"/>
        <w:ind w:left="720"/>
        <w:rPr>
          <w:rFonts w:eastAsia="Calibri"/>
          <w:bCs/>
          <w:sz w:val="20"/>
          <w:szCs w:val="20"/>
          <w:lang w:eastAsia="en-US"/>
        </w:rPr>
      </w:pPr>
      <w:r w:rsidRPr="00192A5D">
        <w:rPr>
          <w:rFonts w:eastAsia="Calibri"/>
          <w:bCs/>
          <w:sz w:val="20"/>
          <w:szCs w:val="20"/>
          <w:lang w:eastAsia="en-US"/>
        </w:rPr>
        <w:t>En estas modalidades, las estimaciones de población y frecuencia de uso tienen una relación directa con la planeación de los recursos requeridos para la prestación. El comportamiento real de la utilización puede generar diferencias frente a las proyecciones iniciales, por lo que el seguimiento de la ejecución del acuerdo constituye un elemento relevante.</w:t>
      </w:r>
    </w:p>
    <w:p w14:paraId="60A97576" w14:textId="77777777" w:rsidR="00192A5D" w:rsidRPr="00192A5D" w:rsidRDefault="00192A5D" w:rsidP="00192A5D">
      <w:pPr>
        <w:pStyle w:val="Normal0"/>
        <w:rPr>
          <w:rFonts w:eastAsia="Calibri"/>
          <w:bCs/>
          <w:sz w:val="20"/>
          <w:szCs w:val="20"/>
          <w:lang w:eastAsia="en-US"/>
        </w:rPr>
      </w:pPr>
    </w:p>
    <w:p w14:paraId="2C463D32" w14:textId="77777777" w:rsidR="0015569D" w:rsidRDefault="00192A5D" w:rsidP="00716DEA">
      <w:pPr>
        <w:pStyle w:val="Normal0"/>
        <w:numPr>
          <w:ilvl w:val="0"/>
          <w:numId w:val="11"/>
        </w:numPr>
        <w:rPr>
          <w:rFonts w:eastAsia="Calibri"/>
          <w:bCs/>
          <w:sz w:val="20"/>
          <w:szCs w:val="20"/>
          <w:lang w:eastAsia="en-US"/>
        </w:rPr>
      </w:pPr>
      <w:r w:rsidRPr="0015569D">
        <w:rPr>
          <w:rFonts w:eastAsia="Calibri"/>
          <w:b/>
          <w:bCs/>
          <w:sz w:val="20"/>
          <w:szCs w:val="20"/>
          <w:lang w:eastAsia="en-US"/>
        </w:rPr>
        <w:t>Modalidades de pago retrospectivas</w:t>
      </w:r>
      <w:r w:rsidR="0015569D" w:rsidRPr="0015569D">
        <w:rPr>
          <w:rFonts w:eastAsia="Calibri"/>
          <w:b/>
          <w:bCs/>
          <w:sz w:val="20"/>
          <w:szCs w:val="20"/>
          <w:lang w:eastAsia="en-US"/>
        </w:rPr>
        <w:t>:</w:t>
      </w:r>
      <w:r w:rsidR="0015569D">
        <w:rPr>
          <w:rFonts w:eastAsia="Calibri"/>
          <w:bCs/>
          <w:sz w:val="20"/>
          <w:szCs w:val="20"/>
          <w:lang w:eastAsia="en-US"/>
        </w:rPr>
        <w:t xml:space="preserve"> </w:t>
      </w:r>
      <w:r w:rsidRPr="0015569D">
        <w:rPr>
          <w:rFonts w:eastAsia="Calibri"/>
          <w:bCs/>
          <w:sz w:val="20"/>
          <w:szCs w:val="20"/>
          <w:lang w:eastAsia="en-US"/>
        </w:rPr>
        <w:t>el reconocimiento económico se determina después de realizada la prestación, de acuerdo con los servicios y tecnologías efectivamente utilizados. El insumo identifica el pago por evento como ejemplo de esta modalidad.</w:t>
      </w:r>
    </w:p>
    <w:p w14:paraId="426F0B08" w14:textId="77777777" w:rsidR="0015569D" w:rsidRDefault="0015569D" w:rsidP="0015569D">
      <w:pPr>
        <w:pStyle w:val="Normal0"/>
        <w:ind w:left="720"/>
        <w:rPr>
          <w:rFonts w:eastAsia="Calibri"/>
          <w:bCs/>
          <w:sz w:val="20"/>
          <w:szCs w:val="20"/>
          <w:lang w:eastAsia="en-US"/>
        </w:rPr>
      </w:pPr>
    </w:p>
    <w:p w14:paraId="25A9339B" w14:textId="62F7406A" w:rsidR="00192A5D" w:rsidRPr="0015569D" w:rsidRDefault="00192A5D" w:rsidP="0015569D">
      <w:pPr>
        <w:pStyle w:val="Normal0"/>
        <w:ind w:left="720"/>
        <w:rPr>
          <w:rFonts w:eastAsia="Calibri"/>
          <w:bCs/>
          <w:sz w:val="20"/>
          <w:szCs w:val="20"/>
          <w:lang w:eastAsia="en-US"/>
        </w:rPr>
      </w:pPr>
      <w:r w:rsidRPr="0015569D">
        <w:rPr>
          <w:rFonts w:eastAsia="Calibri"/>
          <w:bCs/>
          <w:sz w:val="20"/>
          <w:szCs w:val="20"/>
          <w:lang w:eastAsia="en-US"/>
        </w:rPr>
        <w:t>En este caso, el valor reconocido depende de las atenciones efectivamente realizadas y de las condiciones económicas establecidas entre las partes. Por esta razón, la información relacionada con los servicios prestados, los soportes de atención y los registros de utilización adquiere especial importancia para el proceso de reconocimiento y pago.</w:t>
      </w:r>
    </w:p>
    <w:p w14:paraId="70838312" w14:textId="5E85B86C" w:rsidR="00192A5D" w:rsidRPr="00192A5D" w:rsidRDefault="00192A5D" w:rsidP="00192A5D">
      <w:pPr>
        <w:pStyle w:val="Normal0"/>
        <w:rPr>
          <w:rFonts w:eastAsia="Calibri"/>
          <w:bCs/>
          <w:sz w:val="20"/>
          <w:szCs w:val="20"/>
          <w:lang w:eastAsia="en-US"/>
        </w:rPr>
      </w:pPr>
    </w:p>
    <w:p w14:paraId="00482A5A" w14:textId="77777777" w:rsidR="00192A5D" w:rsidRPr="00192A5D" w:rsidRDefault="00192A5D" w:rsidP="00192A5D">
      <w:pPr>
        <w:pStyle w:val="Normal0"/>
        <w:rPr>
          <w:rFonts w:eastAsia="Calibri"/>
          <w:bCs/>
          <w:sz w:val="20"/>
          <w:szCs w:val="20"/>
          <w:lang w:eastAsia="en-US"/>
        </w:rPr>
      </w:pPr>
      <w:r w:rsidRPr="00192A5D">
        <w:rPr>
          <w:rFonts w:eastAsia="Calibri"/>
          <w:bCs/>
          <w:sz w:val="20"/>
          <w:szCs w:val="20"/>
          <w:lang w:eastAsia="en-US"/>
        </w:rPr>
        <w:t>La modalidad de pago seleccionada debe guardar correspondencia con los elementos definidos en el acuerdo de voluntades y con la información utilizada para construir la nota técnica. Esta última permite relacionar la población objeto, los servicios y tecnologías, las frecuencias de uso, los costos y el periodo de contratación.</w:t>
      </w:r>
    </w:p>
    <w:p w14:paraId="6B8D65E1" w14:textId="77777777" w:rsidR="00192A5D" w:rsidRPr="00192A5D" w:rsidRDefault="00192A5D" w:rsidP="00192A5D">
      <w:pPr>
        <w:pStyle w:val="Normal0"/>
        <w:rPr>
          <w:rFonts w:eastAsia="Calibri"/>
          <w:bCs/>
          <w:sz w:val="20"/>
          <w:szCs w:val="20"/>
          <w:lang w:eastAsia="en-US"/>
        </w:rPr>
      </w:pPr>
    </w:p>
    <w:p w14:paraId="5B660DF5" w14:textId="1AE5E5BE" w:rsidR="00192A5D" w:rsidRDefault="00192A5D" w:rsidP="00192A5D">
      <w:pPr>
        <w:pStyle w:val="Normal0"/>
        <w:rPr>
          <w:rFonts w:eastAsia="Calibri"/>
          <w:bCs/>
          <w:sz w:val="20"/>
          <w:szCs w:val="20"/>
          <w:lang w:eastAsia="en-US"/>
        </w:rPr>
      </w:pPr>
      <w:r w:rsidRPr="00192A5D">
        <w:rPr>
          <w:rFonts w:eastAsia="Calibri"/>
          <w:bCs/>
          <w:sz w:val="20"/>
          <w:szCs w:val="20"/>
          <w:lang w:eastAsia="en-US"/>
        </w:rPr>
        <w:t>De esta manera, las modalidades de pago pueden organizarse así:</w:t>
      </w:r>
    </w:p>
    <w:p w14:paraId="00AB5C61" w14:textId="4903AB1D" w:rsidR="00192A5D" w:rsidRDefault="00192A5D" w:rsidP="00192A5D">
      <w:pPr>
        <w:pStyle w:val="Normal0"/>
        <w:rPr>
          <w:rFonts w:eastAsia="Calibri"/>
          <w:bCs/>
          <w:sz w:val="20"/>
          <w:szCs w:val="20"/>
          <w:lang w:eastAsia="en-US"/>
        </w:rPr>
      </w:pPr>
    </w:p>
    <w:p w14:paraId="2CC84204" w14:textId="3BE1AA29" w:rsidR="00192A5D" w:rsidRDefault="00192A5D" w:rsidP="00192A5D">
      <w:pPr>
        <w:pStyle w:val="Normal0"/>
        <w:rPr>
          <w:rFonts w:eastAsia="Calibri"/>
          <w:bCs/>
          <w:sz w:val="20"/>
          <w:szCs w:val="20"/>
          <w:lang w:eastAsia="en-US"/>
        </w:rPr>
      </w:pPr>
      <w:r w:rsidRPr="00192A5D">
        <w:rPr>
          <w:rFonts w:eastAsia="Calibri"/>
          <w:b/>
          <w:bCs/>
          <w:sz w:val="20"/>
          <w:szCs w:val="20"/>
          <w:lang w:eastAsia="en-US"/>
        </w:rPr>
        <w:t>Tabla 5.</w:t>
      </w:r>
      <w:r w:rsidRPr="00192A5D">
        <w:rPr>
          <w:rFonts w:eastAsia="Calibri"/>
          <w:bCs/>
          <w:sz w:val="20"/>
          <w:szCs w:val="20"/>
          <w:lang w:eastAsia="en-US"/>
        </w:rPr>
        <w:t xml:space="preserve"> Modalidades de pago en los acuerdos de voluntades</w:t>
      </w:r>
    </w:p>
    <w:tbl>
      <w:tblPr>
        <w:tblStyle w:val="Tablaconcuadrcula"/>
        <w:tblW w:w="0" w:type="auto"/>
        <w:tblInd w:w="0" w:type="dxa"/>
        <w:tblLook w:val="04A0" w:firstRow="1" w:lastRow="0" w:firstColumn="1" w:lastColumn="0" w:noHBand="0" w:noVBand="1"/>
      </w:tblPr>
      <w:tblGrid>
        <w:gridCol w:w="2490"/>
        <w:gridCol w:w="2490"/>
        <w:gridCol w:w="2491"/>
        <w:gridCol w:w="2491"/>
      </w:tblGrid>
      <w:tr w:rsidR="00192A5D" w:rsidRPr="00192A5D" w14:paraId="5C845EE6" w14:textId="77777777" w:rsidTr="00192A5D">
        <w:tc>
          <w:tcPr>
            <w:tcW w:w="2490" w:type="dxa"/>
          </w:tcPr>
          <w:p w14:paraId="404A5FC1" w14:textId="4B05DAEE" w:rsidR="00192A5D" w:rsidRPr="00192A5D" w:rsidRDefault="00192A5D" w:rsidP="00192A5D">
            <w:pPr>
              <w:pStyle w:val="Normal0"/>
              <w:rPr>
                <w:rFonts w:eastAsia="Calibri"/>
                <w:b/>
                <w:bCs/>
                <w:sz w:val="20"/>
                <w:szCs w:val="20"/>
                <w:lang w:eastAsia="en-US"/>
              </w:rPr>
            </w:pPr>
            <w:r w:rsidRPr="00192A5D">
              <w:rPr>
                <w:b/>
                <w:sz w:val="20"/>
                <w:szCs w:val="20"/>
              </w:rPr>
              <w:t>Tipo de modalidad</w:t>
            </w:r>
          </w:p>
        </w:tc>
        <w:tc>
          <w:tcPr>
            <w:tcW w:w="2490" w:type="dxa"/>
          </w:tcPr>
          <w:p w14:paraId="0048401D" w14:textId="3AACC237" w:rsidR="00192A5D" w:rsidRPr="00192A5D" w:rsidRDefault="00192A5D" w:rsidP="00192A5D">
            <w:pPr>
              <w:pStyle w:val="Normal0"/>
              <w:rPr>
                <w:rFonts w:eastAsia="Calibri"/>
                <w:b/>
                <w:bCs/>
                <w:sz w:val="20"/>
                <w:szCs w:val="20"/>
                <w:lang w:eastAsia="en-US"/>
              </w:rPr>
            </w:pPr>
            <w:r w:rsidRPr="00192A5D">
              <w:rPr>
                <w:b/>
                <w:sz w:val="20"/>
                <w:szCs w:val="20"/>
              </w:rPr>
              <w:t>Momento del reconocimiento económico</w:t>
            </w:r>
          </w:p>
        </w:tc>
        <w:tc>
          <w:tcPr>
            <w:tcW w:w="2491" w:type="dxa"/>
          </w:tcPr>
          <w:p w14:paraId="6ED05992" w14:textId="10A38516" w:rsidR="00192A5D" w:rsidRPr="00192A5D" w:rsidRDefault="00192A5D" w:rsidP="00192A5D">
            <w:pPr>
              <w:pStyle w:val="Normal0"/>
              <w:rPr>
                <w:rFonts w:eastAsia="Calibri"/>
                <w:b/>
                <w:bCs/>
                <w:sz w:val="20"/>
                <w:szCs w:val="20"/>
                <w:lang w:eastAsia="en-US"/>
              </w:rPr>
            </w:pPr>
            <w:r w:rsidRPr="00192A5D">
              <w:rPr>
                <w:b/>
                <w:sz w:val="20"/>
                <w:szCs w:val="20"/>
              </w:rPr>
              <w:t>Ejemplos señalados en el insumo</w:t>
            </w:r>
          </w:p>
        </w:tc>
        <w:tc>
          <w:tcPr>
            <w:tcW w:w="2491" w:type="dxa"/>
          </w:tcPr>
          <w:p w14:paraId="4A09295B" w14:textId="6C354CF2" w:rsidR="00192A5D" w:rsidRPr="00192A5D" w:rsidRDefault="00192A5D" w:rsidP="00192A5D">
            <w:pPr>
              <w:pStyle w:val="Normal0"/>
              <w:rPr>
                <w:rFonts w:eastAsia="Calibri"/>
                <w:b/>
                <w:bCs/>
                <w:sz w:val="20"/>
                <w:szCs w:val="20"/>
                <w:lang w:eastAsia="en-US"/>
              </w:rPr>
            </w:pPr>
            <w:r w:rsidRPr="00192A5D">
              <w:rPr>
                <w:b/>
                <w:sz w:val="20"/>
                <w:szCs w:val="20"/>
              </w:rPr>
              <w:t>Relación con la nota técnica</w:t>
            </w:r>
          </w:p>
        </w:tc>
      </w:tr>
      <w:tr w:rsidR="00192A5D" w:rsidRPr="00192A5D" w14:paraId="5C290AAD" w14:textId="77777777" w:rsidTr="00192A5D">
        <w:tc>
          <w:tcPr>
            <w:tcW w:w="2490" w:type="dxa"/>
          </w:tcPr>
          <w:p w14:paraId="5D398B66" w14:textId="53D5C358" w:rsidR="00192A5D" w:rsidRPr="00192A5D" w:rsidRDefault="00192A5D" w:rsidP="00192A5D">
            <w:pPr>
              <w:pStyle w:val="Normal0"/>
              <w:rPr>
                <w:rFonts w:eastAsia="Calibri"/>
                <w:bCs/>
                <w:sz w:val="20"/>
                <w:szCs w:val="20"/>
                <w:lang w:eastAsia="en-US"/>
              </w:rPr>
            </w:pPr>
            <w:r w:rsidRPr="00192A5D">
              <w:rPr>
                <w:sz w:val="20"/>
                <w:szCs w:val="20"/>
              </w:rPr>
              <w:t>Prospectiva</w:t>
            </w:r>
          </w:p>
        </w:tc>
        <w:tc>
          <w:tcPr>
            <w:tcW w:w="2490" w:type="dxa"/>
          </w:tcPr>
          <w:p w14:paraId="03A5ACD6" w14:textId="52465B34" w:rsidR="00192A5D" w:rsidRPr="00192A5D" w:rsidRDefault="00192A5D" w:rsidP="00192A5D">
            <w:pPr>
              <w:pStyle w:val="Normal0"/>
              <w:rPr>
                <w:rFonts w:eastAsia="Calibri"/>
                <w:bCs/>
                <w:sz w:val="20"/>
                <w:szCs w:val="20"/>
                <w:lang w:eastAsia="en-US"/>
              </w:rPr>
            </w:pPr>
            <w:r w:rsidRPr="00192A5D">
              <w:rPr>
                <w:sz w:val="20"/>
                <w:szCs w:val="20"/>
              </w:rPr>
              <w:t>Antes de la prestación, con base en proyecciones</w:t>
            </w:r>
            <w:r w:rsidR="0015569D">
              <w:rPr>
                <w:sz w:val="20"/>
                <w:szCs w:val="20"/>
              </w:rPr>
              <w:t>.</w:t>
            </w:r>
          </w:p>
        </w:tc>
        <w:tc>
          <w:tcPr>
            <w:tcW w:w="2491" w:type="dxa"/>
          </w:tcPr>
          <w:p w14:paraId="05E44CFC" w14:textId="72A070C4" w:rsidR="00192A5D" w:rsidRPr="00192A5D" w:rsidRDefault="00192A5D" w:rsidP="00192A5D">
            <w:pPr>
              <w:pStyle w:val="Normal0"/>
              <w:rPr>
                <w:rFonts w:eastAsia="Calibri"/>
                <w:bCs/>
                <w:sz w:val="20"/>
                <w:szCs w:val="20"/>
                <w:lang w:eastAsia="en-US"/>
              </w:rPr>
            </w:pPr>
            <w:r w:rsidRPr="00192A5D">
              <w:rPr>
                <w:sz w:val="20"/>
                <w:szCs w:val="20"/>
              </w:rPr>
              <w:t>Capitación, PGP, paquete o canasta</w:t>
            </w:r>
            <w:r w:rsidR="0015569D">
              <w:rPr>
                <w:sz w:val="20"/>
                <w:szCs w:val="20"/>
              </w:rPr>
              <w:t>.</w:t>
            </w:r>
          </w:p>
        </w:tc>
        <w:tc>
          <w:tcPr>
            <w:tcW w:w="2491" w:type="dxa"/>
          </w:tcPr>
          <w:p w14:paraId="226A1EB7" w14:textId="435D3BE5" w:rsidR="00192A5D" w:rsidRPr="00192A5D" w:rsidRDefault="00192A5D" w:rsidP="00192A5D">
            <w:pPr>
              <w:pStyle w:val="Normal0"/>
              <w:rPr>
                <w:rFonts w:eastAsia="Calibri"/>
                <w:bCs/>
                <w:sz w:val="20"/>
                <w:szCs w:val="20"/>
                <w:lang w:eastAsia="en-US"/>
              </w:rPr>
            </w:pPr>
            <w:r w:rsidRPr="00192A5D">
              <w:rPr>
                <w:sz w:val="20"/>
                <w:szCs w:val="20"/>
              </w:rPr>
              <w:t>Sustenta las estimaciones de población, frecuencias, costos y recursos requeridos</w:t>
            </w:r>
            <w:r w:rsidR="0015569D">
              <w:rPr>
                <w:sz w:val="20"/>
                <w:szCs w:val="20"/>
              </w:rPr>
              <w:t>.</w:t>
            </w:r>
          </w:p>
        </w:tc>
      </w:tr>
      <w:tr w:rsidR="00192A5D" w:rsidRPr="00192A5D" w14:paraId="6266DBED" w14:textId="77777777" w:rsidTr="00192A5D">
        <w:tc>
          <w:tcPr>
            <w:tcW w:w="2490" w:type="dxa"/>
          </w:tcPr>
          <w:p w14:paraId="2D8B7188" w14:textId="13E59BC7" w:rsidR="00192A5D" w:rsidRPr="00192A5D" w:rsidRDefault="00192A5D" w:rsidP="00192A5D">
            <w:pPr>
              <w:pStyle w:val="Normal0"/>
              <w:rPr>
                <w:rFonts w:eastAsia="Calibri"/>
                <w:bCs/>
                <w:sz w:val="20"/>
                <w:szCs w:val="20"/>
                <w:lang w:eastAsia="en-US"/>
              </w:rPr>
            </w:pPr>
            <w:r w:rsidRPr="00192A5D">
              <w:rPr>
                <w:sz w:val="20"/>
                <w:szCs w:val="20"/>
              </w:rPr>
              <w:t>Retrospectiva</w:t>
            </w:r>
          </w:p>
        </w:tc>
        <w:tc>
          <w:tcPr>
            <w:tcW w:w="2490" w:type="dxa"/>
          </w:tcPr>
          <w:p w14:paraId="598F2A59" w14:textId="7025BBBF" w:rsidR="00192A5D" w:rsidRPr="00192A5D" w:rsidRDefault="00192A5D" w:rsidP="00192A5D">
            <w:pPr>
              <w:pStyle w:val="Normal0"/>
              <w:rPr>
                <w:rFonts w:eastAsia="Calibri"/>
                <w:bCs/>
                <w:sz w:val="20"/>
                <w:szCs w:val="20"/>
                <w:lang w:eastAsia="en-US"/>
              </w:rPr>
            </w:pPr>
            <w:r w:rsidRPr="00192A5D">
              <w:rPr>
                <w:sz w:val="20"/>
                <w:szCs w:val="20"/>
              </w:rPr>
              <w:t>Después de la prestación, según la utilización efectiva</w:t>
            </w:r>
            <w:r w:rsidR="0015569D">
              <w:rPr>
                <w:sz w:val="20"/>
                <w:szCs w:val="20"/>
              </w:rPr>
              <w:t>.</w:t>
            </w:r>
          </w:p>
        </w:tc>
        <w:tc>
          <w:tcPr>
            <w:tcW w:w="2491" w:type="dxa"/>
          </w:tcPr>
          <w:p w14:paraId="64587E28" w14:textId="1012FC14" w:rsidR="00192A5D" w:rsidRPr="00192A5D" w:rsidRDefault="00192A5D" w:rsidP="00192A5D">
            <w:pPr>
              <w:pStyle w:val="Normal0"/>
              <w:rPr>
                <w:rFonts w:eastAsia="Calibri"/>
                <w:bCs/>
                <w:sz w:val="20"/>
                <w:szCs w:val="20"/>
                <w:lang w:eastAsia="en-US"/>
              </w:rPr>
            </w:pPr>
            <w:r w:rsidRPr="00192A5D">
              <w:rPr>
                <w:sz w:val="20"/>
                <w:szCs w:val="20"/>
              </w:rPr>
              <w:t>Pago por evento</w:t>
            </w:r>
            <w:r w:rsidR="0015569D">
              <w:rPr>
                <w:sz w:val="20"/>
                <w:szCs w:val="20"/>
              </w:rPr>
              <w:t>.</w:t>
            </w:r>
          </w:p>
        </w:tc>
        <w:tc>
          <w:tcPr>
            <w:tcW w:w="2491" w:type="dxa"/>
          </w:tcPr>
          <w:p w14:paraId="31ECBEF7" w14:textId="6ACF959B" w:rsidR="00192A5D" w:rsidRPr="00192A5D" w:rsidRDefault="00192A5D" w:rsidP="00192A5D">
            <w:pPr>
              <w:pStyle w:val="Normal0"/>
              <w:rPr>
                <w:rFonts w:eastAsia="Calibri"/>
                <w:bCs/>
                <w:sz w:val="20"/>
                <w:szCs w:val="20"/>
                <w:lang w:eastAsia="en-US"/>
              </w:rPr>
            </w:pPr>
            <w:r w:rsidRPr="00192A5D">
              <w:rPr>
                <w:sz w:val="20"/>
                <w:szCs w:val="20"/>
              </w:rPr>
              <w:t>Utiliza información de los servicios efectivamente prestados para determinar el reconocimiento</w:t>
            </w:r>
            <w:r w:rsidR="0015569D">
              <w:rPr>
                <w:sz w:val="20"/>
                <w:szCs w:val="20"/>
              </w:rPr>
              <w:t>.</w:t>
            </w:r>
          </w:p>
        </w:tc>
      </w:tr>
    </w:tbl>
    <w:p w14:paraId="5B49B9B0" w14:textId="6F6BD937" w:rsidR="00192A5D" w:rsidRDefault="00192A5D" w:rsidP="00192A5D">
      <w:pPr>
        <w:pStyle w:val="Normal0"/>
        <w:rPr>
          <w:rFonts w:eastAsia="Calibri"/>
          <w:bCs/>
          <w:sz w:val="20"/>
          <w:szCs w:val="20"/>
          <w:lang w:eastAsia="en-US"/>
        </w:rPr>
      </w:pPr>
    </w:p>
    <w:p w14:paraId="1779058C" w14:textId="1E091C0C" w:rsidR="00192A5D" w:rsidRDefault="00192A5D" w:rsidP="00192A5D">
      <w:pPr>
        <w:pStyle w:val="Normal0"/>
        <w:rPr>
          <w:rFonts w:eastAsia="Calibri"/>
          <w:bCs/>
          <w:sz w:val="20"/>
          <w:szCs w:val="20"/>
          <w:lang w:eastAsia="en-US"/>
        </w:rPr>
      </w:pPr>
      <w:r w:rsidRPr="00192A5D">
        <w:rPr>
          <w:rFonts w:eastAsia="Calibri"/>
          <w:bCs/>
          <w:sz w:val="20"/>
          <w:szCs w:val="20"/>
          <w:lang w:eastAsia="en-US"/>
        </w:rPr>
        <w:t>En consecuencia, comprender las modalidades de pago permite interpretar cómo las estimaciones realizadas en la nota técnica se relacionan con las condiciones económicas y operativas del acuerdo de voluntades. La modalidad seleccionada también determina qué información debe analizarse para realizar el seguimiento del comportamiento de los servicios, las frecuencias de uso y los costos durante la ejecución del acuerdo.</w:t>
      </w:r>
    </w:p>
    <w:p w14:paraId="2149FDAF" w14:textId="447577B3" w:rsidR="0015569D" w:rsidRDefault="0015569D" w:rsidP="00192A5D">
      <w:pPr>
        <w:pStyle w:val="Normal0"/>
        <w:rPr>
          <w:rFonts w:eastAsia="Calibri"/>
          <w:bCs/>
          <w:sz w:val="20"/>
          <w:szCs w:val="20"/>
          <w:lang w:eastAsia="en-US"/>
        </w:rPr>
      </w:pPr>
    </w:p>
    <w:p w14:paraId="697DDC7A" w14:textId="1C8014FB" w:rsidR="00191ABB" w:rsidRDefault="00191ABB" w:rsidP="00192A5D">
      <w:pPr>
        <w:pStyle w:val="Normal0"/>
        <w:rPr>
          <w:rFonts w:eastAsia="Calibri"/>
          <w:bCs/>
          <w:sz w:val="20"/>
          <w:szCs w:val="20"/>
          <w:lang w:eastAsia="en-US"/>
        </w:rPr>
      </w:pPr>
    </w:p>
    <w:p w14:paraId="78B1A0CB" w14:textId="5172941D" w:rsidR="00191ABB" w:rsidRDefault="00191ABB" w:rsidP="00192A5D">
      <w:pPr>
        <w:pStyle w:val="Normal0"/>
        <w:rPr>
          <w:rFonts w:eastAsia="Calibri"/>
          <w:bCs/>
          <w:sz w:val="20"/>
          <w:szCs w:val="20"/>
          <w:lang w:eastAsia="en-US"/>
        </w:rPr>
      </w:pPr>
    </w:p>
    <w:p w14:paraId="33A90CDB" w14:textId="77777777" w:rsidR="00191ABB" w:rsidRPr="000D04CD" w:rsidRDefault="00191ABB" w:rsidP="00192A5D">
      <w:pPr>
        <w:pStyle w:val="Normal0"/>
        <w:rPr>
          <w:rFonts w:eastAsia="Calibri"/>
          <w:bCs/>
          <w:sz w:val="20"/>
          <w:szCs w:val="20"/>
          <w:lang w:eastAsia="en-US"/>
        </w:rPr>
      </w:pPr>
    </w:p>
    <w:p w14:paraId="2CA08080" w14:textId="46FF0E59" w:rsidR="00AD590A" w:rsidRPr="0015569D" w:rsidRDefault="00AD590A" w:rsidP="009723E7">
      <w:pPr>
        <w:pStyle w:val="Normal0"/>
        <w:numPr>
          <w:ilvl w:val="1"/>
          <w:numId w:val="27"/>
        </w:numPr>
        <w:rPr>
          <w:rFonts w:eastAsia="Calibri"/>
          <w:b/>
          <w:bCs/>
          <w:sz w:val="20"/>
          <w:szCs w:val="20"/>
          <w:lang w:eastAsia="en-US"/>
        </w:rPr>
      </w:pPr>
      <w:r w:rsidRPr="0015569D">
        <w:rPr>
          <w:rFonts w:eastAsia="Calibri"/>
          <w:b/>
          <w:bCs/>
          <w:sz w:val="20"/>
          <w:szCs w:val="20"/>
          <w:lang w:eastAsia="en-US"/>
        </w:rPr>
        <w:lastRenderedPageBreak/>
        <w:t>Registro Individual de Prestación de Servicios de Salud (RIPS)</w:t>
      </w:r>
    </w:p>
    <w:p w14:paraId="41D65322" w14:textId="56402148" w:rsidR="0015569D" w:rsidRDefault="0015569D" w:rsidP="0015569D">
      <w:pPr>
        <w:pStyle w:val="Normal0"/>
        <w:rPr>
          <w:rFonts w:eastAsia="Calibri"/>
          <w:bCs/>
          <w:sz w:val="20"/>
          <w:szCs w:val="20"/>
          <w:lang w:eastAsia="en-US"/>
        </w:rPr>
      </w:pPr>
    </w:p>
    <w:p w14:paraId="4EF5C7F8" w14:textId="77777777" w:rsidR="0015569D" w:rsidRPr="0015569D" w:rsidRDefault="0015569D" w:rsidP="0015569D">
      <w:pPr>
        <w:pStyle w:val="Normal0"/>
        <w:rPr>
          <w:rFonts w:eastAsia="Calibri"/>
          <w:bCs/>
          <w:sz w:val="20"/>
          <w:szCs w:val="20"/>
          <w:lang w:eastAsia="en-US"/>
        </w:rPr>
      </w:pPr>
      <w:r w:rsidRPr="0015569D">
        <w:rPr>
          <w:rFonts w:eastAsia="Calibri"/>
          <w:bCs/>
          <w:sz w:val="20"/>
          <w:szCs w:val="20"/>
          <w:lang w:eastAsia="en-US"/>
        </w:rPr>
        <w:t>El Registro Individual de Prestación de Servicios de Salud (RIPS) es el conjunto de datos que contiene información relacionada con la prestación o provisión de servicios y tecnologías de salud a los usuarios. Esta información se utiliza en los procesos de prestación y facturación, así como en actividades de dirección, regulación y control del sector salud.</w:t>
      </w:r>
    </w:p>
    <w:p w14:paraId="460549C3" w14:textId="77777777" w:rsidR="0015569D" w:rsidRPr="0015569D" w:rsidRDefault="0015569D" w:rsidP="0015569D">
      <w:pPr>
        <w:pStyle w:val="Normal0"/>
        <w:rPr>
          <w:rFonts w:eastAsia="Calibri"/>
          <w:bCs/>
          <w:sz w:val="20"/>
          <w:szCs w:val="20"/>
          <w:lang w:eastAsia="en-US"/>
        </w:rPr>
      </w:pPr>
    </w:p>
    <w:p w14:paraId="53EBA16B" w14:textId="77777777" w:rsidR="0015569D" w:rsidRPr="0015569D" w:rsidRDefault="0015569D" w:rsidP="0015569D">
      <w:pPr>
        <w:pStyle w:val="Normal0"/>
        <w:rPr>
          <w:rFonts w:eastAsia="Calibri"/>
          <w:bCs/>
          <w:sz w:val="20"/>
          <w:szCs w:val="20"/>
          <w:lang w:eastAsia="en-US"/>
        </w:rPr>
      </w:pPr>
      <w:r w:rsidRPr="0015569D">
        <w:rPr>
          <w:rFonts w:eastAsia="Calibri"/>
          <w:bCs/>
          <w:sz w:val="20"/>
          <w:szCs w:val="20"/>
          <w:lang w:eastAsia="en-US"/>
        </w:rPr>
        <w:t xml:space="preserve">De acuerdo con la </w:t>
      </w:r>
      <w:r w:rsidRPr="0015569D">
        <w:rPr>
          <w:rFonts w:eastAsia="Calibri"/>
          <w:b/>
          <w:bCs/>
          <w:sz w:val="20"/>
          <w:szCs w:val="20"/>
          <w:lang w:eastAsia="en-US"/>
        </w:rPr>
        <w:t>Resolución 2275 de 2023</w:t>
      </w:r>
      <w:r w:rsidRPr="0015569D">
        <w:rPr>
          <w:rFonts w:eastAsia="Calibri"/>
          <w:bCs/>
          <w:sz w:val="20"/>
          <w:szCs w:val="20"/>
          <w:lang w:eastAsia="en-US"/>
        </w:rPr>
        <w:t>, el RIPS es generado, validado y enviado como soporte de la factura de venta por los facturadores electrónicos del sector salud, entre ellos los prestadores de servicios de salud y los proveedores de tecnologías en salud.</w:t>
      </w:r>
    </w:p>
    <w:p w14:paraId="119C6F13" w14:textId="77777777" w:rsidR="0015569D" w:rsidRPr="0015569D" w:rsidRDefault="0015569D" w:rsidP="0015569D">
      <w:pPr>
        <w:pStyle w:val="Normal0"/>
        <w:rPr>
          <w:rFonts w:eastAsia="Calibri"/>
          <w:bCs/>
          <w:sz w:val="20"/>
          <w:szCs w:val="20"/>
          <w:lang w:eastAsia="en-US"/>
        </w:rPr>
      </w:pPr>
    </w:p>
    <w:p w14:paraId="395DE047" w14:textId="77777777" w:rsidR="0015569D" w:rsidRPr="0015569D" w:rsidRDefault="0015569D" w:rsidP="0015569D">
      <w:pPr>
        <w:pStyle w:val="Normal0"/>
        <w:rPr>
          <w:rFonts w:eastAsia="Calibri"/>
          <w:bCs/>
          <w:sz w:val="20"/>
          <w:szCs w:val="20"/>
          <w:lang w:eastAsia="en-US"/>
        </w:rPr>
      </w:pPr>
      <w:r w:rsidRPr="0015569D">
        <w:rPr>
          <w:rFonts w:eastAsia="Calibri"/>
          <w:bCs/>
          <w:sz w:val="20"/>
          <w:szCs w:val="20"/>
          <w:lang w:eastAsia="en-US"/>
        </w:rPr>
        <w:t>La información registrada se organiza en diferentes grupos de datos, entre los que se encuentran:</w:t>
      </w:r>
    </w:p>
    <w:p w14:paraId="6171DC5B" w14:textId="77777777" w:rsidR="0015569D" w:rsidRPr="0015569D" w:rsidRDefault="0015569D" w:rsidP="0015569D">
      <w:pPr>
        <w:pStyle w:val="Normal0"/>
        <w:rPr>
          <w:rFonts w:eastAsia="Calibri"/>
          <w:bCs/>
          <w:sz w:val="20"/>
          <w:szCs w:val="20"/>
          <w:lang w:eastAsia="en-US"/>
        </w:rPr>
      </w:pPr>
    </w:p>
    <w:p w14:paraId="681F83B8" w14:textId="77777777" w:rsidR="0015569D" w:rsidRPr="0015569D" w:rsidRDefault="0015569D" w:rsidP="00716DEA">
      <w:pPr>
        <w:pStyle w:val="Normal0"/>
        <w:numPr>
          <w:ilvl w:val="0"/>
          <w:numId w:val="13"/>
        </w:numPr>
        <w:rPr>
          <w:rFonts w:eastAsia="Calibri"/>
          <w:bCs/>
          <w:sz w:val="20"/>
          <w:szCs w:val="20"/>
          <w:lang w:eastAsia="en-US"/>
        </w:rPr>
      </w:pPr>
      <w:r w:rsidRPr="0015569D">
        <w:rPr>
          <w:rFonts w:eastAsia="Calibri"/>
          <w:bCs/>
          <w:sz w:val="20"/>
          <w:szCs w:val="20"/>
          <w:lang w:eastAsia="en-US"/>
        </w:rPr>
        <w:t>Datos de la transacción: información relacionada con la operación registrada.</w:t>
      </w:r>
    </w:p>
    <w:p w14:paraId="1C0D22EE" w14:textId="77777777" w:rsidR="0015569D" w:rsidRPr="0015569D" w:rsidRDefault="0015569D" w:rsidP="00716DEA">
      <w:pPr>
        <w:pStyle w:val="Normal0"/>
        <w:numPr>
          <w:ilvl w:val="0"/>
          <w:numId w:val="13"/>
        </w:numPr>
        <w:rPr>
          <w:rFonts w:eastAsia="Calibri"/>
          <w:bCs/>
          <w:sz w:val="20"/>
          <w:szCs w:val="20"/>
          <w:lang w:eastAsia="en-US"/>
        </w:rPr>
      </w:pPr>
      <w:r w:rsidRPr="0015569D">
        <w:rPr>
          <w:rFonts w:eastAsia="Calibri"/>
          <w:bCs/>
          <w:sz w:val="20"/>
          <w:szCs w:val="20"/>
          <w:lang w:eastAsia="en-US"/>
        </w:rPr>
        <w:t>Datos de los usuarios: información necesaria para identificar y caracterizar al usuario de los servicios.</w:t>
      </w:r>
    </w:p>
    <w:p w14:paraId="3F01CC51" w14:textId="77777777" w:rsidR="0015569D" w:rsidRPr="0015569D" w:rsidRDefault="0015569D" w:rsidP="00716DEA">
      <w:pPr>
        <w:pStyle w:val="Normal0"/>
        <w:numPr>
          <w:ilvl w:val="0"/>
          <w:numId w:val="13"/>
        </w:numPr>
        <w:rPr>
          <w:rFonts w:eastAsia="Calibri"/>
          <w:bCs/>
          <w:sz w:val="20"/>
          <w:szCs w:val="20"/>
          <w:lang w:eastAsia="en-US"/>
        </w:rPr>
      </w:pPr>
      <w:r w:rsidRPr="0015569D">
        <w:rPr>
          <w:rFonts w:eastAsia="Calibri"/>
          <w:bCs/>
          <w:sz w:val="20"/>
          <w:szCs w:val="20"/>
          <w:lang w:eastAsia="en-US"/>
        </w:rPr>
        <w:t>Datos de los servicios y tecnologías de salud y valores facturados: información relacionada con las atenciones realizadas y los valores correspondientes.</w:t>
      </w:r>
    </w:p>
    <w:p w14:paraId="430820AF" w14:textId="77777777" w:rsidR="0015569D" w:rsidRPr="0015569D" w:rsidRDefault="0015569D" w:rsidP="0015569D">
      <w:pPr>
        <w:pStyle w:val="Normal0"/>
        <w:rPr>
          <w:rFonts w:eastAsia="Calibri"/>
          <w:bCs/>
          <w:sz w:val="20"/>
          <w:szCs w:val="20"/>
          <w:lang w:eastAsia="en-US"/>
        </w:rPr>
      </w:pPr>
    </w:p>
    <w:p w14:paraId="29DAAA93" w14:textId="77777777" w:rsidR="0015569D" w:rsidRPr="0015569D" w:rsidRDefault="0015569D" w:rsidP="0015569D">
      <w:pPr>
        <w:pStyle w:val="Normal0"/>
        <w:rPr>
          <w:rFonts w:eastAsia="Calibri"/>
          <w:bCs/>
          <w:sz w:val="20"/>
          <w:szCs w:val="20"/>
          <w:lang w:eastAsia="en-US"/>
        </w:rPr>
      </w:pPr>
      <w:r w:rsidRPr="0015569D">
        <w:rPr>
          <w:rFonts w:eastAsia="Calibri"/>
          <w:bCs/>
          <w:sz w:val="20"/>
          <w:szCs w:val="20"/>
          <w:lang w:eastAsia="en-US"/>
        </w:rPr>
        <w:t>Dentro de los servicios y tecnologías registrados se incluyen datos de consultas, procedimientos, urgencias con observación, hospitalización, recién nacidos, medicamentos y otros servicios.</w:t>
      </w:r>
    </w:p>
    <w:p w14:paraId="44CE8A71" w14:textId="77777777" w:rsidR="0015569D" w:rsidRPr="0015569D" w:rsidRDefault="0015569D" w:rsidP="0015569D">
      <w:pPr>
        <w:pStyle w:val="Normal0"/>
        <w:rPr>
          <w:rFonts w:eastAsia="Calibri"/>
          <w:bCs/>
          <w:sz w:val="20"/>
          <w:szCs w:val="20"/>
          <w:lang w:eastAsia="en-US"/>
        </w:rPr>
      </w:pPr>
    </w:p>
    <w:p w14:paraId="4E2D28B2" w14:textId="77777777" w:rsidR="0015569D" w:rsidRPr="0015569D" w:rsidRDefault="0015569D" w:rsidP="0015569D">
      <w:pPr>
        <w:pStyle w:val="Normal0"/>
        <w:rPr>
          <w:rFonts w:eastAsia="Calibri"/>
          <w:bCs/>
          <w:sz w:val="20"/>
          <w:szCs w:val="20"/>
          <w:lang w:eastAsia="en-US"/>
        </w:rPr>
      </w:pPr>
      <w:r w:rsidRPr="0015569D">
        <w:rPr>
          <w:rFonts w:eastAsia="Calibri"/>
          <w:bCs/>
          <w:sz w:val="20"/>
          <w:szCs w:val="20"/>
          <w:lang w:eastAsia="en-US"/>
        </w:rPr>
        <w:t>En la construcción de la nota técnica, el RIPS constituye una fuente de información para analizar el comportamiento histórico de los servicios y tecnologías efectivamente utilizados. Su análisis permite establecer frecuencias de uso y relacionarlas con la población objeto y susceptible previamente identificada.</w:t>
      </w:r>
    </w:p>
    <w:p w14:paraId="357F0F2E" w14:textId="77777777" w:rsidR="0015569D" w:rsidRPr="0015569D" w:rsidRDefault="0015569D" w:rsidP="0015569D">
      <w:pPr>
        <w:pStyle w:val="Normal0"/>
        <w:rPr>
          <w:rFonts w:eastAsia="Calibri"/>
          <w:bCs/>
          <w:sz w:val="20"/>
          <w:szCs w:val="20"/>
          <w:lang w:eastAsia="en-US"/>
        </w:rPr>
      </w:pPr>
    </w:p>
    <w:p w14:paraId="5C04E62C" w14:textId="50BAB266" w:rsidR="0015569D" w:rsidRPr="0015569D" w:rsidRDefault="0015569D" w:rsidP="0015569D">
      <w:pPr>
        <w:pStyle w:val="Normal0"/>
        <w:rPr>
          <w:rFonts w:eastAsia="Calibri"/>
          <w:bCs/>
          <w:sz w:val="20"/>
          <w:szCs w:val="20"/>
          <w:lang w:eastAsia="en-US"/>
        </w:rPr>
      </w:pPr>
      <w:r w:rsidRPr="0015569D">
        <w:rPr>
          <w:rFonts w:eastAsia="Calibri"/>
          <w:bCs/>
          <w:sz w:val="20"/>
          <w:szCs w:val="20"/>
          <w:lang w:eastAsia="en-US"/>
        </w:rPr>
        <w:t>La información histórica debe ser analizada teniendo en cuenta el periodo de referencia, la población objeto, los servicios o tecnologías considerados y las condiciones en las que se produjeron las atenciones. Además, es necesario realizar procesos de validación y depuración para identificar posibles duplicidades, inconsistencias o registros que no correspondan con el análisis que se preten</w:t>
      </w:r>
      <w:r w:rsidR="004C39C9">
        <w:rPr>
          <w:rFonts w:eastAsia="Calibri"/>
          <w:bCs/>
          <w:sz w:val="20"/>
          <w:szCs w:val="20"/>
          <w:lang w:eastAsia="en-US"/>
        </w:rPr>
        <w:t>de realizar.</w:t>
      </w:r>
    </w:p>
    <w:p w14:paraId="249FE7BE" w14:textId="258A21FE" w:rsidR="004C39C9" w:rsidRDefault="004C39C9" w:rsidP="0015569D">
      <w:pPr>
        <w:pStyle w:val="Normal0"/>
        <w:rPr>
          <w:rFonts w:eastAsia="Calibri"/>
          <w:bCs/>
          <w:sz w:val="20"/>
          <w:szCs w:val="20"/>
          <w:lang w:eastAsia="en-US"/>
        </w:rPr>
      </w:pPr>
    </w:p>
    <w:p w14:paraId="3F46C911" w14:textId="257BC5DC" w:rsidR="004C39C9" w:rsidRPr="0015569D" w:rsidRDefault="004C39C9" w:rsidP="004C39C9">
      <w:pPr>
        <w:pStyle w:val="Normal0"/>
        <w:jc w:val="center"/>
        <w:rPr>
          <w:rFonts w:eastAsia="Calibri"/>
          <w:bCs/>
          <w:sz w:val="20"/>
          <w:szCs w:val="20"/>
          <w:lang w:eastAsia="en-US"/>
        </w:rPr>
      </w:pPr>
      <w:r w:rsidRPr="00CB52D1">
        <w:rPr>
          <w:rFonts w:eastAsia="Calibri"/>
          <w:bCs/>
          <w:noProof/>
          <w:sz w:val="20"/>
          <w:szCs w:val="20"/>
          <w:lang w:val="en-US" w:eastAsia="en-US"/>
        </w:rPr>
        <mc:AlternateContent>
          <mc:Choice Requires="wps">
            <w:drawing>
              <wp:inline distT="0" distB="0" distL="0" distR="0" wp14:anchorId="18624D69" wp14:editId="0E40695F">
                <wp:extent cx="5762625" cy="1404620"/>
                <wp:effectExtent l="0" t="0" r="9525" b="8890"/>
                <wp:docPr id="12"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62625" cy="1404620"/>
                        </a:xfrm>
                        <a:prstGeom prst="rect">
                          <a:avLst/>
                        </a:prstGeom>
                        <a:solidFill>
                          <a:schemeClr val="accent1">
                            <a:lumMod val="40000"/>
                            <a:lumOff val="60000"/>
                          </a:schemeClr>
                        </a:solidFill>
                        <a:ln w="9525">
                          <a:noFill/>
                          <a:miter lim="800000"/>
                          <a:headEnd/>
                          <a:tailEnd/>
                        </a:ln>
                      </wps:spPr>
                      <wps:txbx>
                        <w:txbxContent>
                          <w:p w14:paraId="199C6912" w14:textId="4288F151" w:rsidR="00877F3E" w:rsidRPr="00206F88" w:rsidRDefault="00877F3E" w:rsidP="004C39C9">
                            <w:pPr>
                              <w:pStyle w:val="Normal0"/>
                              <w:rPr>
                                <w:rFonts w:eastAsia="Calibri"/>
                                <w:bCs/>
                                <w:sz w:val="20"/>
                                <w:szCs w:val="20"/>
                                <w:lang w:eastAsia="en-US"/>
                              </w:rPr>
                            </w:pPr>
                            <w:r w:rsidRPr="0015569D">
                              <w:rPr>
                                <w:rFonts w:eastAsia="Calibri"/>
                                <w:bCs/>
                                <w:sz w:val="20"/>
                                <w:szCs w:val="20"/>
                                <w:lang w:eastAsia="en-US"/>
                              </w:rPr>
                              <w:t>Por ejemplo, si se requiere establecer la frecuencia histórica de un procedimiento, los registros del RIPS pueden utilizarse para determinar cuántas veces fue realizado durante un periodo y relacionar este resultado con la población correspondiente. De esta manera, el RIPS aporta información para estimar el comportamiento de utilización que posteriormente puede considerarse en las proyecciones de la nota técnica.</w:t>
                            </w:r>
                          </w:p>
                        </w:txbxContent>
                      </wps:txbx>
                      <wps:bodyPr rot="0" vert="horz" wrap="square" lIns="91440" tIns="45720" rIns="91440" bIns="45720" anchor="t" anchorCtr="0">
                        <a:spAutoFit/>
                      </wps:bodyPr>
                    </wps:wsp>
                  </a:graphicData>
                </a:graphic>
              </wp:inline>
            </w:drawing>
          </mc:Choice>
          <mc:Fallback>
            <w:pict>
              <v:shape w14:anchorId="18624D69" id="_x0000_s1034" type="#_x0000_t202" style="width:453.75pt;height:110.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" fillcolor="#b8cce4 [1300]" stroked="f">
                <v:textbox style="mso-fit-shape-to-text:t">
                  <w:txbxContent>
                    <w:p w14:paraId="199C6912" w14:textId="4288F151" w:rsidR="00877F3E" w:rsidRPr="00206F88" w:rsidRDefault="00877F3E" w:rsidP="004C39C9">
                      <w:pPr>
                        <w:pStyle w:val="Normal0"/>
                        <w:rPr>
                          <w:rFonts w:eastAsia="Calibri"/>
                          <w:bCs/>
                          <w:sz w:val="20"/>
                          <w:szCs w:val="20"/>
                          <w:lang w:eastAsia="en-US"/>
                        </w:rPr>
                      </w:pPr>
                      <w:r w:rsidRPr="0015569D">
                        <w:rPr>
                          <w:rFonts w:eastAsia="Calibri"/>
                          <w:bCs/>
                          <w:sz w:val="20"/>
                          <w:szCs w:val="20"/>
                          <w:lang w:eastAsia="en-US"/>
                        </w:rPr>
                        <w:t>Por ejemplo, si se requiere establecer la frecuencia histórica de un procedimiento, los registros del RIPS pueden utilizarse para determinar cuántas veces fue realizado durante un periodo y relacionar este resultado con la población correspondiente. De esta manera, el RIPS aporta información para estimar el comportamiento de utilización que posteriormente puede considerarse en las proyecciones de la nota técnica.</w:t>
                      </w:r>
                    </w:p>
                  </w:txbxContent>
                </v:textbox>
                <w10:anchorlock/>
              </v:shape>
            </w:pict>
          </mc:Fallback>
        </mc:AlternateContent>
      </w:r>
    </w:p>
    <w:p w14:paraId="502C9F56" w14:textId="77777777" w:rsidR="0015569D" w:rsidRPr="0015569D" w:rsidRDefault="0015569D" w:rsidP="0015569D">
      <w:pPr>
        <w:pStyle w:val="Normal0"/>
        <w:rPr>
          <w:rFonts w:eastAsia="Calibri"/>
          <w:bCs/>
          <w:sz w:val="20"/>
          <w:szCs w:val="20"/>
          <w:lang w:eastAsia="en-US"/>
        </w:rPr>
      </w:pPr>
    </w:p>
    <w:p w14:paraId="5AE97896" w14:textId="77777777" w:rsidR="0015569D" w:rsidRPr="0015569D" w:rsidRDefault="0015569D" w:rsidP="0015569D">
      <w:pPr>
        <w:pStyle w:val="Normal0"/>
        <w:rPr>
          <w:rFonts w:eastAsia="Calibri"/>
          <w:bCs/>
          <w:sz w:val="20"/>
          <w:szCs w:val="20"/>
          <w:lang w:eastAsia="en-US"/>
        </w:rPr>
      </w:pPr>
      <w:r w:rsidRPr="0015569D">
        <w:rPr>
          <w:rFonts w:eastAsia="Calibri"/>
          <w:bCs/>
          <w:sz w:val="20"/>
          <w:szCs w:val="20"/>
          <w:lang w:eastAsia="en-US"/>
        </w:rPr>
        <w:t>En este sentido, el RIPS no debe analizarse de manera aislada. Su información puede complementarse con otras fuentes, como la BDUA, para delimitar la población; el SIVIGILA, para analizar determinados eventos de interés en salud pública; y la caracterización poblacional y el ASIS, para contextualizar las condiciones de salud y del territorio.</w:t>
      </w:r>
    </w:p>
    <w:p w14:paraId="49C4043C" w14:textId="77777777" w:rsidR="0015569D" w:rsidRPr="0015569D" w:rsidRDefault="0015569D" w:rsidP="0015569D">
      <w:pPr>
        <w:pStyle w:val="Normal0"/>
        <w:rPr>
          <w:rFonts w:eastAsia="Calibri"/>
          <w:bCs/>
          <w:sz w:val="20"/>
          <w:szCs w:val="20"/>
          <w:lang w:eastAsia="en-US"/>
        </w:rPr>
      </w:pPr>
    </w:p>
    <w:p w14:paraId="7549B081" w14:textId="7FE3414B" w:rsidR="0015569D" w:rsidRDefault="0015569D" w:rsidP="0015569D">
      <w:pPr>
        <w:pStyle w:val="Normal0"/>
        <w:rPr>
          <w:rFonts w:eastAsia="Calibri"/>
          <w:bCs/>
          <w:sz w:val="20"/>
          <w:szCs w:val="20"/>
          <w:lang w:eastAsia="en-US"/>
        </w:rPr>
      </w:pPr>
      <w:r w:rsidRPr="0015569D">
        <w:rPr>
          <w:rFonts w:eastAsia="Calibri"/>
          <w:bCs/>
          <w:sz w:val="20"/>
          <w:szCs w:val="20"/>
          <w:lang w:eastAsia="en-US"/>
        </w:rPr>
        <w:t>En síntesis, el RIPS aporta información sobre las atenciones efectivamente realizadas y constituye un insumo para analizar la utilización histórica de los servicios y tecnologías. Su adecuada validación y análisis contribuyen a sustentar las frecuencias de uso empleadas en la construcción de la nota técnica.</w:t>
      </w:r>
    </w:p>
    <w:p w14:paraId="0CB0D789" w14:textId="787DDF29" w:rsidR="0015569D" w:rsidRDefault="0015569D" w:rsidP="0015569D">
      <w:pPr>
        <w:pStyle w:val="Normal0"/>
        <w:rPr>
          <w:rFonts w:eastAsia="Calibri"/>
          <w:bCs/>
          <w:sz w:val="20"/>
          <w:szCs w:val="20"/>
          <w:lang w:eastAsia="en-US"/>
        </w:rPr>
      </w:pPr>
    </w:p>
    <w:p w14:paraId="0FE71DD6" w14:textId="30704A9F" w:rsidR="004C39C9" w:rsidRDefault="004C39C9" w:rsidP="0015569D">
      <w:pPr>
        <w:pStyle w:val="Normal0"/>
        <w:rPr>
          <w:rFonts w:eastAsia="Calibri"/>
          <w:bCs/>
          <w:sz w:val="20"/>
          <w:szCs w:val="20"/>
          <w:lang w:eastAsia="en-US"/>
        </w:rPr>
      </w:pPr>
    </w:p>
    <w:p w14:paraId="5EEB9239" w14:textId="77777777" w:rsidR="004C39C9" w:rsidRDefault="004C39C9" w:rsidP="0015569D">
      <w:pPr>
        <w:pStyle w:val="Normal0"/>
        <w:rPr>
          <w:rFonts w:eastAsia="Calibri"/>
          <w:bCs/>
          <w:sz w:val="20"/>
          <w:szCs w:val="20"/>
          <w:lang w:eastAsia="en-US"/>
        </w:rPr>
      </w:pPr>
    </w:p>
    <w:p w14:paraId="52EBE727" w14:textId="77777777" w:rsidR="0015569D" w:rsidRPr="00FC3304" w:rsidRDefault="0015569D" w:rsidP="0015569D">
      <w:pPr>
        <w:pStyle w:val="Normal0"/>
        <w:rPr>
          <w:rFonts w:eastAsia="Calibri"/>
          <w:bCs/>
          <w:sz w:val="20"/>
          <w:szCs w:val="20"/>
          <w:lang w:eastAsia="en-US"/>
        </w:rPr>
      </w:pPr>
    </w:p>
    <w:p w14:paraId="246E6F64" w14:textId="0E557418" w:rsidR="00AD590A" w:rsidRDefault="00AD590A" w:rsidP="009723E7">
      <w:pPr>
        <w:pStyle w:val="Normal0"/>
        <w:numPr>
          <w:ilvl w:val="0"/>
          <w:numId w:val="27"/>
        </w:numPr>
        <w:rPr>
          <w:rFonts w:eastAsia="Calibri"/>
          <w:b/>
          <w:bCs/>
          <w:sz w:val="20"/>
          <w:szCs w:val="20"/>
          <w:lang w:eastAsia="en-US"/>
        </w:rPr>
      </w:pPr>
      <w:r w:rsidRPr="000D04CD">
        <w:rPr>
          <w:rFonts w:eastAsia="Calibri"/>
          <w:b/>
          <w:bCs/>
          <w:sz w:val="20"/>
          <w:szCs w:val="20"/>
          <w:lang w:eastAsia="en-US"/>
        </w:rPr>
        <w:lastRenderedPageBreak/>
        <w:t>Calidad y atención en el contexto de la contratación en salud</w:t>
      </w:r>
    </w:p>
    <w:p w14:paraId="7F5378F5" w14:textId="405450B5" w:rsidR="004C39C9" w:rsidRDefault="004C39C9" w:rsidP="004C39C9">
      <w:pPr>
        <w:pStyle w:val="Normal0"/>
        <w:rPr>
          <w:rFonts w:eastAsia="Calibri"/>
          <w:b/>
          <w:bCs/>
          <w:sz w:val="20"/>
          <w:szCs w:val="20"/>
          <w:lang w:eastAsia="en-US"/>
        </w:rPr>
      </w:pPr>
    </w:p>
    <w:p w14:paraId="53984F8D" w14:textId="77777777" w:rsidR="004C39C9" w:rsidRPr="004C39C9" w:rsidRDefault="004C39C9" w:rsidP="004C39C9">
      <w:pPr>
        <w:pStyle w:val="Normal0"/>
        <w:rPr>
          <w:rFonts w:eastAsia="Calibri"/>
          <w:bCs/>
          <w:sz w:val="20"/>
          <w:szCs w:val="20"/>
          <w:lang w:eastAsia="en-US"/>
        </w:rPr>
      </w:pPr>
      <w:r w:rsidRPr="004C39C9">
        <w:rPr>
          <w:rFonts w:eastAsia="Calibri"/>
          <w:bCs/>
          <w:sz w:val="20"/>
          <w:szCs w:val="20"/>
          <w:lang w:eastAsia="en-US"/>
        </w:rPr>
        <w:t>La calidad de la atención en salud constituye un elemento fundamental en la prestación de servicios y tecnologías y se relaciona con las condiciones bajo las cuales se desarrollan los acuerdos de voluntades entre las entidades responsables de pago, los prestadores de servicios de salud y los proveedores de tecnologías en salud. Por esta razón, la contratación en salud no se limita a establecer condiciones económicas, sino que también debe considerar aspectos relacionados con la capacidad de prestación, la calidad de la atención, la gestión del riesgo y la seguridad del paciente.</w:t>
      </w:r>
    </w:p>
    <w:p w14:paraId="1530B422" w14:textId="77777777" w:rsidR="004C39C9" w:rsidRPr="004C39C9" w:rsidRDefault="004C39C9" w:rsidP="004C39C9">
      <w:pPr>
        <w:pStyle w:val="Normal0"/>
        <w:rPr>
          <w:rFonts w:eastAsia="Calibri"/>
          <w:bCs/>
          <w:sz w:val="20"/>
          <w:szCs w:val="20"/>
          <w:lang w:eastAsia="en-US"/>
        </w:rPr>
      </w:pPr>
    </w:p>
    <w:p w14:paraId="087B4303" w14:textId="77777777" w:rsidR="004C39C9" w:rsidRPr="004C39C9" w:rsidRDefault="004C39C9" w:rsidP="004C39C9">
      <w:pPr>
        <w:pStyle w:val="Normal0"/>
        <w:rPr>
          <w:rFonts w:eastAsia="Calibri"/>
          <w:bCs/>
          <w:sz w:val="20"/>
          <w:szCs w:val="20"/>
          <w:lang w:eastAsia="en-US"/>
        </w:rPr>
      </w:pPr>
      <w:r w:rsidRPr="004C39C9">
        <w:rPr>
          <w:rFonts w:eastAsia="Calibri"/>
          <w:bCs/>
          <w:sz w:val="20"/>
          <w:szCs w:val="20"/>
          <w:lang w:eastAsia="en-US"/>
        </w:rPr>
        <w:t>En Colombia, estos aspectos se articulan con el Sistema Obligatorio de Garantía de Calidad de la Atención de Salud (SOGCS), que establece mecanismos orientados a promover y mantener las condiciones de calidad en la prestación de los servicios de salud. Dentro de este sistema se encuentran componentes como la habilitación de servicios, la auditoría para el mejoramiento de la calidad, el Sistema Único de Acreditación y el Sistema de Información para la Calidad.</w:t>
      </w:r>
    </w:p>
    <w:p w14:paraId="7BC68894" w14:textId="77777777" w:rsidR="004C39C9" w:rsidRPr="004C39C9" w:rsidRDefault="004C39C9" w:rsidP="004C39C9">
      <w:pPr>
        <w:pStyle w:val="Normal0"/>
        <w:rPr>
          <w:rFonts w:eastAsia="Calibri"/>
          <w:bCs/>
          <w:sz w:val="20"/>
          <w:szCs w:val="20"/>
          <w:lang w:eastAsia="en-US"/>
        </w:rPr>
      </w:pPr>
    </w:p>
    <w:p w14:paraId="0A728257" w14:textId="77777777" w:rsidR="004C39C9" w:rsidRPr="004C39C9" w:rsidRDefault="004C39C9" w:rsidP="004C39C9">
      <w:pPr>
        <w:pStyle w:val="Normal0"/>
        <w:rPr>
          <w:rFonts w:eastAsia="Calibri"/>
          <w:bCs/>
          <w:sz w:val="20"/>
          <w:szCs w:val="20"/>
          <w:lang w:eastAsia="en-US"/>
        </w:rPr>
      </w:pPr>
      <w:r w:rsidRPr="004C39C9">
        <w:rPr>
          <w:rFonts w:eastAsia="Calibri"/>
          <w:bCs/>
          <w:sz w:val="20"/>
          <w:szCs w:val="20"/>
          <w:lang w:eastAsia="en-US"/>
        </w:rPr>
        <w:t>En el contexto de la nota técnica, el análisis de la calidad adquiere importancia porque las características de los servicios contratados, las condiciones de prestación y los resultados de la atención pueden relacionarse con el comportamiento de las frecuencias de uso, los costos y los riesgos asociados al acuerdo de voluntades. De igual manera, la disponibilidad de servicios habilitados y las condiciones de atención constituyen elementos que deben considerarse al analizar la oferta y las necesidades de la población objeto.</w:t>
      </w:r>
    </w:p>
    <w:p w14:paraId="65FEFEB9" w14:textId="77777777" w:rsidR="004C39C9" w:rsidRPr="004C39C9" w:rsidRDefault="004C39C9" w:rsidP="004C39C9">
      <w:pPr>
        <w:pStyle w:val="Normal0"/>
        <w:rPr>
          <w:rFonts w:eastAsia="Calibri"/>
          <w:bCs/>
          <w:sz w:val="20"/>
          <w:szCs w:val="20"/>
          <w:lang w:eastAsia="en-US"/>
        </w:rPr>
      </w:pPr>
    </w:p>
    <w:p w14:paraId="027EE51D" w14:textId="77777777" w:rsidR="004C39C9" w:rsidRPr="004C39C9" w:rsidRDefault="004C39C9" w:rsidP="004C39C9">
      <w:pPr>
        <w:pStyle w:val="Normal0"/>
        <w:rPr>
          <w:rFonts w:eastAsia="Calibri"/>
          <w:bCs/>
          <w:sz w:val="20"/>
          <w:szCs w:val="20"/>
          <w:lang w:eastAsia="en-US"/>
        </w:rPr>
      </w:pPr>
      <w:r w:rsidRPr="004C39C9">
        <w:rPr>
          <w:rFonts w:eastAsia="Calibri"/>
          <w:bCs/>
          <w:sz w:val="20"/>
          <w:szCs w:val="20"/>
          <w:lang w:eastAsia="en-US"/>
        </w:rPr>
        <w:t>La seguridad del paciente también se relaciona con este contexto. La aplicación de guías de práctica clínica, protocolos de atención, barreras de seguridad y mecanismos para identificar y gestionar eventos adversos contribuye a reducir riesgos asociados a la prestación. Estas condiciones se relacionan, a su vez, con el riesgo técnico que puede presentarse cuando existen variaciones en la utilización de recursos, complicaciones o resultados de la atención que podrían estar asociados con factores relacionados con la prestación.</w:t>
      </w:r>
    </w:p>
    <w:p w14:paraId="59283E35" w14:textId="77777777" w:rsidR="004C39C9" w:rsidRPr="004C39C9" w:rsidRDefault="004C39C9" w:rsidP="004C39C9">
      <w:pPr>
        <w:pStyle w:val="Normal0"/>
        <w:rPr>
          <w:rFonts w:eastAsia="Calibri"/>
          <w:bCs/>
          <w:sz w:val="20"/>
          <w:szCs w:val="20"/>
          <w:lang w:eastAsia="en-US"/>
        </w:rPr>
      </w:pPr>
    </w:p>
    <w:p w14:paraId="77E76BB1" w14:textId="77777777" w:rsidR="004C39C9" w:rsidRPr="004C39C9" w:rsidRDefault="004C39C9" w:rsidP="004C39C9">
      <w:pPr>
        <w:pStyle w:val="Normal0"/>
        <w:rPr>
          <w:rFonts w:eastAsia="Calibri"/>
          <w:bCs/>
          <w:sz w:val="20"/>
          <w:szCs w:val="20"/>
          <w:lang w:eastAsia="en-US"/>
        </w:rPr>
      </w:pPr>
      <w:r w:rsidRPr="004C39C9">
        <w:rPr>
          <w:rFonts w:eastAsia="Calibri"/>
          <w:bCs/>
          <w:sz w:val="20"/>
          <w:szCs w:val="20"/>
          <w:lang w:eastAsia="en-US"/>
        </w:rPr>
        <w:t>Asimismo, las Rutas Integrales de Atención en Salud (RIAS) proporcionan referentes para organizar las intervenciones requeridas de acuerdo con las características de la población, las condiciones de salud y los grupos de riesgo. Su consideración en la construcción de la nota técnica permite relacionar las intervenciones y frecuencias de atención con las necesidades identificadas en la población objeto.</w:t>
      </w:r>
    </w:p>
    <w:p w14:paraId="041B607D" w14:textId="77777777" w:rsidR="004C39C9" w:rsidRPr="004C39C9" w:rsidRDefault="004C39C9" w:rsidP="004C39C9">
      <w:pPr>
        <w:pStyle w:val="Normal0"/>
        <w:rPr>
          <w:rFonts w:eastAsia="Calibri"/>
          <w:bCs/>
          <w:sz w:val="20"/>
          <w:szCs w:val="20"/>
          <w:lang w:eastAsia="en-US"/>
        </w:rPr>
      </w:pPr>
    </w:p>
    <w:p w14:paraId="29514034" w14:textId="77777777" w:rsidR="004C39C9" w:rsidRPr="004C39C9" w:rsidRDefault="004C39C9" w:rsidP="004C39C9">
      <w:pPr>
        <w:pStyle w:val="Normal0"/>
        <w:rPr>
          <w:rFonts w:eastAsia="Calibri"/>
          <w:bCs/>
          <w:sz w:val="20"/>
          <w:szCs w:val="20"/>
          <w:lang w:eastAsia="en-US"/>
        </w:rPr>
      </w:pPr>
      <w:r w:rsidRPr="004C39C9">
        <w:rPr>
          <w:rFonts w:eastAsia="Calibri"/>
          <w:bCs/>
          <w:sz w:val="20"/>
          <w:szCs w:val="20"/>
          <w:lang w:eastAsia="en-US"/>
        </w:rPr>
        <w:t>En este contexto, el apartado aborda los siguientes elementos:</w:t>
      </w:r>
    </w:p>
    <w:p w14:paraId="2D18C57C" w14:textId="77777777" w:rsidR="004C39C9" w:rsidRPr="004C39C9" w:rsidRDefault="004C39C9" w:rsidP="004C39C9">
      <w:pPr>
        <w:pStyle w:val="Normal0"/>
        <w:rPr>
          <w:rFonts w:eastAsia="Calibri"/>
          <w:bCs/>
          <w:sz w:val="20"/>
          <w:szCs w:val="20"/>
          <w:lang w:eastAsia="en-US"/>
        </w:rPr>
      </w:pPr>
    </w:p>
    <w:p w14:paraId="2A5D0189" w14:textId="77777777" w:rsidR="004C39C9" w:rsidRPr="004C39C9" w:rsidRDefault="004C39C9" w:rsidP="00716DEA">
      <w:pPr>
        <w:pStyle w:val="Normal0"/>
        <w:numPr>
          <w:ilvl w:val="0"/>
          <w:numId w:val="14"/>
        </w:numPr>
        <w:rPr>
          <w:rFonts w:eastAsia="Calibri"/>
          <w:bCs/>
          <w:sz w:val="20"/>
          <w:szCs w:val="20"/>
          <w:lang w:eastAsia="en-US"/>
        </w:rPr>
      </w:pPr>
      <w:r w:rsidRPr="004C39C9">
        <w:rPr>
          <w:rFonts w:eastAsia="Calibri"/>
          <w:bCs/>
          <w:sz w:val="20"/>
          <w:szCs w:val="20"/>
          <w:lang w:eastAsia="en-US"/>
        </w:rPr>
        <w:t>Sistema Obligatorio de Garantía de Calidad en Salud: estructura y componentes relacionados con la calidad de la atención.</w:t>
      </w:r>
    </w:p>
    <w:p w14:paraId="4D10B64B" w14:textId="77777777" w:rsidR="004C39C9" w:rsidRPr="004C39C9" w:rsidRDefault="004C39C9" w:rsidP="00716DEA">
      <w:pPr>
        <w:pStyle w:val="Normal0"/>
        <w:numPr>
          <w:ilvl w:val="0"/>
          <w:numId w:val="14"/>
        </w:numPr>
        <w:rPr>
          <w:rFonts w:eastAsia="Calibri"/>
          <w:bCs/>
          <w:sz w:val="20"/>
          <w:szCs w:val="20"/>
          <w:lang w:eastAsia="en-US"/>
        </w:rPr>
      </w:pPr>
      <w:r w:rsidRPr="004C39C9">
        <w:rPr>
          <w:rFonts w:eastAsia="Calibri"/>
          <w:bCs/>
          <w:sz w:val="20"/>
          <w:szCs w:val="20"/>
          <w:lang w:eastAsia="en-US"/>
        </w:rPr>
        <w:t>Habilitación de servicios de salud: condiciones que deben cumplir los prestadores para ofertar y prestar los servicios habilitados.</w:t>
      </w:r>
    </w:p>
    <w:p w14:paraId="152E26B4" w14:textId="77777777" w:rsidR="004C39C9" w:rsidRPr="004C39C9" w:rsidRDefault="004C39C9" w:rsidP="00716DEA">
      <w:pPr>
        <w:pStyle w:val="Normal0"/>
        <w:numPr>
          <w:ilvl w:val="0"/>
          <w:numId w:val="14"/>
        </w:numPr>
        <w:rPr>
          <w:rFonts w:eastAsia="Calibri"/>
          <w:bCs/>
          <w:sz w:val="20"/>
          <w:szCs w:val="20"/>
          <w:lang w:eastAsia="en-US"/>
        </w:rPr>
      </w:pPr>
      <w:r w:rsidRPr="004C39C9">
        <w:rPr>
          <w:rFonts w:eastAsia="Calibri"/>
          <w:bCs/>
          <w:sz w:val="20"/>
          <w:szCs w:val="20"/>
          <w:lang w:eastAsia="en-US"/>
        </w:rPr>
        <w:t>Gestión del riesgo y seguridad del paciente: elementos relacionados con la identificación, prevención y seguimiento de riesgos asociados a la atención.</w:t>
      </w:r>
    </w:p>
    <w:p w14:paraId="268F777F" w14:textId="77777777" w:rsidR="004C39C9" w:rsidRPr="004C39C9" w:rsidRDefault="004C39C9" w:rsidP="00716DEA">
      <w:pPr>
        <w:pStyle w:val="Normal0"/>
        <w:numPr>
          <w:ilvl w:val="0"/>
          <w:numId w:val="14"/>
        </w:numPr>
        <w:rPr>
          <w:rFonts w:eastAsia="Calibri"/>
          <w:bCs/>
          <w:sz w:val="20"/>
          <w:szCs w:val="20"/>
          <w:lang w:eastAsia="en-US"/>
        </w:rPr>
      </w:pPr>
      <w:r w:rsidRPr="004C39C9">
        <w:rPr>
          <w:rFonts w:eastAsia="Calibri"/>
          <w:bCs/>
          <w:sz w:val="20"/>
          <w:szCs w:val="20"/>
          <w:lang w:eastAsia="en-US"/>
        </w:rPr>
        <w:t>Rutas Integrales de Atención en Salud (RIAS): organización de las intervenciones de atención de acuerdo con las condiciones y necesidades de la población.</w:t>
      </w:r>
    </w:p>
    <w:p w14:paraId="68E80E23" w14:textId="77777777" w:rsidR="004C39C9" w:rsidRPr="004C39C9" w:rsidRDefault="004C39C9" w:rsidP="004C39C9">
      <w:pPr>
        <w:pStyle w:val="Normal0"/>
        <w:rPr>
          <w:rFonts w:eastAsia="Calibri"/>
          <w:bCs/>
          <w:sz w:val="20"/>
          <w:szCs w:val="20"/>
          <w:lang w:eastAsia="en-US"/>
        </w:rPr>
      </w:pPr>
    </w:p>
    <w:p w14:paraId="7DA8F369" w14:textId="29734E1A" w:rsidR="004C39C9" w:rsidRDefault="004C39C9" w:rsidP="004C39C9">
      <w:pPr>
        <w:pStyle w:val="Normal0"/>
        <w:rPr>
          <w:rFonts w:eastAsia="Calibri"/>
          <w:bCs/>
          <w:sz w:val="20"/>
          <w:szCs w:val="20"/>
          <w:lang w:eastAsia="en-US"/>
        </w:rPr>
      </w:pPr>
      <w:r w:rsidRPr="004C39C9">
        <w:rPr>
          <w:rFonts w:eastAsia="Calibri"/>
          <w:bCs/>
          <w:sz w:val="20"/>
          <w:szCs w:val="20"/>
          <w:lang w:eastAsia="en-US"/>
        </w:rPr>
        <w:t>El análisis conjunto de estos elementos permite comprender cómo las condiciones de calidad y atención se relacionan con la prestación de los servicios y tecnologías, la gestión de los riesgos y la información que sustenta la construcción y seguimiento de la nota técnica.</w:t>
      </w:r>
    </w:p>
    <w:p w14:paraId="6A9FDDBB" w14:textId="4FD38CAA" w:rsidR="004C39C9" w:rsidRDefault="004C39C9" w:rsidP="004C39C9">
      <w:pPr>
        <w:pStyle w:val="Normal0"/>
        <w:rPr>
          <w:rFonts w:eastAsia="Calibri"/>
          <w:bCs/>
          <w:sz w:val="20"/>
          <w:szCs w:val="20"/>
          <w:lang w:eastAsia="en-US"/>
        </w:rPr>
      </w:pPr>
    </w:p>
    <w:p w14:paraId="01C83273" w14:textId="78440D56" w:rsidR="004C39C9" w:rsidRDefault="004C39C9" w:rsidP="004C39C9">
      <w:pPr>
        <w:pStyle w:val="Normal0"/>
        <w:rPr>
          <w:rFonts w:eastAsia="Calibri"/>
          <w:bCs/>
          <w:sz w:val="20"/>
          <w:szCs w:val="20"/>
          <w:lang w:eastAsia="en-US"/>
        </w:rPr>
      </w:pPr>
    </w:p>
    <w:p w14:paraId="65C098D9" w14:textId="77777777" w:rsidR="004C39C9" w:rsidRPr="004C39C9" w:rsidRDefault="004C39C9" w:rsidP="004C39C9">
      <w:pPr>
        <w:pStyle w:val="Normal0"/>
        <w:rPr>
          <w:rFonts w:eastAsia="Calibri"/>
          <w:bCs/>
          <w:sz w:val="20"/>
          <w:szCs w:val="20"/>
          <w:lang w:eastAsia="en-US"/>
        </w:rPr>
      </w:pPr>
    </w:p>
    <w:p w14:paraId="3BB40E58" w14:textId="004563D1" w:rsidR="00AD590A" w:rsidRPr="004C39C9" w:rsidRDefault="00AD590A" w:rsidP="00FB19B2">
      <w:pPr>
        <w:pStyle w:val="Normal0"/>
        <w:numPr>
          <w:ilvl w:val="1"/>
          <w:numId w:val="27"/>
        </w:numPr>
        <w:rPr>
          <w:rFonts w:eastAsia="Calibri"/>
          <w:b/>
          <w:bCs/>
          <w:sz w:val="20"/>
          <w:szCs w:val="20"/>
          <w:lang w:eastAsia="en-US"/>
        </w:rPr>
      </w:pPr>
      <w:r w:rsidRPr="004C39C9">
        <w:rPr>
          <w:rFonts w:eastAsia="Calibri"/>
          <w:b/>
          <w:bCs/>
          <w:sz w:val="20"/>
          <w:szCs w:val="20"/>
          <w:lang w:eastAsia="en-US"/>
        </w:rPr>
        <w:lastRenderedPageBreak/>
        <w:t xml:space="preserve">Sistema Obligatorio de Garantía de Calidad </w:t>
      </w:r>
      <w:r w:rsidR="00FB19B2" w:rsidRPr="00FB19B2">
        <w:rPr>
          <w:rFonts w:eastAsia="Calibri"/>
          <w:b/>
          <w:bCs/>
          <w:sz w:val="20"/>
          <w:szCs w:val="20"/>
          <w:lang w:eastAsia="en-US"/>
        </w:rPr>
        <w:t>de la Atención de Salud</w:t>
      </w:r>
    </w:p>
    <w:p w14:paraId="418831AE" w14:textId="20E6C49E" w:rsidR="004C39C9" w:rsidRDefault="004C39C9" w:rsidP="004C39C9">
      <w:pPr>
        <w:pStyle w:val="Normal0"/>
        <w:rPr>
          <w:rFonts w:eastAsia="Calibri"/>
          <w:bCs/>
          <w:sz w:val="20"/>
          <w:szCs w:val="20"/>
          <w:lang w:eastAsia="en-US"/>
        </w:rPr>
      </w:pPr>
    </w:p>
    <w:p w14:paraId="6C5BC317" w14:textId="77777777" w:rsidR="004C39C9" w:rsidRPr="004C39C9" w:rsidRDefault="004C39C9" w:rsidP="004C39C9">
      <w:pPr>
        <w:pStyle w:val="Normal0"/>
        <w:rPr>
          <w:rFonts w:eastAsia="Calibri"/>
          <w:bCs/>
          <w:sz w:val="20"/>
          <w:szCs w:val="20"/>
          <w:lang w:eastAsia="en-US"/>
        </w:rPr>
      </w:pPr>
      <w:r w:rsidRPr="004C39C9">
        <w:rPr>
          <w:rFonts w:eastAsia="Calibri"/>
          <w:bCs/>
          <w:sz w:val="20"/>
          <w:szCs w:val="20"/>
          <w:lang w:eastAsia="en-US"/>
        </w:rPr>
        <w:t>El Sistema Obligatorio de Garantía de Calidad de la Atención de Salud (SOGCS) establece el conjunto de condiciones, mecanismos y procesos orientados a promover y mantener la calidad de la atención en salud. Su funcionamiento se relaciona con las condiciones en las que los servicios son prestados y con los procesos de seguimiento y mejoramiento de la atención.</w:t>
      </w:r>
    </w:p>
    <w:p w14:paraId="17583135" w14:textId="77777777" w:rsidR="004C39C9" w:rsidRPr="004C39C9" w:rsidRDefault="004C39C9" w:rsidP="004C39C9">
      <w:pPr>
        <w:pStyle w:val="Normal0"/>
        <w:rPr>
          <w:rFonts w:eastAsia="Calibri"/>
          <w:bCs/>
          <w:sz w:val="20"/>
          <w:szCs w:val="20"/>
          <w:lang w:eastAsia="en-US"/>
        </w:rPr>
      </w:pPr>
    </w:p>
    <w:p w14:paraId="2D648ECE" w14:textId="77777777" w:rsidR="004C39C9" w:rsidRPr="004C39C9" w:rsidRDefault="004C39C9" w:rsidP="004C39C9">
      <w:pPr>
        <w:pStyle w:val="Normal0"/>
        <w:rPr>
          <w:rFonts w:eastAsia="Calibri"/>
          <w:bCs/>
          <w:sz w:val="20"/>
          <w:szCs w:val="20"/>
          <w:lang w:eastAsia="en-US"/>
        </w:rPr>
      </w:pPr>
      <w:r w:rsidRPr="004C39C9">
        <w:rPr>
          <w:rFonts w:eastAsia="Calibri"/>
          <w:bCs/>
          <w:sz w:val="20"/>
          <w:szCs w:val="20"/>
          <w:lang w:eastAsia="en-US"/>
        </w:rPr>
        <w:t xml:space="preserve">El SOGCS se encuentra reglamentado en el </w:t>
      </w:r>
      <w:r w:rsidRPr="00191ABB">
        <w:rPr>
          <w:rFonts w:eastAsia="Calibri"/>
          <w:b/>
          <w:bCs/>
          <w:sz w:val="20"/>
          <w:szCs w:val="20"/>
          <w:lang w:eastAsia="en-US"/>
        </w:rPr>
        <w:t>Decreto 780 de 2016</w:t>
      </w:r>
      <w:r w:rsidRPr="004C39C9">
        <w:rPr>
          <w:rFonts w:eastAsia="Calibri"/>
          <w:bCs/>
          <w:sz w:val="20"/>
          <w:szCs w:val="20"/>
          <w:lang w:eastAsia="en-US"/>
        </w:rPr>
        <w:t xml:space="preserve"> y comprende cuatro componentes: el Sistema Único de Habilitación, la Auditoría para el Mejoramiento de la Calidad de la Atención de Salud (PAMEC), el Sistema Único de Acreditación y el Sistema de Información para la Calidad.</w:t>
      </w:r>
    </w:p>
    <w:p w14:paraId="05C7326E" w14:textId="77777777" w:rsidR="004C39C9" w:rsidRPr="004C39C9" w:rsidRDefault="004C39C9" w:rsidP="004C39C9">
      <w:pPr>
        <w:pStyle w:val="Normal0"/>
        <w:rPr>
          <w:rFonts w:eastAsia="Calibri"/>
          <w:bCs/>
          <w:sz w:val="20"/>
          <w:szCs w:val="20"/>
          <w:lang w:eastAsia="en-US"/>
        </w:rPr>
      </w:pPr>
    </w:p>
    <w:p w14:paraId="45E66546" w14:textId="77777777" w:rsidR="004C39C9" w:rsidRPr="004C39C9" w:rsidRDefault="004C39C9" w:rsidP="004C39C9">
      <w:pPr>
        <w:pStyle w:val="Normal0"/>
        <w:rPr>
          <w:rFonts w:eastAsia="Calibri"/>
          <w:bCs/>
          <w:sz w:val="20"/>
          <w:szCs w:val="20"/>
          <w:lang w:eastAsia="en-US"/>
        </w:rPr>
      </w:pPr>
      <w:r w:rsidRPr="004C39C9">
        <w:rPr>
          <w:rFonts w:eastAsia="Calibri"/>
          <w:bCs/>
          <w:sz w:val="20"/>
          <w:szCs w:val="20"/>
          <w:lang w:eastAsia="en-US"/>
        </w:rPr>
        <w:t>Estos componentes cumplen funciones diferentes y se relacionan entre sí:</w:t>
      </w:r>
    </w:p>
    <w:p w14:paraId="32C81AED" w14:textId="77777777" w:rsidR="004C39C9" w:rsidRPr="004C39C9" w:rsidRDefault="004C39C9" w:rsidP="004C39C9">
      <w:pPr>
        <w:pStyle w:val="Normal0"/>
        <w:rPr>
          <w:rFonts w:eastAsia="Calibri"/>
          <w:bCs/>
          <w:sz w:val="20"/>
          <w:szCs w:val="20"/>
          <w:lang w:eastAsia="en-US"/>
        </w:rPr>
      </w:pPr>
    </w:p>
    <w:p w14:paraId="41BDD089" w14:textId="77777777" w:rsidR="004C39C9" w:rsidRPr="004C39C9" w:rsidRDefault="004C39C9" w:rsidP="00716DEA">
      <w:pPr>
        <w:pStyle w:val="Normal0"/>
        <w:numPr>
          <w:ilvl w:val="0"/>
          <w:numId w:val="15"/>
        </w:numPr>
        <w:rPr>
          <w:rFonts w:eastAsia="Calibri"/>
          <w:bCs/>
          <w:sz w:val="20"/>
          <w:szCs w:val="20"/>
          <w:lang w:eastAsia="en-US"/>
        </w:rPr>
      </w:pPr>
      <w:r w:rsidRPr="004C39C9">
        <w:rPr>
          <w:rFonts w:eastAsia="Calibri"/>
          <w:b/>
          <w:bCs/>
          <w:sz w:val="20"/>
          <w:szCs w:val="20"/>
          <w:lang w:eastAsia="en-US"/>
        </w:rPr>
        <w:t>Sistema Único de Habilitación:</w:t>
      </w:r>
      <w:r w:rsidRPr="004C39C9">
        <w:rPr>
          <w:rFonts w:eastAsia="Calibri"/>
          <w:bCs/>
          <w:sz w:val="20"/>
          <w:szCs w:val="20"/>
          <w:lang w:eastAsia="en-US"/>
        </w:rPr>
        <w:t xml:space="preserve"> establece las condiciones que deben cumplir los prestadores para su inscripción y para la habilitación de los servicios de salud que ofertan y prestan.</w:t>
      </w:r>
    </w:p>
    <w:p w14:paraId="29F5FAD4" w14:textId="77777777" w:rsidR="004C39C9" w:rsidRPr="004C39C9" w:rsidRDefault="004C39C9" w:rsidP="00716DEA">
      <w:pPr>
        <w:pStyle w:val="Normal0"/>
        <w:numPr>
          <w:ilvl w:val="0"/>
          <w:numId w:val="15"/>
        </w:numPr>
        <w:rPr>
          <w:rFonts w:eastAsia="Calibri"/>
          <w:bCs/>
          <w:sz w:val="20"/>
          <w:szCs w:val="20"/>
          <w:lang w:eastAsia="en-US"/>
        </w:rPr>
      </w:pPr>
      <w:r w:rsidRPr="004C39C9">
        <w:rPr>
          <w:rFonts w:eastAsia="Calibri"/>
          <w:b/>
          <w:bCs/>
          <w:sz w:val="20"/>
          <w:szCs w:val="20"/>
          <w:lang w:eastAsia="en-US"/>
        </w:rPr>
        <w:t>Auditoría para el Mejoramiento de la Calidad de la Atención de Salud (PAMEC):</w:t>
      </w:r>
      <w:r w:rsidRPr="004C39C9">
        <w:rPr>
          <w:rFonts w:eastAsia="Calibri"/>
          <w:bCs/>
          <w:sz w:val="20"/>
          <w:szCs w:val="20"/>
          <w:lang w:eastAsia="en-US"/>
        </w:rPr>
        <w:t xml:space="preserve"> comprende procesos de evaluación y seguimiento orientados al mejoramiento de la calidad de la atención y a la identificación de desviaciones que requieren intervención.</w:t>
      </w:r>
    </w:p>
    <w:p w14:paraId="5CA44F6F" w14:textId="77777777" w:rsidR="004C39C9" w:rsidRPr="004C39C9" w:rsidRDefault="004C39C9" w:rsidP="00716DEA">
      <w:pPr>
        <w:pStyle w:val="Normal0"/>
        <w:numPr>
          <w:ilvl w:val="0"/>
          <w:numId w:val="15"/>
        </w:numPr>
        <w:rPr>
          <w:rFonts w:eastAsia="Calibri"/>
          <w:bCs/>
          <w:sz w:val="20"/>
          <w:szCs w:val="20"/>
          <w:lang w:eastAsia="en-US"/>
        </w:rPr>
      </w:pPr>
      <w:r w:rsidRPr="004C39C9">
        <w:rPr>
          <w:rFonts w:eastAsia="Calibri"/>
          <w:b/>
          <w:bCs/>
          <w:sz w:val="20"/>
          <w:szCs w:val="20"/>
          <w:lang w:eastAsia="en-US"/>
        </w:rPr>
        <w:t>Sistema Único de Acreditación:</w:t>
      </w:r>
      <w:r w:rsidRPr="004C39C9">
        <w:rPr>
          <w:rFonts w:eastAsia="Calibri"/>
          <w:bCs/>
          <w:sz w:val="20"/>
          <w:szCs w:val="20"/>
          <w:lang w:eastAsia="en-US"/>
        </w:rPr>
        <w:t xml:space="preserve"> corresponde a un proceso voluntario de evaluación de estándares superiores de calidad por parte de las instituciones que participan en este proceso.</w:t>
      </w:r>
    </w:p>
    <w:p w14:paraId="26884CE9" w14:textId="77777777" w:rsidR="004C39C9" w:rsidRPr="004C39C9" w:rsidRDefault="004C39C9" w:rsidP="00716DEA">
      <w:pPr>
        <w:pStyle w:val="Normal0"/>
        <w:numPr>
          <w:ilvl w:val="0"/>
          <w:numId w:val="15"/>
        </w:numPr>
        <w:rPr>
          <w:rFonts w:eastAsia="Calibri"/>
          <w:bCs/>
          <w:sz w:val="20"/>
          <w:szCs w:val="20"/>
          <w:lang w:eastAsia="en-US"/>
        </w:rPr>
      </w:pPr>
      <w:r w:rsidRPr="004C39C9">
        <w:rPr>
          <w:rFonts w:eastAsia="Calibri"/>
          <w:b/>
          <w:bCs/>
          <w:sz w:val="20"/>
          <w:szCs w:val="20"/>
          <w:lang w:eastAsia="en-US"/>
        </w:rPr>
        <w:t>Sistema de Información para la Calidad:</w:t>
      </w:r>
      <w:r w:rsidRPr="004C39C9">
        <w:rPr>
          <w:rFonts w:eastAsia="Calibri"/>
          <w:bCs/>
          <w:sz w:val="20"/>
          <w:szCs w:val="20"/>
          <w:lang w:eastAsia="en-US"/>
        </w:rPr>
        <w:t xml:space="preserve"> proporciona información e indicadores para el monitoreo de la calidad y el seguimiento de su comportamiento. La Resolución 256 de 2016 establece disposiciones relacionadas con este sistema y con los indicadores para el monitoreo de la calidad en salud.</w:t>
      </w:r>
    </w:p>
    <w:p w14:paraId="55FB5C96" w14:textId="77777777" w:rsidR="004C39C9" w:rsidRPr="004C39C9" w:rsidRDefault="004C39C9" w:rsidP="004C39C9">
      <w:pPr>
        <w:pStyle w:val="Normal0"/>
        <w:rPr>
          <w:rFonts w:eastAsia="Calibri"/>
          <w:bCs/>
          <w:sz w:val="20"/>
          <w:szCs w:val="20"/>
          <w:lang w:eastAsia="en-US"/>
        </w:rPr>
      </w:pPr>
    </w:p>
    <w:p w14:paraId="271BCD72" w14:textId="77777777" w:rsidR="004C39C9" w:rsidRPr="004C39C9" w:rsidRDefault="004C39C9" w:rsidP="004C39C9">
      <w:pPr>
        <w:pStyle w:val="Normal0"/>
        <w:rPr>
          <w:rFonts w:eastAsia="Calibri"/>
          <w:bCs/>
          <w:sz w:val="20"/>
          <w:szCs w:val="20"/>
          <w:lang w:eastAsia="en-US"/>
        </w:rPr>
      </w:pPr>
      <w:r w:rsidRPr="004C39C9">
        <w:rPr>
          <w:rFonts w:eastAsia="Calibri"/>
          <w:bCs/>
          <w:sz w:val="20"/>
          <w:szCs w:val="20"/>
          <w:lang w:eastAsia="en-US"/>
        </w:rPr>
        <w:t>En el contexto de los acuerdos de voluntades, estos componentes permiten relacionar las condiciones de calidad con la prestación de los servicios y tecnologías contratados. Por ejemplo, la habilitación permite verificar que los servicios incluidos en el acuerdo correspondan a servicios que cuentan con las condiciones requeridas para su prestación. A su vez, los procesos de auditoría y los sistemas de información aportan elementos para realizar seguimiento al comportamiento de la atención y a sus resultados.</w:t>
      </w:r>
    </w:p>
    <w:p w14:paraId="70A557EB" w14:textId="77777777" w:rsidR="004C39C9" w:rsidRPr="004C39C9" w:rsidRDefault="004C39C9" w:rsidP="004C39C9">
      <w:pPr>
        <w:pStyle w:val="Normal0"/>
        <w:rPr>
          <w:rFonts w:eastAsia="Calibri"/>
          <w:bCs/>
          <w:sz w:val="20"/>
          <w:szCs w:val="20"/>
          <w:lang w:eastAsia="en-US"/>
        </w:rPr>
      </w:pPr>
    </w:p>
    <w:p w14:paraId="122AB37B" w14:textId="77777777" w:rsidR="004C39C9" w:rsidRPr="004C39C9" w:rsidRDefault="004C39C9" w:rsidP="004C39C9">
      <w:pPr>
        <w:pStyle w:val="Normal0"/>
        <w:rPr>
          <w:rFonts w:eastAsia="Calibri"/>
          <w:bCs/>
          <w:sz w:val="20"/>
          <w:szCs w:val="20"/>
          <w:lang w:eastAsia="en-US"/>
        </w:rPr>
      </w:pPr>
      <w:r w:rsidRPr="004C39C9">
        <w:rPr>
          <w:rFonts w:eastAsia="Calibri"/>
          <w:bCs/>
          <w:sz w:val="20"/>
          <w:szCs w:val="20"/>
          <w:lang w:eastAsia="en-US"/>
        </w:rPr>
        <w:t>Esta relación también es importante para la construcción de la nota técnica. La información sobre la población, los servicios y tecnologías, las frecuencias de uso y los costos debe guardar correspondencia con las condiciones reales de prestación. Por ello, la capacidad de los prestadores, los servicios habilitados y los resultados asociados a la atención constituyen elementos que pueden complementar el análisis realizado durante la estructuración y seguimiento del acuerdo de voluntades.</w:t>
      </w:r>
    </w:p>
    <w:p w14:paraId="0B3438BF" w14:textId="77777777" w:rsidR="004C39C9" w:rsidRPr="004C39C9" w:rsidRDefault="004C39C9" w:rsidP="004C39C9">
      <w:pPr>
        <w:pStyle w:val="Normal0"/>
        <w:rPr>
          <w:rFonts w:eastAsia="Calibri"/>
          <w:bCs/>
          <w:sz w:val="20"/>
          <w:szCs w:val="20"/>
          <w:lang w:eastAsia="en-US"/>
        </w:rPr>
      </w:pPr>
    </w:p>
    <w:p w14:paraId="5011A429" w14:textId="3FF92C53" w:rsidR="004C39C9" w:rsidRDefault="004C39C9" w:rsidP="004C39C9">
      <w:pPr>
        <w:pStyle w:val="Normal0"/>
        <w:rPr>
          <w:rFonts w:eastAsia="Calibri"/>
          <w:bCs/>
          <w:sz w:val="20"/>
          <w:szCs w:val="20"/>
          <w:lang w:eastAsia="en-US"/>
        </w:rPr>
      </w:pPr>
      <w:r w:rsidRPr="004C39C9">
        <w:rPr>
          <w:rFonts w:eastAsia="Calibri"/>
          <w:bCs/>
          <w:sz w:val="20"/>
          <w:szCs w:val="20"/>
          <w:lang w:eastAsia="en-US"/>
        </w:rPr>
        <w:t>De esta manera, el SOGCS proporciona un marco para comprender que la contratación en salud debe considerar no solamente qué servicios se requieren y con qué frecuencia, sino también bajo qué condiciones pueden ser prestados y cómo se realiza el seguimiento de su calidad. Estos elementos se relacionan con la gestión del riesgo, la seguridad del paciente y la sostenibilidad de los acuerdos de voluntades.</w:t>
      </w:r>
    </w:p>
    <w:p w14:paraId="55263BA6" w14:textId="77777777" w:rsidR="004C39C9" w:rsidRPr="000D04CD" w:rsidRDefault="004C39C9" w:rsidP="004C39C9">
      <w:pPr>
        <w:pStyle w:val="Normal0"/>
        <w:rPr>
          <w:rFonts w:eastAsia="Calibri"/>
          <w:bCs/>
          <w:sz w:val="20"/>
          <w:szCs w:val="20"/>
          <w:lang w:eastAsia="en-US"/>
        </w:rPr>
      </w:pPr>
    </w:p>
    <w:p w14:paraId="05971698" w14:textId="0134A8BD" w:rsidR="00AD590A" w:rsidRPr="004C39C9" w:rsidRDefault="00AD590A" w:rsidP="009723E7">
      <w:pPr>
        <w:pStyle w:val="Normal0"/>
        <w:numPr>
          <w:ilvl w:val="1"/>
          <w:numId w:val="27"/>
        </w:numPr>
        <w:rPr>
          <w:rFonts w:eastAsia="Calibri"/>
          <w:b/>
          <w:bCs/>
          <w:sz w:val="20"/>
          <w:szCs w:val="20"/>
          <w:lang w:eastAsia="en-US"/>
        </w:rPr>
      </w:pPr>
      <w:r w:rsidRPr="004C39C9">
        <w:rPr>
          <w:rFonts w:eastAsia="Calibri"/>
          <w:b/>
          <w:bCs/>
          <w:sz w:val="20"/>
          <w:szCs w:val="20"/>
          <w:lang w:eastAsia="en-US"/>
        </w:rPr>
        <w:t>Habilitación de servicios de salud</w:t>
      </w:r>
    </w:p>
    <w:p w14:paraId="5C3A15DA" w14:textId="3B653911" w:rsidR="004C39C9" w:rsidRDefault="004C39C9" w:rsidP="004C39C9">
      <w:pPr>
        <w:pStyle w:val="Normal0"/>
        <w:rPr>
          <w:rFonts w:eastAsia="Calibri"/>
          <w:bCs/>
          <w:sz w:val="20"/>
          <w:szCs w:val="20"/>
          <w:lang w:eastAsia="en-US"/>
        </w:rPr>
      </w:pPr>
    </w:p>
    <w:p w14:paraId="6E11DA0F" w14:textId="77777777" w:rsidR="004C39C9" w:rsidRPr="004C39C9" w:rsidRDefault="004C39C9" w:rsidP="004C39C9">
      <w:pPr>
        <w:pStyle w:val="Normal0"/>
        <w:rPr>
          <w:rFonts w:eastAsia="Calibri"/>
          <w:bCs/>
          <w:sz w:val="20"/>
          <w:szCs w:val="20"/>
          <w:lang w:eastAsia="en-US"/>
        </w:rPr>
      </w:pPr>
      <w:r w:rsidRPr="004C39C9">
        <w:rPr>
          <w:rFonts w:eastAsia="Calibri"/>
          <w:bCs/>
          <w:sz w:val="20"/>
          <w:szCs w:val="20"/>
          <w:lang w:eastAsia="en-US"/>
        </w:rPr>
        <w:t>La habilitación tiene una relación directa con la contratación de servicios de salud, debido a que permite establecer si un prestador cuenta con los servicios habilitados que corresponden a las atenciones que pretende ofertar o contratar.</w:t>
      </w:r>
    </w:p>
    <w:p w14:paraId="3DE75A46" w14:textId="77777777" w:rsidR="004C39C9" w:rsidRPr="004C39C9" w:rsidRDefault="004C39C9" w:rsidP="004C39C9">
      <w:pPr>
        <w:pStyle w:val="Normal0"/>
        <w:rPr>
          <w:rFonts w:eastAsia="Calibri"/>
          <w:bCs/>
          <w:sz w:val="20"/>
          <w:szCs w:val="20"/>
          <w:lang w:eastAsia="en-US"/>
        </w:rPr>
      </w:pPr>
    </w:p>
    <w:p w14:paraId="6F7F0DC3" w14:textId="77777777" w:rsidR="004C39C9" w:rsidRPr="004C39C9" w:rsidRDefault="004C39C9" w:rsidP="004C39C9">
      <w:pPr>
        <w:pStyle w:val="Normal0"/>
        <w:rPr>
          <w:rFonts w:eastAsia="Calibri"/>
          <w:bCs/>
          <w:sz w:val="20"/>
          <w:szCs w:val="20"/>
          <w:lang w:eastAsia="en-US"/>
        </w:rPr>
      </w:pPr>
      <w:r w:rsidRPr="004C39C9">
        <w:rPr>
          <w:rFonts w:eastAsia="Calibri"/>
          <w:bCs/>
          <w:sz w:val="20"/>
          <w:szCs w:val="20"/>
          <w:lang w:eastAsia="en-US"/>
        </w:rPr>
        <w:t xml:space="preserve">En este contexto, el Registro Especial de Prestadores de Servicios de Salud (REPS) constituye una referencia para identificar los servicios habilitados y las condiciones registradas de los prestadores. Esta información </w:t>
      </w:r>
      <w:r w:rsidRPr="004C39C9">
        <w:rPr>
          <w:rFonts w:eastAsia="Calibri"/>
          <w:bCs/>
          <w:sz w:val="20"/>
          <w:szCs w:val="20"/>
          <w:lang w:eastAsia="en-US"/>
        </w:rPr>
        <w:lastRenderedPageBreak/>
        <w:t>también puede relacionarse con la identificación y codificación de servicios desarrollada anteriormente en el componente.</w:t>
      </w:r>
    </w:p>
    <w:p w14:paraId="783FE5FA" w14:textId="77777777" w:rsidR="004C39C9" w:rsidRPr="004C39C9" w:rsidRDefault="004C39C9" w:rsidP="004C39C9">
      <w:pPr>
        <w:pStyle w:val="Normal0"/>
        <w:rPr>
          <w:rFonts w:eastAsia="Calibri"/>
          <w:bCs/>
          <w:sz w:val="20"/>
          <w:szCs w:val="20"/>
          <w:lang w:eastAsia="en-US"/>
        </w:rPr>
      </w:pPr>
    </w:p>
    <w:p w14:paraId="466696A4" w14:textId="77777777" w:rsidR="004C39C9" w:rsidRPr="004C39C9" w:rsidRDefault="004C39C9" w:rsidP="004C39C9">
      <w:pPr>
        <w:pStyle w:val="Normal0"/>
        <w:rPr>
          <w:rFonts w:eastAsia="Calibri"/>
          <w:bCs/>
          <w:sz w:val="20"/>
          <w:szCs w:val="20"/>
          <w:lang w:eastAsia="en-US"/>
        </w:rPr>
      </w:pPr>
      <w:r w:rsidRPr="004C39C9">
        <w:rPr>
          <w:rFonts w:eastAsia="Calibri"/>
          <w:bCs/>
          <w:sz w:val="20"/>
          <w:szCs w:val="20"/>
          <w:lang w:eastAsia="en-US"/>
        </w:rPr>
        <w:t>Por esta razón, antes de incluir un servicio en un acuerdo de voluntades, es necesario verificar que corresponda a un servicio habilitado y que exista coherencia entre la oferta disponible, las necesidades de la población y los servicios y tecnologías considerados en la nota técnica. El insumo señala que un servicio no habilitado no debe incorporarse al acuerdo de voluntades, independientemente de que se hayan calculado sus frecuencias de uso o costos.</w:t>
      </w:r>
    </w:p>
    <w:p w14:paraId="68ADDDEE" w14:textId="77777777" w:rsidR="004C39C9" w:rsidRPr="004C39C9" w:rsidRDefault="004C39C9" w:rsidP="004C39C9">
      <w:pPr>
        <w:pStyle w:val="Normal0"/>
        <w:rPr>
          <w:rFonts w:eastAsia="Calibri"/>
          <w:bCs/>
          <w:sz w:val="20"/>
          <w:szCs w:val="20"/>
          <w:lang w:eastAsia="en-US"/>
        </w:rPr>
      </w:pPr>
    </w:p>
    <w:p w14:paraId="7D070843" w14:textId="77777777" w:rsidR="004C39C9" w:rsidRPr="004C39C9" w:rsidRDefault="004C39C9" w:rsidP="004C39C9">
      <w:pPr>
        <w:pStyle w:val="Normal0"/>
        <w:rPr>
          <w:rFonts w:eastAsia="Calibri"/>
          <w:bCs/>
          <w:sz w:val="20"/>
          <w:szCs w:val="20"/>
          <w:lang w:eastAsia="en-US"/>
        </w:rPr>
      </w:pPr>
      <w:r w:rsidRPr="004C39C9">
        <w:rPr>
          <w:rFonts w:eastAsia="Calibri"/>
          <w:bCs/>
          <w:sz w:val="20"/>
          <w:szCs w:val="20"/>
          <w:lang w:eastAsia="en-US"/>
        </w:rPr>
        <w:t>La relación entre habilitación y nota técnica puede comprenderse a partir de tres elementos:</w:t>
      </w:r>
    </w:p>
    <w:p w14:paraId="11D4FF82" w14:textId="77777777" w:rsidR="004C39C9" w:rsidRPr="004C39C9" w:rsidRDefault="004C39C9" w:rsidP="004C39C9">
      <w:pPr>
        <w:pStyle w:val="Normal0"/>
        <w:rPr>
          <w:rFonts w:eastAsia="Calibri"/>
          <w:bCs/>
          <w:sz w:val="20"/>
          <w:szCs w:val="20"/>
          <w:lang w:eastAsia="en-US"/>
        </w:rPr>
      </w:pPr>
    </w:p>
    <w:p w14:paraId="335AD9CC" w14:textId="77777777" w:rsidR="004C39C9" w:rsidRPr="004C39C9" w:rsidRDefault="004C39C9" w:rsidP="00716DEA">
      <w:pPr>
        <w:pStyle w:val="Normal0"/>
        <w:numPr>
          <w:ilvl w:val="0"/>
          <w:numId w:val="16"/>
        </w:numPr>
        <w:rPr>
          <w:rFonts w:eastAsia="Calibri"/>
          <w:bCs/>
          <w:sz w:val="20"/>
          <w:szCs w:val="20"/>
          <w:lang w:eastAsia="en-US"/>
        </w:rPr>
      </w:pPr>
      <w:r w:rsidRPr="004C39C9">
        <w:rPr>
          <w:rFonts w:eastAsia="Calibri"/>
          <w:b/>
          <w:bCs/>
          <w:sz w:val="20"/>
          <w:szCs w:val="20"/>
          <w:lang w:eastAsia="en-US"/>
        </w:rPr>
        <w:t>Población y necesidades:</w:t>
      </w:r>
      <w:r w:rsidRPr="004C39C9">
        <w:rPr>
          <w:rFonts w:eastAsia="Calibri"/>
          <w:bCs/>
          <w:sz w:val="20"/>
          <w:szCs w:val="20"/>
          <w:lang w:eastAsia="en-US"/>
        </w:rPr>
        <w:t xml:space="preserve"> permiten determinar qué servicios y tecnologías pueden requerirse.</w:t>
      </w:r>
    </w:p>
    <w:p w14:paraId="3F622A18" w14:textId="77777777" w:rsidR="004C39C9" w:rsidRPr="004C39C9" w:rsidRDefault="004C39C9" w:rsidP="00716DEA">
      <w:pPr>
        <w:pStyle w:val="Normal0"/>
        <w:numPr>
          <w:ilvl w:val="0"/>
          <w:numId w:val="16"/>
        </w:numPr>
        <w:rPr>
          <w:rFonts w:eastAsia="Calibri"/>
          <w:bCs/>
          <w:sz w:val="20"/>
          <w:szCs w:val="20"/>
          <w:lang w:eastAsia="en-US"/>
        </w:rPr>
      </w:pPr>
      <w:r w:rsidRPr="004C39C9">
        <w:rPr>
          <w:rFonts w:eastAsia="Calibri"/>
          <w:b/>
          <w:bCs/>
          <w:sz w:val="20"/>
          <w:szCs w:val="20"/>
          <w:lang w:eastAsia="en-US"/>
        </w:rPr>
        <w:t>Oferta disponible:</w:t>
      </w:r>
      <w:r w:rsidRPr="004C39C9">
        <w:rPr>
          <w:rFonts w:eastAsia="Calibri"/>
          <w:bCs/>
          <w:sz w:val="20"/>
          <w:szCs w:val="20"/>
          <w:lang w:eastAsia="en-US"/>
        </w:rPr>
        <w:t xml:space="preserve"> permite establecer si existen prestadores con capacidad para atender las necesidades identificadas.</w:t>
      </w:r>
    </w:p>
    <w:p w14:paraId="33F5C365" w14:textId="77777777" w:rsidR="004C39C9" w:rsidRPr="004C39C9" w:rsidRDefault="004C39C9" w:rsidP="00716DEA">
      <w:pPr>
        <w:pStyle w:val="Normal0"/>
        <w:numPr>
          <w:ilvl w:val="0"/>
          <w:numId w:val="16"/>
        </w:numPr>
        <w:rPr>
          <w:rFonts w:eastAsia="Calibri"/>
          <w:bCs/>
          <w:sz w:val="20"/>
          <w:szCs w:val="20"/>
          <w:lang w:eastAsia="en-US"/>
        </w:rPr>
      </w:pPr>
      <w:r w:rsidRPr="004C39C9">
        <w:rPr>
          <w:rFonts w:eastAsia="Calibri"/>
          <w:b/>
          <w:bCs/>
          <w:sz w:val="20"/>
          <w:szCs w:val="20"/>
          <w:lang w:eastAsia="en-US"/>
        </w:rPr>
        <w:t>Servicios habilitados:</w:t>
      </w:r>
      <w:r w:rsidRPr="004C39C9">
        <w:rPr>
          <w:rFonts w:eastAsia="Calibri"/>
          <w:bCs/>
          <w:sz w:val="20"/>
          <w:szCs w:val="20"/>
          <w:lang w:eastAsia="en-US"/>
        </w:rPr>
        <w:t xml:space="preserve"> permiten verificar que los servicios considerados en el acuerdo correspondan a aquellos que el prestador está habilitado para prestar.</w:t>
      </w:r>
    </w:p>
    <w:p w14:paraId="7655CA03" w14:textId="77777777" w:rsidR="004C39C9" w:rsidRPr="004C39C9" w:rsidRDefault="004C39C9" w:rsidP="004C39C9">
      <w:pPr>
        <w:pStyle w:val="Normal0"/>
        <w:rPr>
          <w:rFonts w:eastAsia="Calibri"/>
          <w:bCs/>
          <w:sz w:val="20"/>
          <w:szCs w:val="20"/>
          <w:lang w:eastAsia="en-US"/>
        </w:rPr>
      </w:pPr>
    </w:p>
    <w:p w14:paraId="5433CA80" w14:textId="77777777" w:rsidR="004C39C9" w:rsidRPr="004C39C9" w:rsidRDefault="004C39C9" w:rsidP="004C39C9">
      <w:pPr>
        <w:pStyle w:val="Normal0"/>
        <w:rPr>
          <w:rFonts w:eastAsia="Calibri"/>
          <w:bCs/>
          <w:sz w:val="20"/>
          <w:szCs w:val="20"/>
          <w:lang w:eastAsia="en-US"/>
        </w:rPr>
      </w:pPr>
      <w:r w:rsidRPr="004C39C9">
        <w:rPr>
          <w:rFonts w:eastAsia="Calibri"/>
          <w:bCs/>
          <w:sz w:val="20"/>
          <w:szCs w:val="20"/>
          <w:lang w:eastAsia="en-US"/>
        </w:rPr>
        <w:t>De esta manera, la información sobre habilitación contribuye a que las proyecciones de servicios, frecuencias y costos de la nota técnica correspondan con las condiciones reales de prestación.</w:t>
      </w:r>
    </w:p>
    <w:p w14:paraId="61EC829D" w14:textId="77777777" w:rsidR="004C39C9" w:rsidRPr="004C39C9" w:rsidRDefault="004C39C9" w:rsidP="004C39C9">
      <w:pPr>
        <w:pStyle w:val="Normal0"/>
        <w:rPr>
          <w:rFonts w:eastAsia="Calibri"/>
          <w:bCs/>
          <w:sz w:val="20"/>
          <w:szCs w:val="20"/>
          <w:lang w:eastAsia="en-US"/>
        </w:rPr>
      </w:pPr>
    </w:p>
    <w:p w14:paraId="11E55275" w14:textId="120429DC" w:rsidR="004C39C9" w:rsidRPr="004C39C9" w:rsidRDefault="004C39C9" w:rsidP="004C39C9">
      <w:pPr>
        <w:pStyle w:val="Normal0"/>
        <w:jc w:val="center"/>
        <w:rPr>
          <w:rFonts w:eastAsia="Calibri"/>
          <w:bCs/>
          <w:sz w:val="20"/>
          <w:szCs w:val="20"/>
          <w:lang w:eastAsia="en-US"/>
        </w:rPr>
      </w:pPr>
      <w:r w:rsidRPr="00CB52D1">
        <w:rPr>
          <w:rFonts w:eastAsia="Calibri"/>
          <w:bCs/>
          <w:noProof/>
          <w:sz w:val="20"/>
          <w:szCs w:val="20"/>
          <w:lang w:val="en-US" w:eastAsia="en-US"/>
        </w:rPr>
        <mc:AlternateContent>
          <mc:Choice Requires="wps">
            <w:drawing>
              <wp:inline distT="0" distB="0" distL="0" distR="0" wp14:anchorId="44C6A095" wp14:editId="130B4ECC">
                <wp:extent cx="5762625" cy="1404620"/>
                <wp:effectExtent l="0" t="0" r="9525" b="8890"/>
                <wp:docPr id="13"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62625" cy="1404620"/>
                        </a:xfrm>
                        <a:prstGeom prst="rect">
                          <a:avLst/>
                        </a:prstGeom>
                        <a:solidFill>
                          <a:schemeClr val="accent1">
                            <a:lumMod val="40000"/>
                            <a:lumOff val="60000"/>
                          </a:schemeClr>
                        </a:solidFill>
                        <a:ln w="9525">
                          <a:noFill/>
                          <a:miter lim="800000"/>
                          <a:headEnd/>
                          <a:tailEnd/>
                        </a:ln>
                      </wps:spPr>
                      <wps:txbx>
                        <w:txbxContent>
                          <w:p w14:paraId="25990B87" w14:textId="4A54C034" w:rsidR="00877F3E" w:rsidRPr="00206F88" w:rsidRDefault="00877F3E" w:rsidP="004C39C9">
                            <w:pPr>
                              <w:pStyle w:val="Normal0"/>
                              <w:rPr>
                                <w:rFonts w:eastAsia="Calibri"/>
                                <w:bCs/>
                                <w:sz w:val="20"/>
                                <w:szCs w:val="20"/>
                                <w:lang w:eastAsia="en-US"/>
                              </w:rPr>
                            </w:pPr>
                            <w:r w:rsidRPr="0015569D">
                              <w:rPr>
                                <w:rFonts w:eastAsia="Calibri"/>
                                <w:bCs/>
                                <w:sz w:val="20"/>
                                <w:szCs w:val="20"/>
                                <w:lang w:eastAsia="en-US"/>
                              </w:rPr>
                              <w:t xml:space="preserve">Por ejemplo, </w:t>
                            </w:r>
                            <w:r>
                              <w:rPr>
                                <w:rFonts w:eastAsia="Calibri"/>
                                <w:bCs/>
                                <w:sz w:val="20"/>
                                <w:szCs w:val="20"/>
                                <w:lang w:eastAsia="en-US"/>
                              </w:rPr>
                              <w:t>s</w:t>
                            </w:r>
                            <w:r w:rsidRPr="004C39C9">
                              <w:rPr>
                                <w:rFonts w:eastAsia="Calibri"/>
                                <w:bCs/>
                                <w:sz w:val="20"/>
                                <w:szCs w:val="20"/>
                                <w:lang w:eastAsia="en-US"/>
                              </w:rPr>
                              <w:t>i el análisis de la población susceptible establece la necesidad de proyectar un determinado servicio especializado, la construcción de la nota técnica debe considerar no solo la frecuencia esperada y el costo asociado. También debe verificarse que el prestador o la red definida para el acuerdo cuente con dicho servicio habilitado y con las condiciones requeridas para su prestación.</w:t>
                            </w:r>
                          </w:p>
                        </w:txbxContent>
                      </wps:txbx>
                      <wps:bodyPr rot="0" vert="horz" wrap="square" lIns="91440" tIns="45720" rIns="91440" bIns="45720" anchor="t" anchorCtr="0">
                        <a:spAutoFit/>
                      </wps:bodyPr>
                    </wps:wsp>
                  </a:graphicData>
                </a:graphic>
              </wp:inline>
            </w:drawing>
          </mc:Choice>
          <mc:Fallback>
            <w:pict>
              <v:shape w14:anchorId="44C6A095" id="_x0000_s1035" type="#_x0000_t202" style="width:453.75pt;height:110.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" fillcolor="#b8cce4 [1300]" stroked="f">
                <v:textbox style="mso-fit-shape-to-text:t">
                  <w:txbxContent>
                    <w:p w14:paraId="25990B87" w14:textId="4A54C034" w:rsidR="00877F3E" w:rsidRPr="00206F88" w:rsidRDefault="00877F3E" w:rsidP="004C39C9">
                      <w:pPr>
                        <w:pStyle w:val="Normal0"/>
                        <w:rPr>
                          <w:rFonts w:eastAsia="Calibri"/>
                          <w:bCs/>
                          <w:sz w:val="20"/>
                          <w:szCs w:val="20"/>
                          <w:lang w:eastAsia="en-US"/>
                        </w:rPr>
                      </w:pPr>
                      <w:r w:rsidRPr="0015569D">
                        <w:rPr>
                          <w:rFonts w:eastAsia="Calibri"/>
                          <w:bCs/>
                          <w:sz w:val="20"/>
                          <w:szCs w:val="20"/>
                          <w:lang w:eastAsia="en-US"/>
                        </w:rPr>
                        <w:t xml:space="preserve">Por ejemplo, </w:t>
                      </w:r>
                      <w:r>
                        <w:rPr>
                          <w:rFonts w:eastAsia="Calibri"/>
                          <w:bCs/>
                          <w:sz w:val="20"/>
                          <w:szCs w:val="20"/>
                          <w:lang w:eastAsia="en-US"/>
                        </w:rPr>
                        <w:t>s</w:t>
                      </w:r>
                      <w:r w:rsidRPr="004C39C9">
                        <w:rPr>
                          <w:rFonts w:eastAsia="Calibri"/>
                          <w:bCs/>
                          <w:sz w:val="20"/>
                          <w:szCs w:val="20"/>
                          <w:lang w:eastAsia="en-US"/>
                        </w:rPr>
                        <w:t>i el análisis de la población susceptible establece la necesidad de proyectar un determinado servicio especializado, la construcción de la nota técnica debe considerar no solo la frecuencia esperada y el costo asociado. También debe verificarse que el prestador o la red definida para el acuerdo cuente con dicho servicio habilitado y con las condiciones requeridas para su prestación.</w:t>
                      </w:r>
                    </w:p>
                  </w:txbxContent>
                </v:textbox>
                <w10:anchorlock/>
              </v:shape>
            </w:pict>
          </mc:Fallback>
        </mc:AlternateContent>
      </w:r>
    </w:p>
    <w:p w14:paraId="3310B448" w14:textId="77777777" w:rsidR="004C39C9" w:rsidRPr="004C39C9" w:rsidRDefault="004C39C9" w:rsidP="004C39C9">
      <w:pPr>
        <w:pStyle w:val="Normal0"/>
        <w:rPr>
          <w:rFonts w:eastAsia="Calibri"/>
          <w:bCs/>
          <w:sz w:val="20"/>
          <w:szCs w:val="20"/>
          <w:lang w:eastAsia="en-US"/>
        </w:rPr>
      </w:pPr>
    </w:p>
    <w:p w14:paraId="354B238F" w14:textId="22E0F93D" w:rsidR="004C39C9" w:rsidRDefault="004C39C9" w:rsidP="004C39C9">
      <w:pPr>
        <w:pStyle w:val="Normal0"/>
        <w:rPr>
          <w:rFonts w:eastAsia="Calibri"/>
          <w:bCs/>
          <w:sz w:val="20"/>
          <w:szCs w:val="20"/>
          <w:lang w:eastAsia="en-US"/>
        </w:rPr>
      </w:pPr>
      <w:r w:rsidRPr="004C39C9">
        <w:rPr>
          <w:rFonts w:eastAsia="Calibri"/>
          <w:bCs/>
          <w:sz w:val="20"/>
          <w:szCs w:val="20"/>
          <w:lang w:eastAsia="en-US"/>
        </w:rPr>
        <w:t>En consecuencia, la habilitación constituye un elemento que articula la calidad, la oferta de servicios y la contratación en salud, y aporta información necesaria para establecer la correspondencia entre los servicios proyectados en la nota técnica y la capacidad efectiva de prestación.</w:t>
      </w:r>
    </w:p>
    <w:p w14:paraId="7815DE8C" w14:textId="77777777" w:rsidR="004C39C9" w:rsidRPr="000D04CD" w:rsidRDefault="004C39C9" w:rsidP="004C39C9">
      <w:pPr>
        <w:pStyle w:val="Normal0"/>
        <w:rPr>
          <w:rFonts w:eastAsia="Calibri"/>
          <w:bCs/>
          <w:sz w:val="20"/>
          <w:szCs w:val="20"/>
          <w:lang w:eastAsia="en-US"/>
        </w:rPr>
      </w:pPr>
    </w:p>
    <w:p w14:paraId="104A89C8" w14:textId="695B0C24" w:rsidR="00AD590A" w:rsidRPr="002F7049" w:rsidRDefault="00AD590A" w:rsidP="009723E7">
      <w:pPr>
        <w:pStyle w:val="Normal0"/>
        <w:numPr>
          <w:ilvl w:val="1"/>
          <w:numId w:val="27"/>
        </w:numPr>
        <w:rPr>
          <w:rFonts w:eastAsia="Calibri"/>
          <w:b/>
          <w:bCs/>
          <w:sz w:val="20"/>
          <w:szCs w:val="20"/>
          <w:lang w:eastAsia="en-US"/>
        </w:rPr>
      </w:pPr>
      <w:r w:rsidRPr="002F7049">
        <w:rPr>
          <w:rFonts w:eastAsia="Calibri"/>
          <w:b/>
          <w:bCs/>
          <w:sz w:val="20"/>
          <w:szCs w:val="20"/>
          <w:lang w:eastAsia="en-US"/>
        </w:rPr>
        <w:t>Gestión del riesgo y seguridad del paciente</w:t>
      </w:r>
    </w:p>
    <w:p w14:paraId="64EDA3E8" w14:textId="0BB5EB87" w:rsidR="002F7049" w:rsidRDefault="002F7049" w:rsidP="002F7049">
      <w:pPr>
        <w:pStyle w:val="Normal0"/>
        <w:rPr>
          <w:rFonts w:eastAsia="Calibri"/>
          <w:bCs/>
          <w:sz w:val="20"/>
          <w:szCs w:val="20"/>
          <w:lang w:eastAsia="en-US"/>
        </w:rPr>
      </w:pPr>
    </w:p>
    <w:p w14:paraId="77B1240B" w14:textId="77777777" w:rsidR="002F7049" w:rsidRPr="002F7049" w:rsidRDefault="002F7049" w:rsidP="002F7049">
      <w:pPr>
        <w:pStyle w:val="Normal0"/>
        <w:rPr>
          <w:rFonts w:eastAsia="Calibri"/>
          <w:bCs/>
          <w:sz w:val="20"/>
          <w:szCs w:val="20"/>
          <w:lang w:eastAsia="en-US"/>
        </w:rPr>
      </w:pPr>
      <w:r w:rsidRPr="002F7049">
        <w:rPr>
          <w:rFonts w:eastAsia="Calibri"/>
          <w:bCs/>
          <w:sz w:val="20"/>
          <w:szCs w:val="20"/>
          <w:lang w:eastAsia="en-US"/>
        </w:rPr>
        <w:t>La gestión del riesgo y la seguridad del paciente son elementos relacionados con la calidad de la atención en salud. En el contexto de los acuerdos de voluntades, permiten identificar situaciones que pueden afectar los resultados de la atención, la utilización de los servicios y tecnologías y los costos asociados a su prestación.</w:t>
      </w:r>
    </w:p>
    <w:p w14:paraId="61C0AA3D" w14:textId="77777777" w:rsidR="002F7049" w:rsidRPr="002F7049" w:rsidRDefault="002F7049" w:rsidP="002F7049">
      <w:pPr>
        <w:pStyle w:val="Normal0"/>
        <w:rPr>
          <w:rFonts w:eastAsia="Calibri"/>
          <w:bCs/>
          <w:sz w:val="20"/>
          <w:szCs w:val="20"/>
          <w:lang w:eastAsia="en-US"/>
        </w:rPr>
      </w:pPr>
    </w:p>
    <w:p w14:paraId="374FC3E5" w14:textId="77777777" w:rsidR="002F7049" w:rsidRPr="002F7049" w:rsidRDefault="002F7049" w:rsidP="002F7049">
      <w:pPr>
        <w:pStyle w:val="Normal0"/>
        <w:rPr>
          <w:rFonts w:eastAsia="Calibri"/>
          <w:bCs/>
          <w:sz w:val="20"/>
          <w:szCs w:val="20"/>
          <w:lang w:eastAsia="en-US"/>
        </w:rPr>
      </w:pPr>
      <w:r w:rsidRPr="002F7049">
        <w:rPr>
          <w:rFonts w:eastAsia="Calibri"/>
          <w:bCs/>
          <w:sz w:val="20"/>
          <w:szCs w:val="20"/>
          <w:lang w:eastAsia="en-US"/>
        </w:rPr>
        <w:t>La gestión del riesgo clínico se relaciona con los procesos de Auditoría para el Mejoramiento de la Calidad de la Atención de Salud, mediante los cuales se identifican y corrigen desviaciones en los procesos de atención. Por su parte, la seguridad del paciente se orienta a prevenir y reducir los daños evitables asociados con la atención.</w:t>
      </w:r>
    </w:p>
    <w:p w14:paraId="0A1B0AF3" w14:textId="77777777" w:rsidR="002F7049" w:rsidRPr="002F7049" w:rsidRDefault="002F7049" w:rsidP="002F7049">
      <w:pPr>
        <w:pStyle w:val="Normal0"/>
        <w:rPr>
          <w:rFonts w:eastAsia="Calibri"/>
          <w:bCs/>
          <w:sz w:val="20"/>
          <w:szCs w:val="20"/>
          <w:lang w:eastAsia="en-US"/>
        </w:rPr>
      </w:pPr>
    </w:p>
    <w:p w14:paraId="51B9BC49" w14:textId="243C4625" w:rsidR="002F7049" w:rsidRDefault="002F7049" w:rsidP="002F7049">
      <w:pPr>
        <w:pStyle w:val="Normal0"/>
        <w:rPr>
          <w:rFonts w:eastAsia="Calibri"/>
          <w:bCs/>
          <w:sz w:val="20"/>
          <w:szCs w:val="20"/>
          <w:lang w:eastAsia="en-US"/>
        </w:rPr>
      </w:pPr>
      <w:r w:rsidRPr="002F7049">
        <w:rPr>
          <w:rFonts w:eastAsia="Calibri"/>
          <w:bCs/>
          <w:sz w:val="20"/>
          <w:szCs w:val="20"/>
          <w:lang w:eastAsia="en-US"/>
        </w:rPr>
        <w:t>Aunque ambos conceptos están relacionados, es posible diferenciarlos de la siguiente manera:</w:t>
      </w:r>
    </w:p>
    <w:p w14:paraId="375BCDE3" w14:textId="57F64C23" w:rsidR="002F7049" w:rsidRDefault="002F7049" w:rsidP="002F7049">
      <w:pPr>
        <w:pStyle w:val="Normal0"/>
        <w:rPr>
          <w:rFonts w:eastAsia="Calibri"/>
          <w:bCs/>
          <w:sz w:val="20"/>
          <w:szCs w:val="20"/>
          <w:lang w:eastAsia="en-US"/>
        </w:rPr>
      </w:pPr>
    </w:p>
    <w:p w14:paraId="1ED3D048" w14:textId="5461C75A" w:rsidR="002F7049" w:rsidRDefault="002F7049" w:rsidP="002F7049">
      <w:pPr>
        <w:pStyle w:val="Normal0"/>
        <w:rPr>
          <w:rFonts w:eastAsia="Calibri"/>
          <w:bCs/>
          <w:sz w:val="20"/>
          <w:szCs w:val="20"/>
          <w:lang w:eastAsia="en-US"/>
        </w:rPr>
      </w:pPr>
      <w:r w:rsidRPr="002F7049">
        <w:rPr>
          <w:rFonts w:eastAsia="Calibri"/>
          <w:b/>
          <w:bCs/>
          <w:sz w:val="20"/>
          <w:szCs w:val="20"/>
          <w:lang w:eastAsia="en-US"/>
        </w:rPr>
        <w:t>Tabla 6.</w:t>
      </w:r>
      <w:r w:rsidRPr="002F7049">
        <w:rPr>
          <w:rFonts w:eastAsia="Calibri"/>
          <w:bCs/>
          <w:sz w:val="20"/>
          <w:szCs w:val="20"/>
          <w:lang w:eastAsia="en-US"/>
        </w:rPr>
        <w:t xml:space="preserve"> Diferencias entre gestión del riesgo y seguridad del paciente</w:t>
      </w:r>
    </w:p>
    <w:tbl>
      <w:tblPr>
        <w:tblStyle w:val="Tablaconcuadrcula"/>
        <w:tblW w:w="0" w:type="auto"/>
        <w:tblInd w:w="0" w:type="dxa"/>
        <w:tblLook w:val="04A0" w:firstRow="1" w:lastRow="0" w:firstColumn="1" w:lastColumn="0" w:noHBand="0" w:noVBand="1"/>
      </w:tblPr>
      <w:tblGrid>
        <w:gridCol w:w="4981"/>
        <w:gridCol w:w="4981"/>
      </w:tblGrid>
      <w:tr w:rsidR="002F7049" w:rsidRPr="002F7049" w14:paraId="47F640AC" w14:textId="77777777" w:rsidTr="002F7049">
        <w:tc>
          <w:tcPr>
            <w:tcW w:w="4981" w:type="dxa"/>
          </w:tcPr>
          <w:p w14:paraId="30ACCD62" w14:textId="3CF09D9E" w:rsidR="002F7049" w:rsidRPr="002F7049" w:rsidRDefault="002F7049" w:rsidP="002F7049">
            <w:pPr>
              <w:pStyle w:val="Normal0"/>
              <w:rPr>
                <w:rFonts w:eastAsia="Calibri"/>
                <w:b/>
                <w:bCs/>
                <w:sz w:val="20"/>
                <w:szCs w:val="20"/>
                <w:lang w:eastAsia="en-US"/>
              </w:rPr>
            </w:pPr>
            <w:r w:rsidRPr="002F7049">
              <w:rPr>
                <w:b/>
                <w:sz w:val="20"/>
                <w:szCs w:val="20"/>
              </w:rPr>
              <w:t>Gestión del riesgo</w:t>
            </w:r>
          </w:p>
        </w:tc>
        <w:tc>
          <w:tcPr>
            <w:tcW w:w="4981" w:type="dxa"/>
          </w:tcPr>
          <w:p w14:paraId="704FFEFE" w14:textId="75DB95C7" w:rsidR="002F7049" w:rsidRPr="002F7049" w:rsidRDefault="002F7049" w:rsidP="002F7049">
            <w:pPr>
              <w:pStyle w:val="Normal0"/>
              <w:rPr>
                <w:rFonts w:eastAsia="Calibri"/>
                <w:b/>
                <w:bCs/>
                <w:sz w:val="20"/>
                <w:szCs w:val="20"/>
                <w:lang w:eastAsia="en-US"/>
              </w:rPr>
            </w:pPr>
            <w:r w:rsidRPr="002F7049">
              <w:rPr>
                <w:b/>
                <w:sz w:val="20"/>
                <w:szCs w:val="20"/>
              </w:rPr>
              <w:t>Seguridad del paciente</w:t>
            </w:r>
          </w:p>
        </w:tc>
      </w:tr>
      <w:tr w:rsidR="002F7049" w:rsidRPr="002F7049" w14:paraId="705B10FA" w14:textId="77777777" w:rsidTr="002F7049">
        <w:tc>
          <w:tcPr>
            <w:tcW w:w="4981" w:type="dxa"/>
          </w:tcPr>
          <w:p w14:paraId="4D1BDDA0" w14:textId="040DFC44" w:rsidR="002F7049" w:rsidRPr="002F7049" w:rsidRDefault="002F7049" w:rsidP="002F7049">
            <w:pPr>
              <w:pStyle w:val="Normal0"/>
              <w:rPr>
                <w:rFonts w:eastAsia="Calibri"/>
                <w:bCs/>
                <w:sz w:val="20"/>
                <w:szCs w:val="20"/>
                <w:lang w:eastAsia="en-US"/>
              </w:rPr>
            </w:pPr>
            <w:r w:rsidRPr="002F7049">
              <w:rPr>
                <w:sz w:val="20"/>
                <w:szCs w:val="20"/>
              </w:rPr>
              <w:t>Identifica y gestiona situaciones que pueden afectar los resultados de la atención.</w:t>
            </w:r>
          </w:p>
        </w:tc>
        <w:tc>
          <w:tcPr>
            <w:tcW w:w="4981" w:type="dxa"/>
          </w:tcPr>
          <w:p w14:paraId="4112267B" w14:textId="279371AE" w:rsidR="002F7049" w:rsidRPr="002F7049" w:rsidRDefault="002F7049" w:rsidP="002F7049">
            <w:pPr>
              <w:pStyle w:val="Normal0"/>
              <w:rPr>
                <w:rFonts w:eastAsia="Calibri"/>
                <w:bCs/>
                <w:sz w:val="20"/>
                <w:szCs w:val="20"/>
                <w:lang w:eastAsia="en-US"/>
              </w:rPr>
            </w:pPr>
            <w:r w:rsidRPr="002F7049">
              <w:rPr>
                <w:sz w:val="20"/>
                <w:szCs w:val="20"/>
              </w:rPr>
              <w:t>Busca prevenir y reducir daños evitables asociados a la atención.</w:t>
            </w:r>
          </w:p>
        </w:tc>
      </w:tr>
      <w:tr w:rsidR="002F7049" w:rsidRPr="002F7049" w14:paraId="15F02D4A" w14:textId="77777777" w:rsidTr="002F7049">
        <w:tc>
          <w:tcPr>
            <w:tcW w:w="4981" w:type="dxa"/>
          </w:tcPr>
          <w:p w14:paraId="70A72DEB" w14:textId="5E7CE3CB" w:rsidR="002F7049" w:rsidRPr="002F7049" w:rsidRDefault="002F7049" w:rsidP="002F7049">
            <w:pPr>
              <w:pStyle w:val="Normal0"/>
              <w:rPr>
                <w:rFonts w:eastAsia="Calibri"/>
                <w:bCs/>
                <w:sz w:val="20"/>
                <w:szCs w:val="20"/>
                <w:lang w:eastAsia="en-US"/>
              </w:rPr>
            </w:pPr>
            <w:r w:rsidRPr="002F7049">
              <w:rPr>
                <w:sz w:val="20"/>
                <w:szCs w:val="20"/>
              </w:rPr>
              <w:t>Considera los riesgos asociados con los procesos de prestación.</w:t>
            </w:r>
          </w:p>
        </w:tc>
        <w:tc>
          <w:tcPr>
            <w:tcW w:w="4981" w:type="dxa"/>
          </w:tcPr>
          <w:p w14:paraId="58998E2D" w14:textId="783BDCCD" w:rsidR="002F7049" w:rsidRPr="002F7049" w:rsidRDefault="002F7049" w:rsidP="002F7049">
            <w:pPr>
              <w:pStyle w:val="Normal0"/>
              <w:rPr>
                <w:rFonts w:eastAsia="Calibri"/>
                <w:bCs/>
                <w:sz w:val="20"/>
                <w:szCs w:val="20"/>
                <w:lang w:eastAsia="en-US"/>
              </w:rPr>
            </w:pPr>
            <w:r w:rsidRPr="002F7049">
              <w:rPr>
                <w:sz w:val="20"/>
                <w:szCs w:val="20"/>
              </w:rPr>
              <w:t>Se concentra en las condiciones de seguridad durante la atención.</w:t>
            </w:r>
          </w:p>
        </w:tc>
      </w:tr>
      <w:tr w:rsidR="002F7049" w:rsidRPr="002F7049" w14:paraId="11EFE01C" w14:textId="77777777" w:rsidTr="002F7049">
        <w:tc>
          <w:tcPr>
            <w:tcW w:w="4981" w:type="dxa"/>
          </w:tcPr>
          <w:p w14:paraId="3A063AA9" w14:textId="2B92A08E" w:rsidR="002F7049" w:rsidRPr="002F7049" w:rsidRDefault="002F7049" w:rsidP="002F7049">
            <w:pPr>
              <w:pStyle w:val="Normal0"/>
              <w:rPr>
                <w:rFonts w:eastAsia="Calibri"/>
                <w:bCs/>
                <w:sz w:val="20"/>
                <w:szCs w:val="20"/>
                <w:lang w:eastAsia="en-US"/>
              </w:rPr>
            </w:pPr>
            <w:r w:rsidRPr="002F7049">
              <w:rPr>
                <w:sz w:val="20"/>
                <w:szCs w:val="20"/>
              </w:rPr>
              <w:lastRenderedPageBreak/>
              <w:t>Puede apoyarse en auditorías, indicadores y seguimiento de resultados.</w:t>
            </w:r>
          </w:p>
        </w:tc>
        <w:tc>
          <w:tcPr>
            <w:tcW w:w="4981" w:type="dxa"/>
          </w:tcPr>
          <w:p w14:paraId="1C0549E0" w14:textId="332639A2" w:rsidR="002F7049" w:rsidRPr="002F7049" w:rsidRDefault="002F7049" w:rsidP="002F7049">
            <w:pPr>
              <w:pStyle w:val="Normal0"/>
              <w:rPr>
                <w:rFonts w:eastAsia="Calibri"/>
                <w:bCs/>
                <w:sz w:val="20"/>
                <w:szCs w:val="20"/>
                <w:lang w:eastAsia="en-US"/>
              </w:rPr>
            </w:pPr>
            <w:r w:rsidRPr="002F7049">
              <w:rPr>
                <w:sz w:val="20"/>
                <w:szCs w:val="20"/>
              </w:rPr>
              <w:t>Incluye la aplicación de guías y protocolos, el seguimiento de eventos adversos y las barreras de seguridad.</w:t>
            </w:r>
          </w:p>
        </w:tc>
      </w:tr>
      <w:tr w:rsidR="002F7049" w:rsidRPr="002F7049" w14:paraId="6FC58914" w14:textId="77777777" w:rsidTr="002F7049">
        <w:tc>
          <w:tcPr>
            <w:tcW w:w="4981" w:type="dxa"/>
          </w:tcPr>
          <w:p w14:paraId="3A753B75" w14:textId="5C7DD1B8" w:rsidR="002F7049" w:rsidRPr="002F7049" w:rsidRDefault="002F7049" w:rsidP="002F7049">
            <w:pPr>
              <w:pStyle w:val="Normal0"/>
              <w:rPr>
                <w:rFonts w:eastAsia="Calibri"/>
                <w:bCs/>
                <w:sz w:val="20"/>
                <w:szCs w:val="20"/>
                <w:lang w:eastAsia="en-US"/>
              </w:rPr>
            </w:pPr>
            <w:r w:rsidRPr="002F7049">
              <w:rPr>
                <w:sz w:val="20"/>
                <w:szCs w:val="20"/>
              </w:rPr>
              <w:t>Permite identificar situaciones que pueden generar variaciones en la utilización de servicios y tecnologías.</w:t>
            </w:r>
          </w:p>
        </w:tc>
        <w:tc>
          <w:tcPr>
            <w:tcW w:w="4981" w:type="dxa"/>
          </w:tcPr>
          <w:p w14:paraId="3E76D491" w14:textId="61E35FD3" w:rsidR="002F7049" w:rsidRPr="002F7049" w:rsidRDefault="002F7049" w:rsidP="002F7049">
            <w:pPr>
              <w:pStyle w:val="Normal0"/>
              <w:rPr>
                <w:rFonts w:eastAsia="Calibri"/>
                <w:bCs/>
                <w:sz w:val="20"/>
                <w:szCs w:val="20"/>
                <w:lang w:eastAsia="en-US"/>
              </w:rPr>
            </w:pPr>
            <w:r w:rsidRPr="002F7049">
              <w:rPr>
                <w:sz w:val="20"/>
                <w:szCs w:val="20"/>
              </w:rPr>
              <w:t>Contribuye a prevenir complicaciones y eventos adversos durante la atención.</w:t>
            </w:r>
          </w:p>
        </w:tc>
      </w:tr>
    </w:tbl>
    <w:p w14:paraId="341131EA" w14:textId="46299D43" w:rsidR="002F7049" w:rsidRDefault="002F7049" w:rsidP="002F7049">
      <w:pPr>
        <w:pStyle w:val="Normal0"/>
        <w:rPr>
          <w:rFonts w:eastAsia="Calibri"/>
          <w:bCs/>
          <w:sz w:val="20"/>
          <w:szCs w:val="20"/>
          <w:lang w:eastAsia="en-US"/>
        </w:rPr>
      </w:pPr>
    </w:p>
    <w:p w14:paraId="6F5180D1" w14:textId="77777777" w:rsidR="002F7049" w:rsidRPr="002F7049" w:rsidRDefault="002F7049" w:rsidP="002F7049">
      <w:pPr>
        <w:pStyle w:val="Normal0"/>
        <w:rPr>
          <w:rFonts w:eastAsia="Calibri"/>
          <w:bCs/>
          <w:sz w:val="20"/>
          <w:szCs w:val="20"/>
          <w:lang w:eastAsia="en-US"/>
        </w:rPr>
      </w:pPr>
      <w:r w:rsidRPr="002F7049">
        <w:rPr>
          <w:rFonts w:eastAsia="Calibri"/>
          <w:bCs/>
          <w:sz w:val="20"/>
          <w:szCs w:val="20"/>
          <w:lang w:eastAsia="en-US"/>
        </w:rPr>
        <w:t>Entre las acciones relacionadas con la seguridad del paciente se encuentran la adherencia a las guías de práctica clínica y protocolos de atención, el seguimiento de los eventos adversos y la implementación de barreras de seguridad en procesos asistenciales que presentan mayores riesgos.</w:t>
      </w:r>
    </w:p>
    <w:p w14:paraId="24C7C039" w14:textId="77777777" w:rsidR="002F7049" w:rsidRPr="002F7049" w:rsidRDefault="002F7049" w:rsidP="002F7049">
      <w:pPr>
        <w:pStyle w:val="Normal0"/>
        <w:rPr>
          <w:rFonts w:eastAsia="Calibri"/>
          <w:bCs/>
          <w:sz w:val="20"/>
          <w:szCs w:val="20"/>
          <w:lang w:eastAsia="en-US"/>
        </w:rPr>
      </w:pPr>
    </w:p>
    <w:p w14:paraId="1E260C92" w14:textId="77777777" w:rsidR="002F7049" w:rsidRPr="002F7049" w:rsidRDefault="002F7049" w:rsidP="002F7049">
      <w:pPr>
        <w:pStyle w:val="Normal0"/>
        <w:rPr>
          <w:rFonts w:eastAsia="Calibri"/>
          <w:bCs/>
          <w:sz w:val="20"/>
          <w:szCs w:val="20"/>
          <w:lang w:eastAsia="en-US"/>
        </w:rPr>
      </w:pPr>
      <w:r w:rsidRPr="002F7049">
        <w:rPr>
          <w:rFonts w:eastAsia="Calibri"/>
          <w:bCs/>
          <w:sz w:val="20"/>
          <w:szCs w:val="20"/>
          <w:lang w:eastAsia="en-US"/>
        </w:rPr>
        <w:t>Estos elementos se relacionan con el riesgo técnico, que corresponde a las variaciones en la utilización de recursos, la ocurrencia de complicaciones o la severidad asociadas con factores no previsibles en la atención o que no se encuentran soportados en la evidencia científica. El riesgo técnico comprende dos componentes:</w:t>
      </w:r>
    </w:p>
    <w:p w14:paraId="34BD09EB" w14:textId="77777777" w:rsidR="002F7049" w:rsidRPr="002F7049" w:rsidRDefault="002F7049" w:rsidP="002F7049">
      <w:pPr>
        <w:pStyle w:val="Normal0"/>
        <w:rPr>
          <w:rFonts w:eastAsia="Calibri"/>
          <w:bCs/>
          <w:sz w:val="20"/>
          <w:szCs w:val="20"/>
          <w:lang w:eastAsia="en-US"/>
        </w:rPr>
      </w:pPr>
    </w:p>
    <w:p w14:paraId="53323DC8" w14:textId="77777777" w:rsidR="002F7049" w:rsidRPr="002F7049" w:rsidRDefault="002F7049" w:rsidP="00716DEA">
      <w:pPr>
        <w:pStyle w:val="Normal0"/>
        <w:numPr>
          <w:ilvl w:val="0"/>
          <w:numId w:val="17"/>
        </w:numPr>
        <w:rPr>
          <w:rFonts w:eastAsia="Calibri"/>
          <w:bCs/>
          <w:sz w:val="20"/>
          <w:szCs w:val="20"/>
          <w:lang w:eastAsia="en-US"/>
        </w:rPr>
      </w:pPr>
      <w:r w:rsidRPr="002F7049">
        <w:rPr>
          <w:rFonts w:eastAsia="Calibri"/>
          <w:b/>
          <w:bCs/>
          <w:sz w:val="20"/>
          <w:szCs w:val="20"/>
          <w:lang w:eastAsia="en-US"/>
        </w:rPr>
        <w:t>Riesgo técnico de morbilidad evitable:</w:t>
      </w:r>
      <w:r w:rsidRPr="002F7049">
        <w:rPr>
          <w:rFonts w:eastAsia="Calibri"/>
          <w:bCs/>
          <w:sz w:val="20"/>
          <w:szCs w:val="20"/>
          <w:lang w:eastAsia="en-US"/>
        </w:rPr>
        <w:t xml:space="preserve"> se relaciona con complicaciones clínicas o aumento de la severidad de una condición de salud asociados con fallas en el modelo de prestación, la seguridad del paciente, la coordinación entre prestadores o la aplicación de guías de práctica clínica y protocolos.</w:t>
      </w:r>
    </w:p>
    <w:p w14:paraId="49791173" w14:textId="77777777" w:rsidR="002F7049" w:rsidRPr="002F7049" w:rsidRDefault="002F7049" w:rsidP="00716DEA">
      <w:pPr>
        <w:pStyle w:val="Normal0"/>
        <w:numPr>
          <w:ilvl w:val="0"/>
          <w:numId w:val="17"/>
        </w:numPr>
        <w:rPr>
          <w:rFonts w:eastAsia="Calibri"/>
          <w:bCs/>
          <w:sz w:val="20"/>
          <w:szCs w:val="20"/>
          <w:lang w:eastAsia="en-US"/>
        </w:rPr>
      </w:pPr>
      <w:r w:rsidRPr="002F7049">
        <w:rPr>
          <w:rFonts w:eastAsia="Calibri"/>
          <w:b/>
          <w:bCs/>
          <w:sz w:val="20"/>
          <w:szCs w:val="20"/>
          <w:lang w:eastAsia="en-US"/>
        </w:rPr>
        <w:t>Riesgo técnico de utilización:</w:t>
      </w:r>
      <w:r w:rsidRPr="002F7049">
        <w:rPr>
          <w:rFonts w:eastAsia="Calibri"/>
          <w:bCs/>
          <w:sz w:val="20"/>
          <w:szCs w:val="20"/>
          <w:lang w:eastAsia="en-US"/>
        </w:rPr>
        <w:t xml:space="preserve"> corresponde a la variabilidad en el uso de servicios y tecnologías en salud que no se encuentra soportada en la evidencia científica.</w:t>
      </w:r>
    </w:p>
    <w:p w14:paraId="449F42EB" w14:textId="77777777" w:rsidR="002F7049" w:rsidRPr="002F7049" w:rsidRDefault="002F7049" w:rsidP="002F7049">
      <w:pPr>
        <w:pStyle w:val="Normal0"/>
        <w:rPr>
          <w:rFonts w:eastAsia="Calibri"/>
          <w:bCs/>
          <w:sz w:val="20"/>
          <w:szCs w:val="20"/>
          <w:lang w:eastAsia="en-US"/>
        </w:rPr>
      </w:pPr>
    </w:p>
    <w:p w14:paraId="2CD6F88E" w14:textId="77777777" w:rsidR="002F7049" w:rsidRPr="002F7049" w:rsidRDefault="002F7049" w:rsidP="002F7049">
      <w:pPr>
        <w:pStyle w:val="Normal0"/>
        <w:rPr>
          <w:rFonts w:eastAsia="Calibri"/>
          <w:bCs/>
          <w:sz w:val="20"/>
          <w:szCs w:val="20"/>
          <w:lang w:eastAsia="en-US"/>
        </w:rPr>
      </w:pPr>
      <w:r w:rsidRPr="002F7049">
        <w:rPr>
          <w:rFonts w:eastAsia="Calibri"/>
          <w:bCs/>
          <w:sz w:val="20"/>
          <w:szCs w:val="20"/>
          <w:lang w:eastAsia="en-US"/>
        </w:rPr>
        <w:t>La relación entre estos elementos y la nota técnica puede comprenderse mediante un ejemplo. Una complicación asociada con una falla en la atención puede generar nuevas consultas, procedimientos, medicamentos u hospitalizaciones. Esto puede modificar las frecuencias de uso y los costos inicialmente proyectados. De igual manera, la utilización de servicios o tecnologías que no esté sustentada en la evidencia puede generar diferencias frente a las frecuencias esperadas.</w:t>
      </w:r>
    </w:p>
    <w:p w14:paraId="4E0A287E" w14:textId="77777777" w:rsidR="002F7049" w:rsidRPr="002F7049" w:rsidRDefault="002F7049" w:rsidP="002F7049">
      <w:pPr>
        <w:pStyle w:val="Normal0"/>
        <w:rPr>
          <w:rFonts w:eastAsia="Calibri"/>
          <w:bCs/>
          <w:sz w:val="20"/>
          <w:szCs w:val="20"/>
          <w:lang w:eastAsia="en-US"/>
        </w:rPr>
      </w:pPr>
    </w:p>
    <w:p w14:paraId="4582FDD0" w14:textId="76C0397E" w:rsidR="002F7049" w:rsidRDefault="002F7049" w:rsidP="002F7049">
      <w:pPr>
        <w:pStyle w:val="Normal0"/>
        <w:rPr>
          <w:rFonts w:eastAsia="Calibri"/>
          <w:bCs/>
          <w:sz w:val="20"/>
          <w:szCs w:val="20"/>
          <w:lang w:eastAsia="en-US"/>
        </w:rPr>
      </w:pPr>
      <w:r w:rsidRPr="002F7049">
        <w:rPr>
          <w:rFonts w:eastAsia="Calibri"/>
          <w:bCs/>
          <w:sz w:val="20"/>
          <w:szCs w:val="20"/>
          <w:lang w:eastAsia="en-US"/>
        </w:rPr>
        <w:t>Por esta razón, la gestión del riesgo y la seguridad del paciente deben considerarse junto con la información sobre la población, los servicios y tecnologías, las frecuencias de uso y las condiciones de prestación. Su análisis permite relacionar la calidad de la atención con los riesgos y las variaciones que pueden presentarse durante la ejecución del acuerdo de voluntades y que deben ser consideradas en el seguimiento de la nota técnica.</w:t>
      </w:r>
    </w:p>
    <w:p w14:paraId="0F1D8FB9" w14:textId="77777777" w:rsidR="002F7049" w:rsidRPr="000D04CD" w:rsidRDefault="002F7049" w:rsidP="002F7049">
      <w:pPr>
        <w:pStyle w:val="Normal0"/>
        <w:rPr>
          <w:rFonts w:eastAsia="Calibri"/>
          <w:bCs/>
          <w:sz w:val="20"/>
          <w:szCs w:val="20"/>
          <w:lang w:eastAsia="en-US"/>
        </w:rPr>
      </w:pPr>
    </w:p>
    <w:p w14:paraId="58ED09B4" w14:textId="56C9B518" w:rsidR="00AD590A" w:rsidRPr="009723E7" w:rsidRDefault="00AD590A" w:rsidP="009723E7">
      <w:pPr>
        <w:pStyle w:val="Normal0"/>
        <w:numPr>
          <w:ilvl w:val="1"/>
          <w:numId w:val="27"/>
        </w:numPr>
        <w:rPr>
          <w:rFonts w:eastAsia="Calibri"/>
          <w:b/>
          <w:bCs/>
          <w:sz w:val="20"/>
          <w:szCs w:val="20"/>
          <w:lang w:eastAsia="en-US"/>
        </w:rPr>
      </w:pPr>
      <w:r w:rsidRPr="009723E7">
        <w:rPr>
          <w:rFonts w:eastAsia="Calibri"/>
          <w:b/>
          <w:bCs/>
          <w:sz w:val="20"/>
          <w:szCs w:val="20"/>
          <w:lang w:eastAsia="en-US"/>
        </w:rPr>
        <w:t>Rutas Integrales de Atención en Salud (RIAS)</w:t>
      </w:r>
    </w:p>
    <w:p w14:paraId="13353E93" w14:textId="7CAE539B" w:rsidR="002F7049" w:rsidRDefault="002F7049" w:rsidP="002F7049">
      <w:pPr>
        <w:pStyle w:val="Normal0"/>
        <w:rPr>
          <w:rFonts w:eastAsia="Calibri"/>
          <w:bCs/>
          <w:sz w:val="20"/>
          <w:szCs w:val="20"/>
          <w:lang w:eastAsia="en-US"/>
        </w:rPr>
      </w:pPr>
    </w:p>
    <w:p w14:paraId="033EB9AE" w14:textId="77777777" w:rsidR="002F7049" w:rsidRPr="002F7049" w:rsidRDefault="002F7049" w:rsidP="002F7049">
      <w:pPr>
        <w:pStyle w:val="Normal0"/>
        <w:rPr>
          <w:rFonts w:eastAsia="Calibri"/>
          <w:bCs/>
          <w:sz w:val="20"/>
          <w:szCs w:val="20"/>
          <w:lang w:eastAsia="en-US"/>
        </w:rPr>
      </w:pPr>
      <w:r w:rsidRPr="002F7049">
        <w:rPr>
          <w:rFonts w:eastAsia="Calibri"/>
          <w:bCs/>
          <w:sz w:val="20"/>
          <w:szCs w:val="20"/>
          <w:lang w:eastAsia="en-US"/>
        </w:rPr>
        <w:t>Las Rutas Integrales de Atención en Salud (RIAS) constituyen una herramienta para organizar las intervenciones en salud de acuerdo con las necesidades de las personas, las familias y las comunidades. Su implementación permite articular las acciones de promoción de la salud, prevención de la enfermedad, diagnóstico, tratamiento, rehabilitación y cuidados paliativos, según las condiciones y riesgos identificados en la población.</w:t>
      </w:r>
    </w:p>
    <w:p w14:paraId="18660A9A" w14:textId="77777777" w:rsidR="002F7049" w:rsidRPr="002F7049" w:rsidRDefault="002F7049" w:rsidP="002F7049">
      <w:pPr>
        <w:pStyle w:val="Normal0"/>
        <w:rPr>
          <w:rFonts w:eastAsia="Calibri"/>
          <w:bCs/>
          <w:sz w:val="20"/>
          <w:szCs w:val="20"/>
          <w:lang w:eastAsia="en-US"/>
        </w:rPr>
      </w:pPr>
    </w:p>
    <w:p w14:paraId="1DB166E1" w14:textId="77777777" w:rsidR="002F7049" w:rsidRPr="002F7049" w:rsidRDefault="002F7049" w:rsidP="002F7049">
      <w:pPr>
        <w:pStyle w:val="Normal0"/>
        <w:rPr>
          <w:rFonts w:eastAsia="Calibri"/>
          <w:bCs/>
          <w:sz w:val="20"/>
          <w:szCs w:val="20"/>
          <w:lang w:eastAsia="en-US"/>
        </w:rPr>
      </w:pPr>
      <w:r w:rsidRPr="002F7049">
        <w:rPr>
          <w:rFonts w:eastAsia="Calibri"/>
          <w:bCs/>
          <w:sz w:val="20"/>
          <w:szCs w:val="20"/>
          <w:lang w:eastAsia="en-US"/>
        </w:rPr>
        <w:t xml:space="preserve">Las RIAS se desarrollan en el marco del </w:t>
      </w:r>
      <w:r w:rsidRPr="00191ABB">
        <w:rPr>
          <w:rFonts w:eastAsia="Calibri"/>
          <w:b/>
          <w:bCs/>
          <w:sz w:val="20"/>
          <w:szCs w:val="20"/>
          <w:lang w:eastAsia="en-US"/>
        </w:rPr>
        <w:t>Modelo Integral de Atención en Salud (MIAS)</w:t>
      </w:r>
      <w:r w:rsidRPr="002F7049">
        <w:rPr>
          <w:rFonts w:eastAsia="Calibri"/>
          <w:bCs/>
          <w:sz w:val="20"/>
          <w:szCs w:val="20"/>
          <w:lang w:eastAsia="en-US"/>
        </w:rPr>
        <w:t xml:space="preserve"> y se encuentran reglamentadas principalmente por la </w:t>
      </w:r>
      <w:r w:rsidRPr="00191ABB">
        <w:rPr>
          <w:rFonts w:eastAsia="Calibri"/>
          <w:b/>
          <w:bCs/>
          <w:sz w:val="20"/>
          <w:szCs w:val="20"/>
          <w:lang w:eastAsia="en-US"/>
        </w:rPr>
        <w:t>Resolución 3280 de 2018</w:t>
      </w:r>
      <w:r w:rsidRPr="002F7049">
        <w:rPr>
          <w:rFonts w:eastAsia="Calibri"/>
          <w:bCs/>
          <w:sz w:val="20"/>
          <w:szCs w:val="20"/>
          <w:lang w:eastAsia="en-US"/>
        </w:rPr>
        <w:t>, mediante la cual se adoptaron los lineamientos técnicos y operativos de las rutas para la promoción y mantenimiento de la salud y para la atención de grupos de riesgo.</w:t>
      </w:r>
    </w:p>
    <w:p w14:paraId="39C4814F" w14:textId="77777777" w:rsidR="002F7049" w:rsidRPr="002F7049" w:rsidRDefault="002F7049" w:rsidP="002F7049">
      <w:pPr>
        <w:pStyle w:val="Normal0"/>
        <w:rPr>
          <w:rFonts w:eastAsia="Calibri"/>
          <w:bCs/>
          <w:sz w:val="20"/>
          <w:szCs w:val="20"/>
          <w:lang w:eastAsia="en-US"/>
        </w:rPr>
      </w:pPr>
    </w:p>
    <w:p w14:paraId="42A176AF" w14:textId="77777777" w:rsidR="002F7049" w:rsidRPr="002F7049" w:rsidRDefault="002F7049" w:rsidP="002F7049">
      <w:pPr>
        <w:pStyle w:val="Normal0"/>
        <w:rPr>
          <w:rFonts w:eastAsia="Calibri"/>
          <w:bCs/>
          <w:sz w:val="20"/>
          <w:szCs w:val="20"/>
          <w:lang w:eastAsia="en-US"/>
        </w:rPr>
      </w:pPr>
      <w:r w:rsidRPr="002F7049">
        <w:rPr>
          <w:rFonts w:eastAsia="Calibri"/>
          <w:bCs/>
          <w:sz w:val="20"/>
          <w:szCs w:val="20"/>
          <w:lang w:eastAsia="en-US"/>
        </w:rPr>
        <w:t>En este contexto, las RIAS permiten organizar la atención de acuerdo con las características y necesidades de diferentes grupos de población. Su aplicación contempla intervenciones individuales, colectivas y poblacionales, así como la participación de los diferentes actores responsables de la atención.</w:t>
      </w:r>
    </w:p>
    <w:p w14:paraId="47530040" w14:textId="77777777" w:rsidR="002F7049" w:rsidRPr="002F7049" w:rsidRDefault="002F7049" w:rsidP="002F7049">
      <w:pPr>
        <w:pStyle w:val="Normal0"/>
        <w:rPr>
          <w:rFonts w:eastAsia="Calibri"/>
          <w:bCs/>
          <w:sz w:val="20"/>
          <w:szCs w:val="20"/>
          <w:lang w:eastAsia="en-US"/>
        </w:rPr>
      </w:pPr>
    </w:p>
    <w:p w14:paraId="563D6792" w14:textId="77777777" w:rsidR="002F7049" w:rsidRPr="002F7049" w:rsidRDefault="002F7049" w:rsidP="002F7049">
      <w:pPr>
        <w:pStyle w:val="Normal0"/>
        <w:rPr>
          <w:rFonts w:eastAsia="Calibri"/>
          <w:bCs/>
          <w:sz w:val="20"/>
          <w:szCs w:val="20"/>
          <w:lang w:eastAsia="en-US"/>
        </w:rPr>
      </w:pPr>
      <w:r w:rsidRPr="002F7049">
        <w:rPr>
          <w:rFonts w:eastAsia="Calibri"/>
          <w:bCs/>
          <w:sz w:val="20"/>
          <w:szCs w:val="20"/>
          <w:lang w:eastAsia="en-US"/>
        </w:rPr>
        <w:t>Para la construcción de la nota técnica, las RIAS pueden aportar elementos para identificar los servicios y tecnologías que pueden requerirse de acuerdo con las características de la población objeto y sus condiciones de salud. También pueden constituir un referente para analizar las frecuencias esperadas de determinadas intervenciones, cuando estas se encuentran definidas dentro de las rutas correspondientes.</w:t>
      </w:r>
    </w:p>
    <w:p w14:paraId="0CBB4175" w14:textId="77777777" w:rsidR="002F7049" w:rsidRPr="002F7049" w:rsidRDefault="002F7049" w:rsidP="002F7049">
      <w:pPr>
        <w:pStyle w:val="Normal0"/>
        <w:rPr>
          <w:rFonts w:eastAsia="Calibri"/>
          <w:bCs/>
          <w:sz w:val="20"/>
          <w:szCs w:val="20"/>
          <w:lang w:eastAsia="en-US"/>
        </w:rPr>
      </w:pPr>
    </w:p>
    <w:p w14:paraId="61B62D50" w14:textId="62072772" w:rsidR="002F7049" w:rsidRPr="002F7049" w:rsidRDefault="002F7049" w:rsidP="002F7049">
      <w:pPr>
        <w:pStyle w:val="Normal0"/>
        <w:jc w:val="center"/>
        <w:rPr>
          <w:rFonts w:eastAsia="Calibri"/>
          <w:bCs/>
          <w:sz w:val="20"/>
          <w:szCs w:val="20"/>
          <w:lang w:eastAsia="en-US"/>
        </w:rPr>
      </w:pPr>
      <w:r w:rsidRPr="00CB52D1">
        <w:rPr>
          <w:rFonts w:eastAsia="Calibri"/>
          <w:bCs/>
          <w:noProof/>
          <w:sz w:val="20"/>
          <w:szCs w:val="20"/>
          <w:lang w:val="en-US" w:eastAsia="en-US"/>
        </w:rPr>
        <mc:AlternateContent>
          <mc:Choice Requires="wps">
            <w:drawing>
              <wp:inline distT="0" distB="0" distL="0" distR="0" wp14:anchorId="47813108" wp14:editId="4242D9F8">
                <wp:extent cx="5762625" cy="1404620"/>
                <wp:effectExtent l="0" t="0" r="9525" b="8890"/>
                <wp:docPr id="14"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62625" cy="1404620"/>
                        </a:xfrm>
                        <a:prstGeom prst="rect">
                          <a:avLst/>
                        </a:prstGeom>
                        <a:solidFill>
                          <a:schemeClr val="accent1">
                            <a:lumMod val="40000"/>
                            <a:lumOff val="60000"/>
                          </a:schemeClr>
                        </a:solidFill>
                        <a:ln w="9525">
                          <a:noFill/>
                          <a:miter lim="800000"/>
                          <a:headEnd/>
                          <a:tailEnd/>
                        </a:ln>
                      </wps:spPr>
                      <wps:txbx>
                        <w:txbxContent>
                          <w:p w14:paraId="24F52F14" w14:textId="3ABEBC5D" w:rsidR="00877F3E" w:rsidRPr="00206F88" w:rsidRDefault="00877F3E" w:rsidP="002F7049">
                            <w:pPr>
                              <w:pStyle w:val="Normal0"/>
                              <w:rPr>
                                <w:rFonts w:eastAsia="Calibri"/>
                                <w:bCs/>
                                <w:sz w:val="20"/>
                                <w:szCs w:val="20"/>
                                <w:lang w:eastAsia="en-US"/>
                              </w:rPr>
                            </w:pPr>
                            <w:r w:rsidRPr="002F7049">
                              <w:rPr>
                                <w:rFonts w:eastAsia="Calibri"/>
                                <w:bCs/>
                                <w:sz w:val="20"/>
                                <w:szCs w:val="20"/>
                                <w:lang w:eastAsia="en-US"/>
                              </w:rPr>
                              <w:t>Por ejemplo, si la población objeto incluye personas con condiciones de salud que hacen parte de un grupo de riesgo contemplado en una RIAS, las intervenciones establecidas en la ruta pueden considerarse como referente para identificar los servicios requeridos y analizar su frecuencia de utilización.</w:t>
                            </w:r>
                          </w:p>
                        </w:txbxContent>
                      </wps:txbx>
                      <wps:bodyPr rot="0" vert="horz" wrap="square" lIns="91440" tIns="45720" rIns="91440" bIns="45720" anchor="t" anchorCtr="0">
                        <a:spAutoFit/>
                      </wps:bodyPr>
                    </wps:wsp>
                  </a:graphicData>
                </a:graphic>
              </wp:inline>
            </w:drawing>
          </mc:Choice>
          <mc:Fallback>
            <w:pict>
              <v:shape w14:anchorId="47813108" id="_x0000_s1036" type="#_x0000_t202" style="width:453.75pt;height:110.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" fillcolor="#b8cce4 [1300]" stroked="f">
                <v:textbox style="mso-fit-shape-to-text:t">
                  <w:txbxContent>
                    <w:p w14:paraId="24F52F14" w14:textId="3ABEBC5D" w:rsidR="00877F3E" w:rsidRPr="00206F88" w:rsidRDefault="00877F3E" w:rsidP="002F7049">
                      <w:pPr>
                        <w:pStyle w:val="Normal0"/>
                        <w:rPr>
                          <w:rFonts w:eastAsia="Calibri"/>
                          <w:bCs/>
                          <w:sz w:val="20"/>
                          <w:szCs w:val="20"/>
                          <w:lang w:eastAsia="en-US"/>
                        </w:rPr>
                      </w:pPr>
                      <w:r w:rsidRPr="002F7049">
                        <w:rPr>
                          <w:rFonts w:eastAsia="Calibri"/>
                          <w:bCs/>
                          <w:sz w:val="20"/>
                          <w:szCs w:val="20"/>
                          <w:lang w:eastAsia="en-US"/>
                        </w:rPr>
                        <w:t>Por ejemplo, si la población objeto incluye personas con condiciones de salud que hacen parte de un grupo de riesgo contemplado en una RIAS, las intervenciones establecidas en la ruta pueden considerarse como referente para identificar los servicios requeridos y analizar su frecuencia de utilización.</w:t>
                      </w:r>
                    </w:p>
                  </w:txbxContent>
                </v:textbox>
                <w10:anchorlock/>
              </v:shape>
            </w:pict>
          </mc:Fallback>
        </mc:AlternateContent>
      </w:r>
    </w:p>
    <w:p w14:paraId="2CD39F4D" w14:textId="77777777" w:rsidR="002F7049" w:rsidRPr="002F7049" w:rsidRDefault="002F7049" w:rsidP="002F7049">
      <w:pPr>
        <w:pStyle w:val="Normal0"/>
        <w:rPr>
          <w:rFonts w:eastAsia="Calibri"/>
          <w:bCs/>
          <w:sz w:val="20"/>
          <w:szCs w:val="20"/>
          <w:lang w:eastAsia="en-US"/>
        </w:rPr>
      </w:pPr>
    </w:p>
    <w:p w14:paraId="4D930B9D" w14:textId="77777777" w:rsidR="002F7049" w:rsidRPr="002F7049" w:rsidRDefault="002F7049" w:rsidP="002F7049">
      <w:pPr>
        <w:pStyle w:val="Normal0"/>
        <w:rPr>
          <w:rFonts w:eastAsia="Calibri"/>
          <w:bCs/>
          <w:sz w:val="20"/>
          <w:szCs w:val="20"/>
          <w:lang w:eastAsia="en-US"/>
        </w:rPr>
      </w:pPr>
      <w:r w:rsidRPr="002F7049">
        <w:rPr>
          <w:rFonts w:eastAsia="Calibri"/>
          <w:bCs/>
          <w:sz w:val="20"/>
          <w:szCs w:val="20"/>
          <w:lang w:eastAsia="en-US"/>
        </w:rPr>
        <w:t>De esta manera, la relación entre las RIAS y la nota técnica puede establecerse a partir de:</w:t>
      </w:r>
    </w:p>
    <w:p w14:paraId="1D315A2F" w14:textId="77777777" w:rsidR="002F7049" w:rsidRPr="002F7049" w:rsidRDefault="002F7049" w:rsidP="002F7049">
      <w:pPr>
        <w:pStyle w:val="Normal0"/>
        <w:rPr>
          <w:rFonts w:eastAsia="Calibri"/>
          <w:bCs/>
          <w:sz w:val="20"/>
          <w:szCs w:val="20"/>
          <w:lang w:eastAsia="en-US"/>
        </w:rPr>
      </w:pPr>
    </w:p>
    <w:p w14:paraId="095D6FE1" w14:textId="77777777" w:rsidR="002F7049" w:rsidRPr="002F7049" w:rsidRDefault="002F7049" w:rsidP="00716DEA">
      <w:pPr>
        <w:pStyle w:val="Normal0"/>
        <w:numPr>
          <w:ilvl w:val="0"/>
          <w:numId w:val="18"/>
        </w:numPr>
        <w:rPr>
          <w:rFonts w:eastAsia="Calibri"/>
          <w:bCs/>
          <w:sz w:val="20"/>
          <w:szCs w:val="20"/>
          <w:lang w:eastAsia="en-US"/>
        </w:rPr>
      </w:pPr>
      <w:r w:rsidRPr="002F7049">
        <w:rPr>
          <w:rFonts w:eastAsia="Calibri"/>
          <w:b/>
          <w:bCs/>
          <w:sz w:val="20"/>
          <w:szCs w:val="20"/>
          <w:lang w:eastAsia="en-US"/>
        </w:rPr>
        <w:t>Características de la población:</w:t>
      </w:r>
      <w:r w:rsidRPr="002F7049">
        <w:rPr>
          <w:rFonts w:eastAsia="Calibri"/>
          <w:bCs/>
          <w:sz w:val="20"/>
          <w:szCs w:val="20"/>
          <w:lang w:eastAsia="en-US"/>
        </w:rPr>
        <w:t xml:space="preserve"> permiten identificar los grupos de población y de riesgo a los que pueden dirigirse las intervenciones.</w:t>
      </w:r>
    </w:p>
    <w:p w14:paraId="6099C40F" w14:textId="77777777" w:rsidR="002F7049" w:rsidRPr="002F7049" w:rsidRDefault="002F7049" w:rsidP="00716DEA">
      <w:pPr>
        <w:pStyle w:val="Normal0"/>
        <w:numPr>
          <w:ilvl w:val="0"/>
          <w:numId w:val="18"/>
        </w:numPr>
        <w:rPr>
          <w:rFonts w:eastAsia="Calibri"/>
          <w:bCs/>
          <w:sz w:val="20"/>
          <w:szCs w:val="20"/>
          <w:lang w:eastAsia="en-US"/>
        </w:rPr>
      </w:pPr>
      <w:r w:rsidRPr="002F7049">
        <w:rPr>
          <w:rFonts w:eastAsia="Calibri"/>
          <w:b/>
          <w:bCs/>
          <w:sz w:val="20"/>
          <w:szCs w:val="20"/>
          <w:lang w:eastAsia="en-US"/>
        </w:rPr>
        <w:t>Servicios y tecnologías:</w:t>
      </w:r>
      <w:r w:rsidRPr="002F7049">
        <w:rPr>
          <w:rFonts w:eastAsia="Calibri"/>
          <w:bCs/>
          <w:sz w:val="20"/>
          <w:szCs w:val="20"/>
          <w:lang w:eastAsia="en-US"/>
        </w:rPr>
        <w:t xml:space="preserve"> orientan la identificación de las intervenciones requeridas según las condiciones de salud y los grupos de riesgo.</w:t>
      </w:r>
    </w:p>
    <w:p w14:paraId="06034B92" w14:textId="77777777" w:rsidR="002F7049" w:rsidRPr="002F7049" w:rsidRDefault="002F7049" w:rsidP="00716DEA">
      <w:pPr>
        <w:pStyle w:val="Normal0"/>
        <w:numPr>
          <w:ilvl w:val="0"/>
          <w:numId w:val="18"/>
        </w:numPr>
        <w:rPr>
          <w:rFonts w:eastAsia="Calibri"/>
          <w:bCs/>
          <w:sz w:val="20"/>
          <w:szCs w:val="20"/>
          <w:lang w:eastAsia="en-US"/>
        </w:rPr>
      </w:pPr>
      <w:r w:rsidRPr="002F7049">
        <w:rPr>
          <w:rFonts w:eastAsia="Calibri"/>
          <w:b/>
          <w:bCs/>
          <w:sz w:val="20"/>
          <w:szCs w:val="20"/>
          <w:lang w:eastAsia="en-US"/>
        </w:rPr>
        <w:t>Frecuencias de uso:</w:t>
      </w:r>
      <w:r w:rsidRPr="002F7049">
        <w:rPr>
          <w:rFonts w:eastAsia="Calibri"/>
          <w:bCs/>
          <w:sz w:val="20"/>
          <w:szCs w:val="20"/>
          <w:lang w:eastAsia="en-US"/>
        </w:rPr>
        <w:t xml:space="preserve"> proporcionan referentes para analizar la utilización esperada de determinadas intervenciones.</w:t>
      </w:r>
    </w:p>
    <w:p w14:paraId="4776C487" w14:textId="77777777" w:rsidR="002F7049" w:rsidRPr="002F7049" w:rsidRDefault="002F7049" w:rsidP="00716DEA">
      <w:pPr>
        <w:pStyle w:val="Normal0"/>
        <w:numPr>
          <w:ilvl w:val="0"/>
          <w:numId w:val="18"/>
        </w:numPr>
        <w:rPr>
          <w:rFonts w:eastAsia="Calibri"/>
          <w:bCs/>
          <w:sz w:val="20"/>
          <w:szCs w:val="20"/>
          <w:lang w:eastAsia="en-US"/>
        </w:rPr>
      </w:pPr>
      <w:r w:rsidRPr="002F7049">
        <w:rPr>
          <w:rFonts w:eastAsia="Calibri"/>
          <w:b/>
          <w:bCs/>
          <w:sz w:val="20"/>
          <w:szCs w:val="20"/>
          <w:lang w:eastAsia="en-US"/>
        </w:rPr>
        <w:t>Gestión del riesgo:</w:t>
      </w:r>
      <w:r w:rsidRPr="002F7049">
        <w:rPr>
          <w:rFonts w:eastAsia="Calibri"/>
          <w:bCs/>
          <w:sz w:val="20"/>
          <w:szCs w:val="20"/>
          <w:lang w:eastAsia="en-US"/>
        </w:rPr>
        <w:t xml:space="preserve"> contribuyen a orientar intervenciones relacionadas con la prevención y el manejo de condiciones de salud.</w:t>
      </w:r>
    </w:p>
    <w:p w14:paraId="325E5A7E" w14:textId="77777777" w:rsidR="002F7049" w:rsidRPr="002F7049" w:rsidRDefault="002F7049" w:rsidP="00716DEA">
      <w:pPr>
        <w:pStyle w:val="Normal0"/>
        <w:numPr>
          <w:ilvl w:val="0"/>
          <w:numId w:val="18"/>
        </w:numPr>
        <w:rPr>
          <w:rFonts w:eastAsia="Calibri"/>
          <w:bCs/>
          <w:sz w:val="20"/>
          <w:szCs w:val="20"/>
          <w:lang w:eastAsia="en-US"/>
        </w:rPr>
      </w:pPr>
      <w:r w:rsidRPr="002F7049">
        <w:rPr>
          <w:rFonts w:eastAsia="Calibri"/>
          <w:b/>
          <w:bCs/>
          <w:sz w:val="20"/>
          <w:szCs w:val="20"/>
          <w:lang w:eastAsia="en-US"/>
        </w:rPr>
        <w:t>Planeación de la atención:</w:t>
      </w:r>
      <w:r w:rsidRPr="002F7049">
        <w:rPr>
          <w:rFonts w:eastAsia="Calibri"/>
          <w:bCs/>
          <w:sz w:val="20"/>
          <w:szCs w:val="20"/>
          <w:lang w:eastAsia="en-US"/>
        </w:rPr>
        <w:t xml:space="preserve"> permiten relacionar las necesidades identificadas con la organización de los servicios requeridos.</w:t>
      </w:r>
    </w:p>
    <w:p w14:paraId="68C25961" w14:textId="77777777" w:rsidR="002F7049" w:rsidRPr="002F7049" w:rsidRDefault="002F7049" w:rsidP="002F7049">
      <w:pPr>
        <w:pStyle w:val="Normal0"/>
        <w:rPr>
          <w:rFonts w:eastAsia="Calibri"/>
          <w:bCs/>
          <w:sz w:val="20"/>
          <w:szCs w:val="20"/>
          <w:lang w:eastAsia="en-US"/>
        </w:rPr>
      </w:pPr>
    </w:p>
    <w:p w14:paraId="46CA6914" w14:textId="02EBD4A1" w:rsidR="002F7049" w:rsidRDefault="002F7049" w:rsidP="002F7049">
      <w:pPr>
        <w:pStyle w:val="Normal0"/>
        <w:rPr>
          <w:rFonts w:eastAsia="Calibri"/>
          <w:bCs/>
          <w:sz w:val="20"/>
          <w:szCs w:val="20"/>
          <w:lang w:eastAsia="en-US"/>
        </w:rPr>
      </w:pPr>
      <w:r w:rsidRPr="002F7049">
        <w:rPr>
          <w:rFonts w:eastAsia="Calibri"/>
          <w:bCs/>
          <w:sz w:val="20"/>
          <w:szCs w:val="20"/>
          <w:lang w:eastAsia="en-US"/>
        </w:rPr>
        <w:t>En consecuencia, las RIAS constituyen un referente para relacionar las necesidades de la población con las intervenciones y servicios de salud requeridos. En la nota técnica, esta información puede complementar el análisis de la población susceptible, los servicios y tecnologías y las frecuencias de uso que sustentan las proyecciones del acuerdo de voluntades.</w:t>
      </w:r>
    </w:p>
    <w:p w14:paraId="263D9AB0" w14:textId="3E7C3C86" w:rsidR="002F7049" w:rsidRDefault="002F7049" w:rsidP="002F7049">
      <w:pPr>
        <w:pStyle w:val="Normal0"/>
        <w:rPr>
          <w:rFonts w:eastAsia="Calibri"/>
          <w:bCs/>
          <w:sz w:val="20"/>
          <w:szCs w:val="20"/>
          <w:lang w:eastAsia="en-US"/>
        </w:rPr>
      </w:pPr>
    </w:p>
    <w:p w14:paraId="3F2AB7AC" w14:textId="77777777" w:rsidR="00191ABB" w:rsidRPr="00FC3304" w:rsidRDefault="00191ABB" w:rsidP="002F7049">
      <w:pPr>
        <w:pStyle w:val="Normal0"/>
        <w:rPr>
          <w:rFonts w:eastAsia="Calibri"/>
          <w:bCs/>
          <w:sz w:val="20"/>
          <w:szCs w:val="20"/>
          <w:lang w:eastAsia="en-US"/>
        </w:rPr>
      </w:pPr>
    </w:p>
    <w:p w14:paraId="0143E075" w14:textId="3131AE8A" w:rsidR="008C6EC5" w:rsidRDefault="008C6EC5" w:rsidP="009723E7">
      <w:pPr>
        <w:pStyle w:val="Normal0"/>
        <w:numPr>
          <w:ilvl w:val="0"/>
          <w:numId w:val="27"/>
        </w:numPr>
        <w:rPr>
          <w:rFonts w:eastAsia="Calibri"/>
          <w:b/>
          <w:bCs/>
          <w:sz w:val="20"/>
          <w:szCs w:val="20"/>
          <w:lang w:eastAsia="en-US"/>
        </w:rPr>
      </w:pPr>
      <w:r w:rsidRPr="008C6EC5">
        <w:rPr>
          <w:rFonts w:eastAsia="Calibri"/>
          <w:b/>
          <w:bCs/>
          <w:sz w:val="20"/>
          <w:szCs w:val="20"/>
          <w:lang w:eastAsia="en-US"/>
        </w:rPr>
        <w:t>Manuales tarifarios y glosas</w:t>
      </w:r>
    </w:p>
    <w:p w14:paraId="5A01C085" w14:textId="104386BC" w:rsidR="000744B5" w:rsidRDefault="000744B5" w:rsidP="000744B5">
      <w:pPr>
        <w:pStyle w:val="Normal0"/>
        <w:rPr>
          <w:rFonts w:eastAsia="Calibri"/>
          <w:b/>
          <w:bCs/>
          <w:sz w:val="20"/>
          <w:szCs w:val="20"/>
          <w:lang w:eastAsia="en-US"/>
        </w:rPr>
      </w:pPr>
    </w:p>
    <w:p w14:paraId="309C62AB" w14:textId="77777777" w:rsidR="000744B5" w:rsidRPr="000744B5" w:rsidRDefault="000744B5" w:rsidP="000744B5">
      <w:pPr>
        <w:pStyle w:val="Normal0"/>
        <w:rPr>
          <w:rFonts w:eastAsia="Calibri"/>
          <w:bCs/>
          <w:sz w:val="20"/>
          <w:szCs w:val="20"/>
          <w:lang w:eastAsia="en-US"/>
        </w:rPr>
      </w:pPr>
      <w:r w:rsidRPr="000744B5">
        <w:rPr>
          <w:rFonts w:eastAsia="Calibri"/>
          <w:bCs/>
          <w:sz w:val="20"/>
          <w:szCs w:val="20"/>
          <w:lang w:eastAsia="en-US"/>
        </w:rPr>
        <w:t>Los manuales tarifarios y las glosas se relacionan con los procesos económicos y administrativos asociados a la prestación y al reconocimiento de los servicios y tecnologías en salud. Su análisis permite comprender cómo se establecen los valores de referencia para los servicios contratados y cómo se gestionan las diferencias o inconsistencias identificadas durante los procesos de facturación y auditoría.</w:t>
      </w:r>
    </w:p>
    <w:p w14:paraId="7A81F696" w14:textId="77777777" w:rsidR="000744B5" w:rsidRPr="000744B5" w:rsidRDefault="000744B5" w:rsidP="000744B5">
      <w:pPr>
        <w:pStyle w:val="Normal0"/>
        <w:rPr>
          <w:rFonts w:eastAsia="Calibri"/>
          <w:bCs/>
          <w:sz w:val="20"/>
          <w:szCs w:val="20"/>
          <w:lang w:eastAsia="en-US"/>
        </w:rPr>
      </w:pPr>
    </w:p>
    <w:p w14:paraId="66DDC8BC" w14:textId="77777777" w:rsidR="000744B5" w:rsidRPr="000744B5" w:rsidRDefault="000744B5" w:rsidP="000744B5">
      <w:pPr>
        <w:pStyle w:val="Normal0"/>
        <w:rPr>
          <w:rFonts w:eastAsia="Calibri"/>
          <w:bCs/>
          <w:sz w:val="20"/>
          <w:szCs w:val="20"/>
          <w:lang w:eastAsia="en-US"/>
        </w:rPr>
      </w:pPr>
      <w:r w:rsidRPr="000744B5">
        <w:rPr>
          <w:rFonts w:eastAsia="Calibri"/>
          <w:bCs/>
          <w:sz w:val="20"/>
          <w:szCs w:val="20"/>
          <w:lang w:eastAsia="en-US"/>
        </w:rPr>
        <w:t>En el contexto de los acuerdos de voluntades, las partes deben establecer las condiciones económicas bajo las cuales se reconocerán y pagarán los servicios y tecnologías contratados. Para ello, pueden utilizar diferentes referentes tarifarios, de acuerdo con la modalidad de contratación y las condiciones pactadas.</w:t>
      </w:r>
    </w:p>
    <w:p w14:paraId="656AB208" w14:textId="77777777" w:rsidR="000744B5" w:rsidRPr="000744B5" w:rsidRDefault="000744B5" w:rsidP="000744B5">
      <w:pPr>
        <w:pStyle w:val="Normal0"/>
        <w:rPr>
          <w:rFonts w:eastAsia="Calibri"/>
          <w:bCs/>
          <w:sz w:val="20"/>
          <w:szCs w:val="20"/>
          <w:lang w:eastAsia="en-US"/>
        </w:rPr>
      </w:pPr>
    </w:p>
    <w:p w14:paraId="493CBFA9" w14:textId="77777777" w:rsidR="000744B5" w:rsidRPr="000744B5" w:rsidRDefault="000744B5" w:rsidP="000744B5">
      <w:pPr>
        <w:pStyle w:val="Normal0"/>
        <w:rPr>
          <w:rFonts w:eastAsia="Calibri"/>
          <w:bCs/>
          <w:sz w:val="20"/>
          <w:szCs w:val="20"/>
          <w:lang w:eastAsia="en-US"/>
        </w:rPr>
      </w:pPr>
      <w:r w:rsidRPr="000744B5">
        <w:rPr>
          <w:rFonts w:eastAsia="Calibri"/>
          <w:bCs/>
          <w:sz w:val="20"/>
          <w:szCs w:val="20"/>
          <w:lang w:eastAsia="en-US"/>
        </w:rPr>
        <w:t>Los manuales tarifarios contienen referencias para la identificación y valoración económica de determinados servicios y procedimientos. Su utilización debe relacionarse con las condiciones establecidas en el acuerdo de voluntades y con los servicios y tecnologías que hacen parte de este.</w:t>
      </w:r>
    </w:p>
    <w:p w14:paraId="3A919FAB" w14:textId="77777777" w:rsidR="000744B5" w:rsidRPr="000744B5" w:rsidRDefault="000744B5" w:rsidP="000744B5">
      <w:pPr>
        <w:pStyle w:val="Normal0"/>
        <w:rPr>
          <w:rFonts w:eastAsia="Calibri"/>
          <w:bCs/>
          <w:sz w:val="20"/>
          <w:szCs w:val="20"/>
          <w:lang w:eastAsia="en-US"/>
        </w:rPr>
      </w:pPr>
    </w:p>
    <w:p w14:paraId="7FA744D3" w14:textId="77777777" w:rsidR="000744B5" w:rsidRPr="000744B5" w:rsidRDefault="000744B5" w:rsidP="000744B5">
      <w:pPr>
        <w:pStyle w:val="Normal0"/>
        <w:rPr>
          <w:rFonts w:eastAsia="Calibri"/>
          <w:bCs/>
          <w:sz w:val="20"/>
          <w:szCs w:val="20"/>
          <w:lang w:eastAsia="en-US"/>
        </w:rPr>
      </w:pPr>
      <w:r w:rsidRPr="000744B5">
        <w:rPr>
          <w:rFonts w:eastAsia="Calibri"/>
          <w:bCs/>
          <w:sz w:val="20"/>
          <w:szCs w:val="20"/>
          <w:lang w:eastAsia="en-US"/>
        </w:rPr>
        <w:t xml:space="preserve">Por otra parte, las glosas corresponden a objeciones o diferencias identificadas frente a las facturas presentadas por los servicios y tecnologías en salud. Estas pueden estar relacionadas con aspectos </w:t>
      </w:r>
      <w:r w:rsidRPr="000744B5">
        <w:rPr>
          <w:rFonts w:eastAsia="Calibri"/>
          <w:bCs/>
          <w:sz w:val="20"/>
          <w:szCs w:val="20"/>
          <w:lang w:eastAsia="en-US"/>
        </w:rPr>
        <w:lastRenderedPageBreak/>
        <w:t>administrativos, de prestación, facturación o soportes, y requieren procesos de revisión, respuesta y gestión entre las partes.</w:t>
      </w:r>
    </w:p>
    <w:p w14:paraId="4F084D76" w14:textId="77777777" w:rsidR="000744B5" w:rsidRPr="000744B5" w:rsidRDefault="000744B5" w:rsidP="000744B5">
      <w:pPr>
        <w:pStyle w:val="Normal0"/>
        <w:rPr>
          <w:rFonts w:eastAsia="Calibri"/>
          <w:bCs/>
          <w:sz w:val="20"/>
          <w:szCs w:val="20"/>
          <w:lang w:eastAsia="en-US"/>
        </w:rPr>
      </w:pPr>
    </w:p>
    <w:p w14:paraId="0C90769F" w14:textId="77777777" w:rsidR="000744B5" w:rsidRPr="000744B5" w:rsidRDefault="000744B5" w:rsidP="000744B5">
      <w:pPr>
        <w:pStyle w:val="Normal0"/>
        <w:rPr>
          <w:rFonts w:eastAsia="Calibri"/>
          <w:bCs/>
          <w:sz w:val="20"/>
          <w:szCs w:val="20"/>
          <w:lang w:eastAsia="en-US"/>
        </w:rPr>
      </w:pPr>
      <w:r w:rsidRPr="000744B5">
        <w:rPr>
          <w:rFonts w:eastAsia="Calibri"/>
          <w:bCs/>
          <w:sz w:val="20"/>
          <w:szCs w:val="20"/>
          <w:lang w:eastAsia="en-US"/>
        </w:rPr>
        <w:t>En este contexto, ambos elementos guardan relación con la información utilizada en la construcción y seguimiento de la nota técnica. Las tarifas permiten establecer los valores asociados a los servicios y tecnologías considerados, mientras que el análisis de las glosas puede aportar información sobre inconsistencias o situaciones que afectan el reconocimiento y pago de los servicios.</w:t>
      </w:r>
    </w:p>
    <w:p w14:paraId="1D236192" w14:textId="77777777" w:rsidR="000744B5" w:rsidRPr="000744B5" w:rsidRDefault="000744B5" w:rsidP="000744B5">
      <w:pPr>
        <w:pStyle w:val="Normal0"/>
        <w:rPr>
          <w:rFonts w:eastAsia="Calibri"/>
          <w:bCs/>
          <w:sz w:val="20"/>
          <w:szCs w:val="20"/>
          <w:lang w:eastAsia="en-US"/>
        </w:rPr>
      </w:pPr>
    </w:p>
    <w:p w14:paraId="7162CD2B" w14:textId="77777777" w:rsidR="000744B5" w:rsidRPr="000744B5" w:rsidRDefault="000744B5" w:rsidP="000744B5">
      <w:pPr>
        <w:pStyle w:val="Normal0"/>
        <w:rPr>
          <w:rFonts w:eastAsia="Calibri"/>
          <w:bCs/>
          <w:sz w:val="20"/>
          <w:szCs w:val="20"/>
          <w:lang w:eastAsia="en-US"/>
        </w:rPr>
      </w:pPr>
      <w:r w:rsidRPr="000744B5">
        <w:rPr>
          <w:rFonts w:eastAsia="Calibri"/>
          <w:bCs/>
          <w:sz w:val="20"/>
          <w:szCs w:val="20"/>
          <w:lang w:eastAsia="en-US"/>
        </w:rPr>
        <w:t>Este apartado aborda los siguientes temas:</w:t>
      </w:r>
    </w:p>
    <w:p w14:paraId="7665CE1F" w14:textId="77777777" w:rsidR="000744B5" w:rsidRPr="000744B5" w:rsidRDefault="000744B5" w:rsidP="000744B5">
      <w:pPr>
        <w:pStyle w:val="Normal0"/>
        <w:rPr>
          <w:rFonts w:eastAsia="Calibri"/>
          <w:bCs/>
          <w:sz w:val="20"/>
          <w:szCs w:val="20"/>
          <w:lang w:eastAsia="en-US"/>
        </w:rPr>
      </w:pPr>
    </w:p>
    <w:p w14:paraId="3AA183DB" w14:textId="77777777" w:rsidR="000744B5" w:rsidRPr="000744B5" w:rsidRDefault="000744B5" w:rsidP="00716DEA">
      <w:pPr>
        <w:pStyle w:val="Normal0"/>
        <w:numPr>
          <w:ilvl w:val="0"/>
          <w:numId w:val="19"/>
        </w:numPr>
        <w:rPr>
          <w:rFonts w:eastAsia="Calibri"/>
          <w:bCs/>
          <w:sz w:val="20"/>
          <w:szCs w:val="20"/>
          <w:lang w:eastAsia="en-US"/>
        </w:rPr>
      </w:pPr>
      <w:r w:rsidRPr="000744B5">
        <w:rPr>
          <w:rFonts w:eastAsia="Calibri"/>
          <w:bCs/>
          <w:sz w:val="20"/>
          <w:szCs w:val="20"/>
          <w:lang w:eastAsia="en-US"/>
        </w:rPr>
        <w:t>Tipos de tarifas, de acuerdo con los referentes utilizados para establecer los valores de los servicios y tecnologías.</w:t>
      </w:r>
    </w:p>
    <w:p w14:paraId="614C477E" w14:textId="77777777" w:rsidR="000744B5" w:rsidRPr="000744B5" w:rsidRDefault="000744B5" w:rsidP="00716DEA">
      <w:pPr>
        <w:pStyle w:val="Normal0"/>
        <w:numPr>
          <w:ilvl w:val="0"/>
          <w:numId w:val="19"/>
        </w:numPr>
        <w:rPr>
          <w:rFonts w:eastAsia="Calibri"/>
          <w:bCs/>
          <w:sz w:val="20"/>
          <w:szCs w:val="20"/>
          <w:lang w:eastAsia="en-US"/>
        </w:rPr>
      </w:pPr>
      <w:r w:rsidRPr="000744B5">
        <w:rPr>
          <w:rFonts w:eastAsia="Calibri"/>
          <w:bCs/>
          <w:sz w:val="20"/>
          <w:szCs w:val="20"/>
          <w:lang w:eastAsia="en-US"/>
        </w:rPr>
        <w:t>Lineamientos normativos de los manuales tarifarios, que permiten comprender el marco aplicable a su utilización en los procesos de contratación.</w:t>
      </w:r>
    </w:p>
    <w:p w14:paraId="465F8BEF" w14:textId="77777777" w:rsidR="000744B5" w:rsidRPr="000744B5" w:rsidRDefault="000744B5" w:rsidP="00716DEA">
      <w:pPr>
        <w:pStyle w:val="Normal0"/>
        <w:numPr>
          <w:ilvl w:val="0"/>
          <w:numId w:val="19"/>
        </w:numPr>
        <w:rPr>
          <w:rFonts w:eastAsia="Calibri"/>
          <w:bCs/>
          <w:sz w:val="20"/>
          <w:szCs w:val="20"/>
          <w:lang w:eastAsia="en-US"/>
        </w:rPr>
      </w:pPr>
      <w:r w:rsidRPr="000744B5">
        <w:rPr>
          <w:rFonts w:eastAsia="Calibri"/>
          <w:bCs/>
          <w:sz w:val="20"/>
          <w:szCs w:val="20"/>
          <w:lang w:eastAsia="en-US"/>
        </w:rPr>
        <w:t>Glosas en la contratación de servicios de salud, sus características y su relación con los procesos de facturación, auditoría y reconocimiento de los servicios prestados.</w:t>
      </w:r>
    </w:p>
    <w:p w14:paraId="5A881D86" w14:textId="77777777" w:rsidR="000744B5" w:rsidRPr="000744B5" w:rsidRDefault="000744B5" w:rsidP="000744B5">
      <w:pPr>
        <w:pStyle w:val="Normal0"/>
        <w:rPr>
          <w:rFonts w:eastAsia="Calibri"/>
          <w:bCs/>
          <w:sz w:val="20"/>
          <w:szCs w:val="20"/>
          <w:lang w:eastAsia="en-US"/>
        </w:rPr>
      </w:pPr>
    </w:p>
    <w:p w14:paraId="09949AAA" w14:textId="32E18562" w:rsidR="000744B5" w:rsidRPr="000744B5" w:rsidRDefault="000744B5" w:rsidP="000744B5">
      <w:pPr>
        <w:pStyle w:val="Normal0"/>
        <w:rPr>
          <w:rFonts w:eastAsia="Calibri"/>
          <w:bCs/>
          <w:sz w:val="20"/>
          <w:szCs w:val="20"/>
          <w:lang w:eastAsia="en-US"/>
        </w:rPr>
      </w:pPr>
      <w:r w:rsidRPr="000744B5">
        <w:rPr>
          <w:rFonts w:eastAsia="Calibri"/>
          <w:bCs/>
          <w:sz w:val="20"/>
          <w:szCs w:val="20"/>
          <w:lang w:eastAsia="en-US"/>
        </w:rPr>
        <w:t>El análisis conjunto de estos elementos permite relacionar las condiciones económicas de la contratación con la prestación efectiva de los servicios y tecnologías y con los procesos de reconocimiento y pago derivados de los acuerdos de voluntades.</w:t>
      </w:r>
    </w:p>
    <w:p w14:paraId="442C3087" w14:textId="77777777" w:rsidR="000744B5" w:rsidRPr="008C6EC5" w:rsidRDefault="000744B5" w:rsidP="000744B5">
      <w:pPr>
        <w:pStyle w:val="Normal0"/>
        <w:rPr>
          <w:rFonts w:eastAsia="Calibri"/>
          <w:b/>
          <w:bCs/>
          <w:sz w:val="20"/>
          <w:szCs w:val="20"/>
          <w:lang w:eastAsia="en-US"/>
        </w:rPr>
      </w:pPr>
    </w:p>
    <w:p w14:paraId="24068760" w14:textId="5054A4F1" w:rsidR="008C6EC5" w:rsidRPr="008067B6" w:rsidRDefault="008C6EC5" w:rsidP="009723E7">
      <w:pPr>
        <w:pStyle w:val="Normal0"/>
        <w:numPr>
          <w:ilvl w:val="1"/>
          <w:numId w:val="27"/>
        </w:numPr>
        <w:rPr>
          <w:rFonts w:eastAsia="Calibri"/>
          <w:b/>
          <w:bCs/>
          <w:sz w:val="20"/>
          <w:szCs w:val="20"/>
          <w:lang w:eastAsia="en-US"/>
        </w:rPr>
      </w:pPr>
      <w:r w:rsidRPr="008067B6">
        <w:rPr>
          <w:rFonts w:eastAsia="Calibri"/>
          <w:b/>
          <w:bCs/>
          <w:sz w:val="20"/>
          <w:szCs w:val="20"/>
          <w:lang w:eastAsia="en-US"/>
        </w:rPr>
        <w:t>Tipos de tarifas</w:t>
      </w:r>
    </w:p>
    <w:p w14:paraId="5A4884F2" w14:textId="2B211820" w:rsidR="00BB6D7E" w:rsidRDefault="00BB6D7E" w:rsidP="00BB6D7E">
      <w:pPr>
        <w:pStyle w:val="Normal0"/>
        <w:rPr>
          <w:rFonts w:eastAsia="Calibri"/>
          <w:bCs/>
          <w:sz w:val="20"/>
          <w:szCs w:val="20"/>
          <w:lang w:eastAsia="en-US"/>
        </w:rPr>
      </w:pPr>
    </w:p>
    <w:p w14:paraId="2BBB2FDF" w14:textId="77777777" w:rsidR="008067B6" w:rsidRPr="008067B6" w:rsidRDefault="008067B6" w:rsidP="008067B6">
      <w:pPr>
        <w:pStyle w:val="Normal0"/>
        <w:rPr>
          <w:rFonts w:eastAsia="Calibri"/>
          <w:bCs/>
          <w:sz w:val="20"/>
          <w:szCs w:val="20"/>
          <w:lang w:eastAsia="en-US"/>
        </w:rPr>
      </w:pPr>
      <w:r w:rsidRPr="008067B6">
        <w:rPr>
          <w:rFonts w:eastAsia="Calibri"/>
          <w:bCs/>
          <w:sz w:val="20"/>
          <w:szCs w:val="20"/>
          <w:lang w:eastAsia="en-US"/>
        </w:rPr>
        <w:t>Los manuales tarifarios son referentes utilizados para establecer o acordar el valor económico de los servicios y tecnologías en salud. En los acuerdos de voluntades, las partes pueden definir las condiciones económicas de la contratación y establecer los referentes tarifarios que utilizarán para reconocer los servicios contratados.</w:t>
      </w:r>
    </w:p>
    <w:p w14:paraId="472846C4" w14:textId="77777777" w:rsidR="008067B6" w:rsidRPr="008067B6" w:rsidRDefault="008067B6" w:rsidP="008067B6">
      <w:pPr>
        <w:pStyle w:val="Normal0"/>
        <w:rPr>
          <w:rFonts w:eastAsia="Calibri"/>
          <w:bCs/>
          <w:sz w:val="20"/>
          <w:szCs w:val="20"/>
          <w:lang w:eastAsia="en-US"/>
        </w:rPr>
      </w:pPr>
    </w:p>
    <w:p w14:paraId="6F2FB55A" w14:textId="77777777" w:rsidR="008067B6" w:rsidRPr="008067B6" w:rsidRDefault="008067B6" w:rsidP="008067B6">
      <w:pPr>
        <w:pStyle w:val="Normal0"/>
        <w:rPr>
          <w:rFonts w:eastAsia="Calibri"/>
          <w:bCs/>
          <w:sz w:val="20"/>
          <w:szCs w:val="20"/>
          <w:lang w:eastAsia="en-US"/>
        </w:rPr>
      </w:pPr>
      <w:r w:rsidRPr="008067B6">
        <w:rPr>
          <w:rFonts w:eastAsia="Calibri"/>
          <w:bCs/>
          <w:sz w:val="20"/>
          <w:szCs w:val="20"/>
          <w:lang w:eastAsia="en-US"/>
        </w:rPr>
        <w:t>En Colombia existen diferentes referentes tarifarios que pueden utilizarse en los procesos de contratación en salud. Entre los más conocidos se encuentran el Manual Tarifario SOAT y el Manual Tarifario ISS 2001. También pueden establecerse tarifas propias mediante acuerdos entre las partes, de acuerdo con las condiciones definidas en el acuerdo de voluntades.</w:t>
      </w:r>
    </w:p>
    <w:p w14:paraId="144D29F8" w14:textId="77777777" w:rsidR="008067B6" w:rsidRPr="008067B6" w:rsidRDefault="008067B6" w:rsidP="008067B6">
      <w:pPr>
        <w:pStyle w:val="Normal0"/>
        <w:rPr>
          <w:rFonts w:eastAsia="Calibri"/>
          <w:bCs/>
          <w:sz w:val="20"/>
          <w:szCs w:val="20"/>
          <w:lang w:eastAsia="en-US"/>
        </w:rPr>
      </w:pPr>
    </w:p>
    <w:p w14:paraId="4441073B" w14:textId="6ED85CC4" w:rsidR="008067B6" w:rsidRDefault="008067B6" w:rsidP="008067B6">
      <w:pPr>
        <w:pStyle w:val="Normal0"/>
        <w:rPr>
          <w:rFonts w:eastAsia="Calibri"/>
          <w:bCs/>
          <w:sz w:val="20"/>
          <w:szCs w:val="20"/>
          <w:lang w:eastAsia="en-US"/>
        </w:rPr>
      </w:pPr>
      <w:r>
        <w:rPr>
          <w:rFonts w:eastAsia="Calibri"/>
          <w:bCs/>
          <w:noProof/>
          <w:sz w:val="20"/>
          <w:szCs w:val="20"/>
          <w:lang w:val="en-US" w:eastAsia="en-US"/>
        </w:rPr>
        <w:drawing>
          <wp:inline distT="0" distB="0" distL="0" distR="0" wp14:anchorId="5DB192C6" wp14:editId="6062F8D6">
            <wp:extent cx="6435090" cy="2803584"/>
            <wp:effectExtent l="0" t="19050" r="60960" b="0"/>
            <wp:docPr id="15" name="Diagrama 1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3" r:lo="rId44" r:qs="rId45" r:cs="rId46"/>
              </a:graphicData>
            </a:graphic>
          </wp:inline>
        </w:drawing>
      </w:r>
    </w:p>
    <w:p w14:paraId="7D864EF1" w14:textId="77777777" w:rsidR="008067B6" w:rsidRPr="008067B6" w:rsidRDefault="008067B6" w:rsidP="008067B6">
      <w:pPr>
        <w:pStyle w:val="Normal0"/>
        <w:rPr>
          <w:rFonts w:eastAsia="Calibri"/>
          <w:bCs/>
          <w:sz w:val="20"/>
          <w:szCs w:val="20"/>
          <w:lang w:eastAsia="en-US"/>
        </w:rPr>
      </w:pPr>
    </w:p>
    <w:p w14:paraId="248F6F8F" w14:textId="77777777" w:rsidR="008067B6" w:rsidRPr="008067B6" w:rsidRDefault="008067B6" w:rsidP="008067B6">
      <w:pPr>
        <w:pStyle w:val="Normal0"/>
        <w:rPr>
          <w:rFonts w:eastAsia="Calibri"/>
          <w:bCs/>
          <w:sz w:val="20"/>
          <w:szCs w:val="20"/>
          <w:lang w:eastAsia="en-US"/>
        </w:rPr>
      </w:pPr>
      <w:r w:rsidRPr="008067B6">
        <w:rPr>
          <w:rFonts w:eastAsia="Calibri"/>
          <w:bCs/>
          <w:sz w:val="20"/>
          <w:szCs w:val="20"/>
          <w:lang w:eastAsia="en-US"/>
        </w:rPr>
        <w:t>En aquellos acuerdos de voluntades en los que no exista una tarifa de aplicación obligatoria para el servicio o tecnología correspondiente, las partes pueden establecer los valores que reconocerán, de acuerdo con las condiciones de contratación y el referente tarifario que hayan definido.</w:t>
      </w:r>
    </w:p>
    <w:p w14:paraId="2DB78C1B" w14:textId="77777777" w:rsidR="008067B6" w:rsidRPr="008067B6" w:rsidRDefault="008067B6" w:rsidP="008067B6">
      <w:pPr>
        <w:pStyle w:val="Normal0"/>
        <w:rPr>
          <w:rFonts w:eastAsia="Calibri"/>
          <w:bCs/>
          <w:sz w:val="20"/>
          <w:szCs w:val="20"/>
          <w:lang w:eastAsia="en-US"/>
        </w:rPr>
      </w:pPr>
    </w:p>
    <w:p w14:paraId="7586A266" w14:textId="77777777" w:rsidR="008067B6" w:rsidRPr="008067B6" w:rsidRDefault="008067B6" w:rsidP="008067B6">
      <w:pPr>
        <w:pStyle w:val="Normal0"/>
        <w:rPr>
          <w:rFonts w:eastAsia="Calibri"/>
          <w:bCs/>
          <w:sz w:val="20"/>
          <w:szCs w:val="20"/>
          <w:lang w:eastAsia="en-US"/>
        </w:rPr>
      </w:pPr>
      <w:r w:rsidRPr="008067B6">
        <w:rPr>
          <w:rFonts w:eastAsia="Calibri"/>
          <w:bCs/>
          <w:sz w:val="20"/>
          <w:szCs w:val="20"/>
          <w:lang w:eastAsia="en-US"/>
        </w:rPr>
        <w:t>Por esta razón, antes de utilizar una tarifa para construir la nota técnica es necesario identificar qué referente tarifario se utilizará, cuáles son las condiciones pactadas y qué servicios y tecnologías están incluidos en el acuerdo de voluntades.</w:t>
      </w:r>
    </w:p>
    <w:p w14:paraId="491124E8" w14:textId="77777777" w:rsidR="008067B6" w:rsidRPr="008067B6" w:rsidRDefault="008067B6" w:rsidP="008067B6">
      <w:pPr>
        <w:pStyle w:val="Normal0"/>
        <w:rPr>
          <w:rFonts w:eastAsia="Calibri"/>
          <w:bCs/>
          <w:sz w:val="20"/>
          <w:szCs w:val="20"/>
          <w:lang w:eastAsia="en-US"/>
        </w:rPr>
      </w:pPr>
    </w:p>
    <w:p w14:paraId="31C1A9E1" w14:textId="77777777" w:rsidR="008067B6" w:rsidRPr="008067B6" w:rsidRDefault="008067B6" w:rsidP="008067B6">
      <w:pPr>
        <w:pStyle w:val="Normal0"/>
        <w:rPr>
          <w:rFonts w:eastAsia="Calibri"/>
          <w:bCs/>
          <w:sz w:val="20"/>
          <w:szCs w:val="20"/>
          <w:lang w:eastAsia="en-US"/>
        </w:rPr>
      </w:pPr>
      <w:r w:rsidRPr="008067B6">
        <w:rPr>
          <w:rFonts w:eastAsia="Calibri"/>
          <w:bCs/>
          <w:sz w:val="20"/>
          <w:szCs w:val="20"/>
          <w:lang w:eastAsia="en-US"/>
        </w:rPr>
        <w:t>En la construcción de la nota técnica, esta definición es importante porque los valores tarifarios se relacionan con las frecuencias de uso y con la población objeto. La combinación de estos elementos permite estimar los costos asociados a los servicios y tecnologías que serán considerados en el acuerdo.</w:t>
      </w:r>
    </w:p>
    <w:p w14:paraId="0ED36986" w14:textId="0F285C94" w:rsidR="008067B6" w:rsidRDefault="008067B6" w:rsidP="008067B6">
      <w:pPr>
        <w:pStyle w:val="Normal0"/>
        <w:rPr>
          <w:rFonts w:eastAsia="Calibri"/>
          <w:bCs/>
          <w:sz w:val="20"/>
          <w:szCs w:val="20"/>
          <w:lang w:eastAsia="en-US"/>
        </w:rPr>
      </w:pPr>
    </w:p>
    <w:p w14:paraId="62399432" w14:textId="750C81FD" w:rsidR="008067B6" w:rsidRDefault="008067B6" w:rsidP="008067B6">
      <w:pPr>
        <w:pStyle w:val="Normal0"/>
        <w:jc w:val="center"/>
        <w:rPr>
          <w:rFonts w:eastAsia="Calibri"/>
          <w:bCs/>
          <w:sz w:val="20"/>
          <w:szCs w:val="20"/>
          <w:lang w:eastAsia="en-US"/>
        </w:rPr>
      </w:pPr>
      <w:r w:rsidRPr="00CB52D1">
        <w:rPr>
          <w:rFonts w:eastAsia="Calibri"/>
          <w:bCs/>
          <w:noProof/>
          <w:sz w:val="20"/>
          <w:szCs w:val="20"/>
          <w:lang w:val="en-US" w:eastAsia="en-US"/>
        </w:rPr>
        <mc:AlternateContent>
          <mc:Choice Requires="wps">
            <w:drawing>
              <wp:inline distT="0" distB="0" distL="0" distR="0" wp14:anchorId="7BE3ABFC" wp14:editId="6849E419">
                <wp:extent cx="5762625" cy="1404620"/>
                <wp:effectExtent l="0" t="0" r="9525" b="8890"/>
                <wp:docPr id="16"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62625" cy="1404620"/>
                        </a:xfrm>
                        <a:prstGeom prst="rect">
                          <a:avLst/>
                        </a:prstGeom>
                        <a:solidFill>
                          <a:schemeClr val="accent1">
                            <a:lumMod val="40000"/>
                            <a:lumOff val="60000"/>
                          </a:schemeClr>
                        </a:solidFill>
                        <a:ln w="9525">
                          <a:noFill/>
                          <a:miter lim="800000"/>
                          <a:headEnd/>
                          <a:tailEnd/>
                        </a:ln>
                      </wps:spPr>
                      <wps:txbx>
                        <w:txbxContent>
                          <w:p w14:paraId="55F72093" w14:textId="289C4C50" w:rsidR="00877F3E" w:rsidRPr="00206F88" w:rsidRDefault="00877F3E" w:rsidP="008067B6">
                            <w:pPr>
                              <w:pStyle w:val="Normal0"/>
                              <w:rPr>
                                <w:rFonts w:eastAsia="Calibri"/>
                                <w:bCs/>
                                <w:sz w:val="20"/>
                                <w:szCs w:val="20"/>
                                <w:lang w:eastAsia="en-US"/>
                              </w:rPr>
                            </w:pPr>
                            <w:r w:rsidRPr="002F7049">
                              <w:rPr>
                                <w:rFonts w:eastAsia="Calibri"/>
                                <w:bCs/>
                                <w:sz w:val="20"/>
                                <w:szCs w:val="20"/>
                                <w:lang w:eastAsia="en-US"/>
                              </w:rPr>
                              <w:t xml:space="preserve">Por ejemplo, </w:t>
                            </w:r>
                            <w:r w:rsidRPr="008067B6">
                              <w:rPr>
                                <w:rFonts w:eastAsia="Calibri"/>
                                <w:bCs/>
                                <w:sz w:val="20"/>
                                <w:szCs w:val="20"/>
                                <w:lang w:eastAsia="en-US"/>
                              </w:rPr>
                              <w:t>si un acuerdo de voluntades establece como referente una tarifa determinada para un procedimiento y la nota técnica proyecta una frecuencia de utilización para la población objeto, el valor tarifario y la frecuencia estimada constituyen elementos para calcular el costo esperado de ese procedimiento durante el periodo de contratación.</w:t>
                            </w:r>
                          </w:p>
                        </w:txbxContent>
                      </wps:txbx>
                      <wps:bodyPr rot="0" vert="horz" wrap="square" lIns="91440" tIns="45720" rIns="91440" bIns="45720" anchor="t" anchorCtr="0">
                        <a:spAutoFit/>
                      </wps:bodyPr>
                    </wps:wsp>
                  </a:graphicData>
                </a:graphic>
              </wp:inline>
            </w:drawing>
          </mc:Choice>
          <mc:Fallback>
            <w:pict>
              <v:shape w14:anchorId="7BE3ABFC" id="_x0000_s1037" type="#_x0000_t202" style="width:453.75pt;height:110.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" fillcolor="#b8cce4 [1300]" stroked="f">
                <v:textbox style="mso-fit-shape-to-text:t">
                  <w:txbxContent>
                    <w:p w14:paraId="55F72093" w14:textId="289C4C50" w:rsidR="00877F3E" w:rsidRPr="00206F88" w:rsidRDefault="00877F3E" w:rsidP="008067B6">
                      <w:pPr>
                        <w:pStyle w:val="Normal0"/>
                        <w:rPr>
                          <w:rFonts w:eastAsia="Calibri"/>
                          <w:bCs/>
                          <w:sz w:val="20"/>
                          <w:szCs w:val="20"/>
                          <w:lang w:eastAsia="en-US"/>
                        </w:rPr>
                      </w:pPr>
                      <w:r w:rsidRPr="002F7049">
                        <w:rPr>
                          <w:rFonts w:eastAsia="Calibri"/>
                          <w:bCs/>
                          <w:sz w:val="20"/>
                          <w:szCs w:val="20"/>
                          <w:lang w:eastAsia="en-US"/>
                        </w:rPr>
                        <w:t xml:space="preserve">Por ejemplo, </w:t>
                      </w:r>
                      <w:r w:rsidRPr="008067B6">
                        <w:rPr>
                          <w:rFonts w:eastAsia="Calibri"/>
                          <w:bCs/>
                          <w:sz w:val="20"/>
                          <w:szCs w:val="20"/>
                          <w:lang w:eastAsia="en-US"/>
                        </w:rPr>
                        <w:t>si un acuerdo de voluntades establece como referente una tarifa determinada para un procedimiento y la nota técnica proyecta una frecuencia de utilización para la población objeto, el valor tarifario y la frecuencia estimada constituyen elementos para calcular el costo esperado de ese procedimiento durante el periodo de contratación.</w:t>
                      </w:r>
                    </w:p>
                  </w:txbxContent>
                </v:textbox>
                <w10:anchorlock/>
              </v:shape>
            </w:pict>
          </mc:Fallback>
        </mc:AlternateContent>
      </w:r>
    </w:p>
    <w:p w14:paraId="0C38C55A" w14:textId="77777777" w:rsidR="008067B6" w:rsidRPr="008C6EC5" w:rsidRDefault="008067B6" w:rsidP="00BB6D7E">
      <w:pPr>
        <w:pStyle w:val="Normal0"/>
        <w:rPr>
          <w:rFonts w:eastAsia="Calibri"/>
          <w:bCs/>
          <w:sz w:val="20"/>
          <w:szCs w:val="20"/>
          <w:lang w:eastAsia="en-US"/>
        </w:rPr>
      </w:pPr>
    </w:p>
    <w:p w14:paraId="2984416C" w14:textId="3942521E" w:rsidR="008C6EC5" w:rsidRPr="00877F3E" w:rsidRDefault="008C6EC5" w:rsidP="009723E7">
      <w:pPr>
        <w:pStyle w:val="Normal0"/>
        <w:numPr>
          <w:ilvl w:val="1"/>
          <w:numId w:val="27"/>
        </w:numPr>
        <w:rPr>
          <w:rFonts w:eastAsia="Calibri"/>
          <w:b/>
          <w:bCs/>
          <w:sz w:val="20"/>
          <w:szCs w:val="20"/>
          <w:lang w:eastAsia="en-US"/>
        </w:rPr>
      </w:pPr>
      <w:r w:rsidRPr="00877F3E">
        <w:rPr>
          <w:rFonts w:eastAsia="Calibri"/>
          <w:b/>
          <w:bCs/>
          <w:sz w:val="20"/>
          <w:szCs w:val="20"/>
          <w:lang w:eastAsia="en-US"/>
        </w:rPr>
        <w:t>Lineamientos normativos de los manuales tarifarios</w:t>
      </w:r>
    </w:p>
    <w:p w14:paraId="40552536" w14:textId="1D815A11" w:rsidR="00877F3E" w:rsidRDefault="00877F3E" w:rsidP="00877F3E">
      <w:pPr>
        <w:pStyle w:val="Normal0"/>
        <w:rPr>
          <w:rFonts w:eastAsia="Calibri"/>
          <w:bCs/>
          <w:sz w:val="20"/>
          <w:szCs w:val="20"/>
          <w:lang w:eastAsia="en-US"/>
        </w:rPr>
      </w:pPr>
    </w:p>
    <w:p w14:paraId="7A5C5FC0" w14:textId="77777777" w:rsidR="00877F3E" w:rsidRPr="00877F3E" w:rsidRDefault="00877F3E" w:rsidP="00877F3E">
      <w:pPr>
        <w:pStyle w:val="Normal0"/>
        <w:rPr>
          <w:rFonts w:eastAsia="Calibri"/>
          <w:bCs/>
          <w:sz w:val="20"/>
          <w:szCs w:val="20"/>
          <w:lang w:eastAsia="en-US"/>
        </w:rPr>
      </w:pPr>
      <w:r w:rsidRPr="00877F3E">
        <w:rPr>
          <w:rFonts w:eastAsia="Calibri"/>
          <w:bCs/>
          <w:sz w:val="20"/>
          <w:szCs w:val="20"/>
          <w:lang w:eastAsia="en-US"/>
        </w:rPr>
        <w:t>Los manuales tarifarios hacen parte de los referentes utilizados para establecer los valores de los servicios y tecnologías en salud. Su aplicación debe analizarse de acuerdo con el marco normativo vigente y con las condiciones establecidas en el acuerdo de voluntades entre las partes.</w:t>
      </w:r>
    </w:p>
    <w:p w14:paraId="44D23998" w14:textId="77777777" w:rsidR="00877F3E" w:rsidRPr="00877F3E" w:rsidRDefault="00877F3E" w:rsidP="00877F3E">
      <w:pPr>
        <w:pStyle w:val="Normal0"/>
        <w:rPr>
          <w:rFonts w:eastAsia="Calibri"/>
          <w:bCs/>
          <w:sz w:val="20"/>
          <w:szCs w:val="20"/>
          <w:lang w:eastAsia="en-US"/>
        </w:rPr>
      </w:pPr>
    </w:p>
    <w:p w14:paraId="066902AA" w14:textId="4FF844F9" w:rsidR="00877F3E" w:rsidRDefault="00877F3E" w:rsidP="00877F3E">
      <w:pPr>
        <w:pStyle w:val="Normal0"/>
        <w:rPr>
          <w:rFonts w:eastAsia="Calibri"/>
          <w:bCs/>
          <w:sz w:val="20"/>
          <w:szCs w:val="20"/>
          <w:lang w:eastAsia="en-US"/>
        </w:rPr>
      </w:pPr>
      <w:r w:rsidRPr="00877F3E">
        <w:rPr>
          <w:rFonts w:eastAsia="Calibri"/>
          <w:b/>
          <w:bCs/>
          <w:sz w:val="20"/>
          <w:szCs w:val="20"/>
          <w:lang w:eastAsia="en-US"/>
        </w:rPr>
        <w:t>Tabla 7.</w:t>
      </w:r>
      <w:r w:rsidRPr="00877F3E">
        <w:rPr>
          <w:rFonts w:eastAsia="Calibri"/>
          <w:bCs/>
          <w:sz w:val="20"/>
          <w:szCs w:val="20"/>
          <w:lang w:eastAsia="en-US"/>
        </w:rPr>
        <w:t xml:space="preserve"> Principales referentes normativos relacionados con las tarifas en salud</w:t>
      </w:r>
    </w:p>
    <w:tbl>
      <w:tblPr>
        <w:tblStyle w:val="Tablaconcuadrcula"/>
        <w:tblW w:w="0" w:type="auto"/>
        <w:tblInd w:w="0" w:type="dxa"/>
        <w:tblLook w:val="04A0" w:firstRow="1" w:lastRow="0" w:firstColumn="1" w:lastColumn="0" w:noHBand="0" w:noVBand="1"/>
      </w:tblPr>
      <w:tblGrid>
        <w:gridCol w:w="2547"/>
        <w:gridCol w:w="3969"/>
        <w:gridCol w:w="3446"/>
      </w:tblGrid>
      <w:tr w:rsidR="00877F3E" w:rsidRPr="00877F3E" w14:paraId="239A2B7C" w14:textId="77777777" w:rsidTr="00877F3E">
        <w:tc>
          <w:tcPr>
            <w:tcW w:w="2547" w:type="dxa"/>
          </w:tcPr>
          <w:p w14:paraId="22DB6B50" w14:textId="02E2AC27" w:rsidR="00877F3E" w:rsidRPr="00877F3E" w:rsidRDefault="00877F3E" w:rsidP="00877F3E">
            <w:pPr>
              <w:pStyle w:val="Normal0"/>
              <w:rPr>
                <w:rFonts w:eastAsia="Calibri"/>
                <w:b/>
                <w:bCs/>
                <w:sz w:val="20"/>
                <w:szCs w:val="20"/>
                <w:lang w:eastAsia="en-US"/>
              </w:rPr>
            </w:pPr>
            <w:r w:rsidRPr="00877F3E">
              <w:rPr>
                <w:b/>
                <w:sz w:val="20"/>
                <w:szCs w:val="20"/>
              </w:rPr>
              <w:t>Norma</w:t>
            </w:r>
          </w:p>
        </w:tc>
        <w:tc>
          <w:tcPr>
            <w:tcW w:w="3969" w:type="dxa"/>
          </w:tcPr>
          <w:p w14:paraId="56B09F1F" w14:textId="4CF2FE47" w:rsidR="00877F3E" w:rsidRPr="00877F3E" w:rsidRDefault="00877F3E" w:rsidP="00877F3E">
            <w:pPr>
              <w:pStyle w:val="Normal0"/>
              <w:rPr>
                <w:rFonts w:eastAsia="Calibri"/>
                <w:b/>
                <w:bCs/>
                <w:sz w:val="20"/>
                <w:szCs w:val="20"/>
                <w:lang w:eastAsia="en-US"/>
              </w:rPr>
            </w:pPr>
            <w:r w:rsidRPr="00877F3E">
              <w:rPr>
                <w:b/>
                <w:sz w:val="20"/>
                <w:szCs w:val="20"/>
              </w:rPr>
              <w:t>Aspecto relacionado con las tarifas</w:t>
            </w:r>
          </w:p>
        </w:tc>
        <w:tc>
          <w:tcPr>
            <w:tcW w:w="3446" w:type="dxa"/>
          </w:tcPr>
          <w:p w14:paraId="50D557E7" w14:textId="2111C6C9" w:rsidR="00877F3E" w:rsidRPr="00877F3E" w:rsidRDefault="00877F3E" w:rsidP="00877F3E">
            <w:pPr>
              <w:pStyle w:val="Normal0"/>
              <w:rPr>
                <w:rFonts w:eastAsia="Calibri"/>
                <w:b/>
                <w:bCs/>
                <w:sz w:val="20"/>
                <w:szCs w:val="20"/>
                <w:lang w:eastAsia="en-US"/>
              </w:rPr>
            </w:pPr>
            <w:r w:rsidRPr="00877F3E">
              <w:rPr>
                <w:b/>
                <w:sz w:val="20"/>
                <w:szCs w:val="20"/>
              </w:rPr>
              <w:t>Aplicación en la contratación</w:t>
            </w:r>
          </w:p>
        </w:tc>
      </w:tr>
      <w:tr w:rsidR="00877F3E" w:rsidRPr="00877F3E" w14:paraId="23422CCC" w14:textId="77777777" w:rsidTr="00877F3E">
        <w:tc>
          <w:tcPr>
            <w:tcW w:w="2547" w:type="dxa"/>
          </w:tcPr>
          <w:p w14:paraId="6C830378" w14:textId="4203C118" w:rsidR="00877F3E" w:rsidRPr="00877F3E" w:rsidRDefault="00877F3E" w:rsidP="00877F3E">
            <w:pPr>
              <w:pStyle w:val="Normal0"/>
              <w:rPr>
                <w:rFonts w:eastAsia="Calibri"/>
                <w:bCs/>
                <w:sz w:val="20"/>
                <w:szCs w:val="20"/>
                <w:lang w:eastAsia="en-US"/>
              </w:rPr>
            </w:pPr>
            <w:r w:rsidRPr="00877F3E">
              <w:rPr>
                <w:sz w:val="20"/>
                <w:szCs w:val="20"/>
              </w:rPr>
              <w:t>Decreto 2423 de 1996</w:t>
            </w:r>
          </w:p>
        </w:tc>
        <w:tc>
          <w:tcPr>
            <w:tcW w:w="3969" w:type="dxa"/>
          </w:tcPr>
          <w:p w14:paraId="7929011C" w14:textId="251398C7" w:rsidR="00877F3E" w:rsidRPr="00877F3E" w:rsidRDefault="00877F3E" w:rsidP="00877F3E">
            <w:pPr>
              <w:pStyle w:val="Normal0"/>
              <w:rPr>
                <w:rFonts w:eastAsia="Calibri"/>
                <w:bCs/>
                <w:sz w:val="20"/>
                <w:szCs w:val="20"/>
                <w:lang w:eastAsia="en-US"/>
              </w:rPr>
            </w:pPr>
            <w:r w:rsidRPr="00877F3E">
              <w:rPr>
                <w:sz w:val="20"/>
                <w:szCs w:val="20"/>
              </w:rPr>
              <w:t>Establece la nomenclatura, clasificación y régimen tarifario de determinados procedimientos médico-quirúrgicos y hospitalarios.</w:t>
            </w:r>
          </w:p>
        </w:tc>
        <w:tc>
          <w:tcPr>
            <w:tcW w:w="3446" w:type="dxa"/>
          </w:tcPr>
          <w:p w14:paraId="351C8C61" w14:textId="7BD8C2B6" w:rsidR="00877F3E" w:rsidRPr="00877F3E" w:rsidRDefault="00877F3E" w:rsidP="00877F3E">
            <w:pPr>
              <w:pStyle w:val="Normal0"/>
              <w:rPr>
                <w:rFonts w:eastAsia="Calibri"/>
                <w:bCs/>
                <w:sz w:val="20"/>
                <w:szCs w:val="20"/>
                <w:lang w:eastAsia="en-US"/>
              </w:rPr>
            </w:pPr>
            <w:r w:rsidRPr="00877F3E">
              <w:rPr>
                <w:sz w:val="20"/>
                <w:szCs w:val="20"/>
              </w:rPr>
              <w:t>Su aplicación obligatoria corresponde a los casos establecidos en la normativa.</w:t>
            </w:r>
          </w:p>
        </w:tc>
      </w:tr>
      <w:tr w:rsidR="00877F3E" w:rsidRPr="00877F3E" w14:paraId="0BFD93FF" w14:textId="77777777" w:rsidTr="00877F3E">
        <w:tc>
          <w:tcPr>
            <w:tcW w:w="2547" w:type="dxa"/>
          </w:tcPr>
          <w:p w14:paraId="3CBD537E" w14:textId="45B2B7B4" w:rsidR="00877F3E" w:rsidRPr="00877F3E" w:rsidRDefault="00877F3E" w:rsidP="00877F3E">
            <w:pPr>
              <w:pStyle w:val="Normal0"/>
              <w:rPr>
                <w:rFonts w:eastAsia="Calibri"/>
                <w:bCs/>
                <w:sz w:val="20"/>
                <w:szCs w:val="20"/>
                <w:lang w:eastAsia="en-US"/>
              </w:rPr>
            </w:pPr>
            <w:r w:rsidRPr="00877F3E">
              <w:rPr>
                <w:sz w:val="20"/>
                <w:szCs w:val="20"/>
              </w:rPr>
              <w:t>Decreto 780 de 2016</w:t>
            </w:r>
          </w:p>
        </w:tc>
        <w:tc>
          <w:tcPr>
            <w:tcW w:w="3969" w:type="dxa"/>
          </w:tcPr>
          <w:p w14:paraId="4638EA41" w14:textId="743E4A55" w:rsidR="00877F3E" w:rsidRPr="00877F3E" w:rsidRDefault="00877F3E" w:rsidP="00877F3E">
            <w:pPr>
              <w:pStyle w:val="Normal0"/>
              <w:rPr>
                <w:rFonts w:eastAsia="Calibri"/>
                <w:bCs/>
                <w:sz w:val="20"/>
                <w:szCs w:val="20"/>
                <w:lang w:eastAsia="en-US"/>
              </w:rPr>
            </w:pPr>
            <w:r w:rsidRPr="00877F3E">
              <w:rPr>
                <w:sz w:val="20"/>
                <w:szCs w:val="20"/>
              </w:rPr>
              <w:t>Compila las disposiciones reglamentarias del sector salud, incluidas las relacionadas con el régimen tarifario.</w:t>
            </w:r>
          </w:p>
        </w:tc>
        <w:tc>
          <w:tcPr>
            <w:tcW w:w="3446" w:type="dxa"/>
          </w:tcPr>
          <w:p w14:paraId="107FA585" w14:textId="14B685D5" w:rsidR="00877F3E" w:rsidRPr="00877F3E" w:rsidRDefault="00877F3E" w:rsidP="00877F3E">
            <w:pPr>
              <w:pStyle w:val="Normal0"/>
              <w:rPr>
                <w:rFonts w:eastAsia="Calibri"/>
                <w:bCs/>
                <w:sz w:val="20"/>
                <w:szCs w:val="20"/>
                <w:lang w:eastAsia="en-US"/>
              </w:rPr>
            </w:pPr>
            <w:r w:rsidRPr="00877F3E">
              <w:rPr>
                <w:sz w:val="20"/>
                <w:szCs w:val="20"/>
              </w:rPr>
              <w:t>Constituye un referente normativo para la aplicación de las disposiciones tarifarias.</w:t>
            </w:r>
          </w:p>
        </w:tc>
      </w:tr>
      <w:tr w:rsidR="00877F3E" w:rsidRPr="00877F3E" w14:paraId="21564956" w14:textId="77777777" w:rsidTr="00877F3E">
        <w:tc>
          <w:tcPr>
            <w:tcW w:w="2547" w:type="dxa"/>
          </w:tcPr>
          <w:p w14:paraId="1A23455A" w14:textId="39390609" w:rsidR="00877F3E" w:rsidRPr="00877F3E" w:rsidRDefault="00877F3E" w:rsidP="00877F3E">
            <w:pPr>
              <w:pStyle w:val="Normal0"/>
              <w:rPr>
                <w:rFonts w:eastAsia="Calibri"/>
                <w:bCs/>
                <w:sz w:val="20"/>
                <w:szCs w:val="20"/>
                <w:lang w:eastAsia="en-US"/>
              </w:rPr>
            </w:pPr>
            <w:r w:rsidRPr="00877F3E">
              <w:rPr>
                <w:sz w:val="20"/>
                <w:szCs w:val="20"/>
              </w:rPr>
              <w:t>Decreto 441 de 2022</w:t>
            </w:r>
          </w:p>
        </w:tc>
        <w:tc>
          <w:tcPr>
            <w:tcW w:w="3969" w:type="dxa"/>
          </w:tcPr>
          <w:p w14:paraId="56284B83" w14:textId="5BA94FF3" w:rsidR="00877F3E" w:rsidRPr="00877F3E" w:rsidRDefault="00877F3E" w:rsidP="00877F3E">
            <w:pPr>
              <w:pStyle w:val="Normal0"/>
              <w:rPr>
                <w:rFonts w:eastAsia="Calibri"/>
                <w:bCs/>
                <w:sz w:val="20"/>
                <w:szCs w:val="20"/>
                <w:lang w:eastAsia="en-US"/>
              </w:rPr>
            </w:pPr>
            <w:r w:rsidRPr="00877F3E">
              <w:rPr>
                <w:sz w:val="20"/>
                <w:szCs w:val="20"/>
              </w:rPr>
              <w:t>Regula aspectos de los acuerdos de voluntades y establece disposiciones relacionadas con las tarifas y las modalidades de pago.</w:t>
            </w:r>
          </w:p>
        </w:tc>
        <w:tc>
          <w:tcPr>
            <w:tcW w:w="3446" w:type="dxa"/>
          </w:tcPr>
          <w:p w14:paraId="62E5B4CF" w14:textId="096CFE77" w:rsidR="00877F3E" w:rsidRPr="00877F3E" w:rsidRDefault="00877F3E" w:rsidP="00877F3E">
            <w:pPr>
              <w:pStyle w:val="Normal0"/>
              <w:rPr>
                <w:rFonts w:eastAsia="Calibri"/>
                <w:bCs/>
                <w:sz w:val="20"/>
                <w:szCs w:val="20"/>
                <w:lang w:eastAsia="en-US"/>
              </w:rPr>
            </w:pPr>
            <w:r w:rsidRPr="00877F3E">
              <w:rPr>
                <w:sz w:val="20"/>
                <w:szCs w:val="20"/>
              </w:rPr>
              <w:t>Orienta la definición de las condiciones económicas entre las partes.</w:t>
            </w:r>
          </w:p>
        </w:tc>
      </w:tr>
    </w:tbl>
    <w:p w14:paraId="2FAB792D" w14:textId="6D476C97" w:rsidR="00877F3E" w:rsidRDefault="00877F3E" w:rsidP="00877F3E">
      <w:pPr>
        <w:pStyle w:val="Normal0"/>
        <w:rPr>
          <w:rFonts w:eastAsia="Calibri"/>
          <w:bCs/>
          <w:sz w:val="20"/>
          <w:szCs w:val="20"/>
          <w:lang w:eastAsia="en-US"/>
        </w:rPr>
      </w:pPr>
    </w:p>
    <w:p w14:paraId="210891A2" w14:textId="77777777" w:rsidR="00877F3E" w:rsidRPr="00877F3E" w:rsidRDefault="00877F3E" w:rsidP="00877F3E">
      <w:pPr>
        <w:pStyle w:val="Normal0"/>
        <w:rPr>
          <w:rFonts w:eastAsia="Calibri"/>
          <w:bCs/>
          <w:sz w:val="20"/>
          <w:szCs w:val="20"/>
          <w:lang w:eastAsia="en-US"/>
        </w:rPr>
      </w:pPr>
      <w:r w:rsidRPr="00877F3E">
        <w:rPr>
          <w:rFonts w:eastAsia="Calibri"/>
          <w:bCs/>
          <w:sz w:val="20"/>
          <w:szCs w:val="20"/>
          <w:lang w:eastAsia="en-US"/>
        </w:rPr>
        <w:t xml:space="preserve">El </w:t>
      </w:r>
      <w:r w:rsidRPr="00877F3E">
        <w:rPr>
          <w:rFonts w:eastAsia="Calibri"/>
          <w:b/>
          <w:bCs/>
          <w:sz w:val="20"/>
          <w:szCs w:val="20"/>
          <w:lang w:eastAsia="en-US"/>
        </w:rPr>
        <w:t>Decreto 2423 de 1996</w:t>
      </w:r>
      <w:r w:rsidRPr="00877F3E">
        <w:rPr>
          <w:rFonts w:eastAsia="Calibri"/>
          <w:bCs/>
          <w:sz w:val="20"/>
          <w:szCs w:val="20"/>
          <w:lang w:eastAsia="en-US"/>
        </w:rPr>
        <w:t xml:space="preserve"> estableció la nomenclatura y clasificación de los procedimientos médico-quirúrgicos y hospitalarios y determinó un régimen tarifario para estos servicios. Posteriormente, sus disposiciones fueron incorporadas al </w:t>
      </w:r>
      <w:r w:rsidRPr="00877F3E">
        <w:rPr>
          <w:rFonts w:eastAsia="Calibri"/>
          <w:b/>
          <w:bCs/>
          <w:sz w:val="20"/>
          <w:szCs w:val="20"/>
          <w:lang w:eastAsia="en-US"/>
        </w:rPr>
        <w:t>Decreto 780 de 2016</w:t>
      </w:r>
      <w:r w:rsidRPr="00877F3E">
        <w:rPr>
          <w:rFonts w:eastAsia="Calibri"/>
          <w:bCs/>
          <w:sz w:val="20"/>
          <w:szCs w:val="20"/>
          <w:lang w:eastAsia="en-US"/>
        </w:rPr>
        <w:t>, como parte del régimen reglamentario del sector salud.</w:t>
      </w:r>
    </w:p>
    <w:p w14:paraId="60C7C66C" w14:textId="77777777" w:rsidR="00877F3E" w:rsidRPr="00877F3E" w:rsidRDefault="00877F3E" w:rsidP="00877F3E">
      <w:pPr>
        <w:pStyle w:val="Normal0"/>
        <w:rPr>
          <w:rFonts w:eastAsia="Calibri"/>
          <w:bCs/>
          <w:sz w:val="20"/>
          <w:szCs w:val="20"/>
          <w:lang w:eastAsia="en-US"/>
        </w:rPr>
      </w:pPr>
    </w:p>
    <w:p w14:paraId="6B13FD84" w14:textId="77777777" w:rsidR="00877F3E" w:rsidRPr="00877F3E" w:rsidRDefault="00877F3E" w:rsidP="00877F3E">
      <w:pPr>
        <w:pStyle w:val="Normal0"/>
        <w:rPr>
          <w:rFonts w:eastAsia="Calibri"/>
          <w:bCs/>
          <w:sz w:val="20"/>
          <w:szCs w:val="20"/>
          <w:lang w:eastAsia="en-US"/>
        </w:rPr>
      </w:pPr>
      <w:r w:rsidRPr="00877F3E">
        <w:rPr>
          <w:rFonts w:eastAsia="Calibri"/>
          <w:bCs/>
          <w:sz w:val="20"/>
          <w:szCs w:val="20"/>
          <w:lang w:eastAsia="en-US"/>
        </w:rPr>
        <w:t>Es importante precisar que las tarifas establecidas en este régimen no constituyen una tarifa de aplicación general para todos los contratos de servicios de salud. Su aplicación obligatoria corresponde a los casos establecidos por la normativa, entre ellos determinados eventos como accidentes de tránsito, desastres naturales, atentados terroristas y otros eventos catastróficos, así como la atención inicial de urgencias cuando no existe un acuerdo previo entre las partes.</w:t>
      </w:r>
    </w:p>
    <w:p w14:paraId="78F19A73" w14:textId="77777777" w:rsidR="00877F3E" w:rsidRPr="00877F3E" w:rsidRDefault="00877F3E" w:rsidP="00877F3E">
      <w:pPr>
        <w:pStyle w:val="Normal0"/>
        <w:rPr>
          <w:rFonts w:eastAsia="Calibri"/>
          <w:bCs/>
          <w:sz w:val="20"/>
          <w:szCs w:val="20"/>
          <w:lang w:eastAsia="en-US"/>
        </w:rPr>
      </w:pPr>
    </w:p>
    <w:p w14:paraId="67BF2463" w14:textId="77777777" w:rsidR="00877F3E" w:rsidRPr="00877F3E" w:rsidRDefault="00877F3E" w:rsidP="00877F3E">
      <w:pPr>
        <w:pStyle w:val="Normal0"/>
        <w:rPr>
          <w:rFonts w:eastAsia="Calibri"/>
          <w:bCs/>
          <w:sz w:val="20"/>
          <w:szCs w:val="20"/>
          <w:lang w:eastAsia="en-US"/>
        </w:rPr>
      </w:pPr>
      <w:r w:rsidRPr="00877F3E">
        <w:rPr>
          <w:rFonts w:eastAsia="Calibri"/>
          <w:bCs/>
          <w:sz w:val="20"/>
          <w:szCs w:val="20"/>
          <w:lang w:eastAsia="en-US"/>
        </w:rPr>
        <w:lastRenderedPageBreak/>
        <w:t>Para los demás procesos de contratación, las partes pueden establecer las condiciones económicas del acuerdo de voluntades, de acuerdo con el marco normativo y con el referente tarifario que hayan definido.</w:t>
      </w:r>
    </w:p>
    <w:p w14:paraId="2AE3D87C" w14:textId="77777777" w:rsidR="00877F3E" w:rsidRPr="00877F3E" w:rsidRDefault="00877F3E" w:rsidP="00877F3E">
      <w:pPr>
        <w:pStyle w:val="Normal0"/>
        <w:rPr>
          <w:rFonts w:eastAsia="Calibri"/>
          <w:bCs/>
          <w:sz w:val="20"/>
          <w:szCs w:val="20"/>
          <w:lang w:eastAsia="en-US"/>
        </w:rPr>
      </w:pPr>
    </w:p>
    <w:p w14:paraId="01F4E3D1" w14:textId="77777777" w:rsidR="00877F3E" w:rsidRPr="00877F3E" w:rsidRDefault="00877F3E" w:rsidP="00877F3E">
      <w:pPr>
        <w:pStyle w:val="Normal0"/>
        <w:rPr>
          <w:rFonts w:eastAsia="Calibri"/>
          <w:bCs/>
          <w:sz w:val="20"/>
          <w:szCs w:val="20"/>
          <w:lang w:eastAsia="en-US"/>
        </w:rPr>
      </w:pPr>
      <w:r w:rsidRPr="00877F3E">
        <w:rPr>
          <w:rFonts w:eastAsia="Calibri"/>
          <w:bCs/>
          <w:sz w:val="20"/>
          <w:szCs w:val="20"/>
          <w:lang w:eastAsia="en-US"/>
        </w:rPr>
        <w:t xml:space="preserve">En este sentido, el </w:t>
      </w:r>
      <w:r w:rsidRPr="00877F3E">
        <w:rPr>
          <w:rFonts w:eastAsia="Calibri"/>
          <w:b/>
          <w:bCs/>
          <w:sz w:val="20"/>
          <w:szCs w:val="20"/>
          <w:lang w:eastAsia="en-US"/>
        </w:rPr>
        <w:t>Decreto 441 de 2022</w:t>
      </w:r>
      <w:r w:rsidRPr="00877F3E">
        <w:rPr>
          <w:rFonts w:eastAsia="Calibri"/>
          <w:bCs/>
          <w:sz w:val="20"/>
          <w:szCs w:val="20"/>
          <w:lang w:eastAsia="en-US"/>
        </w:rPr>
        <w:t xml:space="preserve"> establece disposiciones relacionadas con los acuerdos de voluntades y señala que las tarifas deben guardar correspondencia con la modalidad de pago pactada.</w:t>
      </w:r>
    </w:p>
    <w:p w14:paraId="2AD48971" w14:textId="77777777" w:rsidR="00877F3E" w:rsidRPr="00877F3E" w:rsidRDefault="00877F3E" w:rsidP="00877F3E">
      <w:pPr>
        <w:pStyle w:val="Normal0"/>
        <w:rPr>
          <w:rFonts w:eastAsia="Calibri"/>
          <w:bCs/>
          <w:sz w:val="20"/>
          <w:szCs w:val="20"/>
          <w:lang w:eastAsia="en-US"/>
        </w:rPr>
      </w:pPr>
    </w:p>
    <w:p w14:paraId="36A97697" w14:textId="77777777" w:rsidR="00877F3E" w:rsidRPr="00877F3E" w:rsidRDefault="00877F3E" w:rsidP="00877F3E">
      <w:pPr>
        <w:pStyle w:val="Normal0"/>
        <w:rPr>
          <w:rFonts w:eastAsia="Calibri"/>
          <w:bCs/>
          <w:sz w:val="20"/>
          <w:szCs w:val="20"/>
          <w:lang w:eastAsia="en-US"/>
        </w:rPr>
      </w:pPr>
      <w:r w:rsidRPr="00877F3E">
        <w:rPr>
          <w:rFonts w:eastAsia="Calibri"/>
          <w:bCs/>
          <w:sz w:val="20"/>
          <w:szCs w:val="20"/>
          <w:lang w:eastAsia="en-US"/>
        </w:rPr>
        <w:t>En la construcción de la nota técnica, estos lineamientos deben relacionarse con:</w:t>
      </w:r>
    </w:p>
    <w:p w14:paraId="1E3754BA" w14:textId="77777777" w:rsidR="00877F3E" w:rsidRPr="00877F3E" w:rsidRDefault="00877F3E" w:rsidP="00877F3E">
      <w:pPr>
        <w:pStyle w:val="Normal0"/>
        <w:rPr>
          <w:rFonts w:eastAsia="Calibri"/>
          <w:bCs/>
          <w:sz w:val="20"/>
          <w:szCs w:val="20"/>
          <w:lang w:eastAsia="en-US"/>
        </w:rPr>
      </w:pPr>
    </w:p>
    <w:p w14:paraId="4BBA1D31" w14:textId="77777777" w:rsidR="00877F3E" w:rsidRPr="00877F3E" w:rsidRDefault="00877F3E" w:rsidP="00877F3E">
      <w:pPr>
        <w:pStyle w:val="Normal0"/>
        <w:numPr>
          <w:ilvl w:val="0"/>
          <w:numId w:val="20"/>
        </w:numPr>
        <w:rPr>
          <w:rFonts w:eastAsia="Calibri"/>
          <w:bCs/>
          <w:sz w:val="20"/>
          <w:szCs w:val="20"/>
          <w:lang w:eastAsia="en-US"/>
        </w:rPr>
      </w:pPr>
      <w:r w:rsidRPr="00877F3E">
        <w:rPr>
          <w:rFonts w:eastAsia="Calibri"/>
          <w:b/>
          <w:bCs/>
          <w:sz w:val="20"/>
          <w:szCs w:val="20"/>
          <w:lang w:eastAsia="en-US"/>
        </w:rPr>
        <w:t>Servicios y tecnologías contratados:</w:t>
      </w:r>
      <w:r w:rsidRPr="00877F3E">
        <w:rPr>
          <w:rFonts w:eastAsia="Calibri"/>
          <w:bCs/>
          <w:sz w:val="20"/>
          <w:szCs w:val="20"/>
          <w:lang w:eastAsia="en-US"/>
        </w:rPr>
        <w:t xml:space="preserve"> identificar los servicios y tecnologías a los cuales corresponde cada valor tarifario.</w:t>
      </w:r>
    </w:p>
    <w:p w14:paraId="3DFEAE6D" w14:textId="77777777" w:rsidR="00877F3E" w:rsidRPr="00877F3E" w:rsidRDefault="00877F3E" w:rsidP="00877F3E">
      <w:pPr>
        <w:pStyle w:val="Normal0"/>
        <w:numPr>
          <w:ilvl w:val="0"/>
          <w:numId w:val="20"/>
        </w:numPr>
        <w:rPr>
          <w:rFonts w:eastAsia="Calibri"/>
          <w:bCs/>
          <w:sz w:val="20"/>
          <w:szCs w:val="20"/>
          <w:lang w:eastAsia="en-US"/>
        </w:rPr>
      </w:pPr>
      <w:r w:rsidRPr="00877F3E">
        <w:rPr>
          <w:rFonts w:eastAsia="Calibri"/>
          <w:b/>
          <w:bCs/>
          <w:sz w:val="20"/>
          <w:szCs w:val="20"/>
          <w:lang w:eastAsia="en-US"/>
        </w:rPr>
        <w:t>Referente tarifario:</w:t>
      </w:r>
      <w:r w:rsidRPr="00877F3E">
        <w:rPr>
          <w:rFonts w:eastAsia="Calibri"/>
          <w:bCs/>
          <w:sz w:val="20"/>
          <w:szCs w:val="20"/>
          <w:lang w:eastAsia="en-US"/>
        </w:rPr>
        <w:t xml:space="preserve"> establecer el manual o referente utilizado para determinar los valores.</w:t>
      </w:r>
    </w:p>
    <w:p w14:paraId="6E766C54" w14:textId="77777777" w:rsidR="00877F3E" w:rsidRPr="00877F3E" w:rsidRDefault="00877F3E" w:rsidP="00877F3E">
      <w:pPr>
        <w:pStyle w:val="Normal0"/>
        <w:numPr>
          <w:ilvl w:val="0"/>
          <w:numId w:val="20"/>
        </w:numPr>
        <w:rPr>
          <w:rFonts w:eastAsia="Calibri"/>
          <w:bCs/>
          <w:sz w:val="20"/>
          <w:szCs w:val="20"/>
          <w:lang w:eastAsia="en-US"/>
        </w:rPr>
      </w:pPr>
      <w:r w:rsidRPr="00877F3E">
        <w:rPr>
          <w:rFonts w:eastAsia="Calibri"/>
          <w:bCs/>
          <w:sz w:val="20"/>
          <w:szCs w:val="20"/>
          <w:lang w:eastAsia="en-US"/>
        </w:rPr>
        <w:t>Modalidad de pago: verificar que las tarifas sean coherentes con la modalidad de pago pactada en el acuerdo.</w:t>
      </w:r>
    </w:p>
    <w:p w14:paraId="5026BF76" w14:textId="77777777" w:rsidR="00877F3E" w:rsidRPr="00877F3E" w:rsidRDefault="00877F3E" w:rsidP="00877F3E">
      <w:pPr>
        <w:pStyle w:val="Normal0"/>
        <w:numPr>
          <w:ilvl w:val="0"/>
          <w:numId w:val="20"/>
        </w:numPr>
        <w:rPr>
          <w:rFonts w:eastAsia="Calibri"/>
          <w:bCs/>
          <w:sz w:val="20"/>
          <w:szCs w:val="20"/>
          <w:lang w:eastAsia="en-US"/>
        </w:rPr>
      </w:pPr>
      <w:r w:rsidRPr="00877F3E">
        <w:rPr>
          <w:rFonts w:eastAsia="Calibri"/>
          <w:b/>
          <w:bCs/>
          <w:sz w:val="20"/>
          <w:szCs w:val="20"/>
          <w:lang w:eastAsia="en-US"/>
        </w:rPr>
        <w:t>Condiciones económicas:</w:t>
      </w:r>
      <w:r w:rsidRPr="00877F3E">
        <w:rPr>
          <w:rFonts w:eastAsia="Calibri"/>
          <w:bCs/>
          <w:sz w:val="20"/>
          <w:szCs w:val="20"/>
          <w:lang w:eastAsia="en-US"/>
        </w:rPr>
        <w:t xml:space="preserve"> considerar los valores acordados entre las partes para los servicios y tecnologías incluidos.</w:t>
      </w:r>
    </w:p>
    <w:p w14:paraId="798BEFE6" w14:textId="77777777" w:rsidR="00877F3E" w:rsidRPr="00877F3E" w:rsidRDefault="00877F3E" w:rsidP="00877F3E">
      <w:pPr>
        <w:pStyle w:val="Normal0"/>
        <w:numPr>
          <w:ilvl w:val="0"/>
          <w:numId w:val="20"/>
        </w:numPr>
        <w:rPr>
          <w:rFonts w:eastAsia="Calibri"/>
          <w:bCs/>
          <w:sz w:val="20"/>
          <w:szCs w:val="20"/>
          <w:lang w:eastAsia="en-US"/>
        </w:rPr>
      </w:pPr>
      <w:r w:rsidRPr="00877F3E">
        <w:rPr>
          <w:rFonts w:eastAsia="Calibri"/>
          <w:b/>
          <w:bCs/>
          <w:sz w:val="20"/>
          <w:szCs w:val="20"/>
          <w:lang w:eastAsia="en-US"/>
        </w:rPr>
        <w:t>Vigencia:</w:t>
      </w:r>
      <w:r w:rsidRPr="00877F3E">
        <w:rPr>
          <w:rFonts w:eastAsia="Calibri"/>
          <w:bCs/>
          <w:sz w:val="20"/>
          <w:szCs w:val="20"/>
          <w:lang w:eastAsia="en-US"/>
        </w:rPr>
        <w:t xml:space="preserve"> utilizar valores que correspondan al periodo objeto del acuerdo y a las disposiciones aplicables.</w:t>
      </w:r>
    </w:p>
    <w:p w14:paraId="087F4930" w14:textId="77777777" w:rsidR="00877F3E" w:rsidRPr="00877F3E" w:rsidRDefault="00877F3E" w:rsidP="00877F3E">
      <w:pPr>
        <w:pStyle w:val="Normal0"/>
        <w:numPr>
          <w:ilvl w:val="0"/>
          <w:numId w:val="20"/>
        </w:numPr>
        <w:rPr>
          <w:rFonts w:eastAsia="Calibri"/>
          <w:bCs/>
          <w:sz w:val="20"/>
          <w:szCs w:val="20"/>
          <w:lang w:eastAsia="en-US"/>
        </w:rPr>
      </w:pPr>
      <w:r w:rsidRPr="00877F3E">
        <w:rPr>
          <w:rFonts w:eastAsia="Calibri"/>
          <w:b/>
          <w:bCs/>
          <w:sz w:val="20"/>
          <w:szCs w:val="20"/>
          <w:lang w:eastAsia="en-US"/>
        </w:rPr>
        <w:t>Nota técnica:</w:t>
      </w:r>
      <w:r w:rsidRPr="00877F3E">
        <w:rPr>
          <w:rFonts w:eastAsia="Calibri"/>
          <w:bCs/>
          <w:sz w:val="20"/>
          <w:szCs w:val="20"/>
          <w:lang w:eastAsia="en-US"/>
        </w:rPr>
        <w:t xml:space="preserve"> relacionar los valores tarifarios con la población objeto, las frecuencias de uso y los servicios y tecnologías proyectados.</w:t>
      </w:r>
    </w:p>
    <w:p w14:paraId="16276904" w14:textId="77777777" w:rsidR="00877F3E" w:rsidRPr="00877F3E" w:rsidRDefault="00877F3E" w:rsidP="00877F3E">
      <w:pPr>
        <w:pStyle w:val="Normal0"/>
        <w:rPr>
          <w:rFonts w:eastAsia="Calibri"/>
          <w:bCs/>
          <w:sz w:val="20"/>
          <w:szCs w:val="20"/>
          <w:lang w:eastAsia="en-US"/>
        </w:rPr>
      </w:pPr>
    </w:p>
    <w:p w14:paraId="681DBDA9" w14:textId="00F4893C" w:rsidR="00877F3E" w:rsidRDefault="00877F3E" w:rsidP="00877F3E">
      <w:pPr>
        <w:pStyle w:val="Normal0"/>
        <w:rPr>
          <w:rFonts w:eastAsia="Calibri"/>
          <w:bCs/>
          <w:sz w:val="20"/>
          <w:szCs w:val="20"/>
          <w:lang w:eastAsia="en-US"/>
        </w:rPr>
      </w:pPr>
      <w:r w:rsidRPr="00877F3E">
        <w:rPr>
          <w:rFonts w:eastAsia="Calibri"/>
          <w:bCs/>
          <w:sz w:val="20"/>
          <w:szCs w:val="20"/>
          <w:lang w:eastAsia="en-US"/>
        </w:rPr>
        <w:t>Por ejemplo, si la nota técnica proyecta una determinada frecuencia de utilización para un procedimiento, el valor tarifario acordado permite establecer el costo esperado asociado a dicho servicio. De esta manera, las tarifas constituyen uno de los elementos económicos que se relacionan con las proyecciones realizadas en la nota técnica.</w:t>
      </w:r>
    </w:p>
    <w:p w14:paraId="263AC1CD" w14:textId="77777777" w:rsidR="00877F3E" w:rsidRPr="008C6EC5" w:rsidRDefault="00877F3E" w:rsidP="00877F3E">
      <w:pPr>
        <w:pStyle w:val="Normal0"/>
        <w:rPr>
          <w:rFonts w:eastAsia="Calibri"/>
          <w:bCs/>
          <w:sz w:val="20"/>
          <w:szCs w:val="20"/>
          <w:lang w:eastAsia="en-US"/>
        </w:rPr>
      </w:pPr>
    </w:p>
    <w:p w14:paraId="1730638D" w14:textId="13A142CA" w:rsidR="008C6EC5" w:rsidRPr="00877F3E" w:rsidRDefault="008C6EC5" w:rsidP="009723E7">
      <w:pPr>
        <w:pStyle w:val="Normal0"/>
        <w:numPr>
          <w:ilvl w:val="1"/>
          <w:numId w:val="27"/>
        </w:numPr>
        <w:rPr>
          <w:rFonts w:eastAsia="Calibri"/>
          <w:b/>
          <w:bCs/>
          <w:sz w:val="20"/>
          <w:szCs w:val="20"/>
          <w:lang w:eastAsia="en-US"/>
        </w:rPr>
      </w:pPr>
      <w:r w:rsidRPr="00877F3E">
        <w:rPr>
          <w:rFonts w:eastAsia="Calibri"/>
          <w:b/>
          <w:bCs/>
          <w:sz w:val="20"/>
          <w:szCs w:val="20"/>
          <w:lang w:eastAsia="en-US"/>
        </w:rPr>
        <w:t>Glosas en la contratación de servicios de salud</w:t>
      </w:r>
    </w:p>
    <w:p w14:paraId="2C8BEF43" w14:textId="0F66B9CE" w:rsidR="00877F3E" w:rsidRDefault="00877F3E" w:rsidP="00877F3E">
      <w:pPr>
        <w:pStyle w:val="Normal0"/>
        <w:rPr>
          <w:rFonts w:eastAsia="Calibri"/>
          <w:bCs/>
          <w:sz w:val="20"/>
          <w:szCs w:val="20"/>
          <w:lang w:eastAsia="en-US"/>
        </w:rPr>
      </w:pPr>
    </w:p>
    <w:p w14:paraId="108AA357" w14:textId="77777777" w:rsidR="00877F3E" w:rsidRPr="00877F3E" w:rsidRDefault="00877F3E" w:rsidP="00877F3E">
      <w:pPr>
        <w:pStyle w:val="Normal0"/>
        <w:rPr>
          <w:rFonts w:eastAsia="Calibri"/>
          <w:bCs/>
          <w:sz w:val="20"/>
          <w:szCs w:val="20"/>
          <w:lang w:eastAsia="en-US"/>
        </w:rPr>
      </w:pPr>
      <w:r w:rsidRPr="00877F3E">
        <w:rPr>
          <w:rFonts w:eastAsia="Calibri"/>
          <w:bCs/>
          <w:sz w:val="20"/>
          <w:szCs w:val="20"/>
          <w:lang w:eastAsia="en-US"/>
        </w:rPr>
        <w:t>Las glosas son objeciones formuladas durante el proceso de auditoría de las cuentas presentadas por los prestadores de servicios de salud o proveedores de tecnologías en salud. Estas pueden generar el no reconocimiento total o parcial de los valores facturados cuando se identifica alguna inconsistencia relacionada con la prestación, facturación, soportes o condiciones establecidas para el reconocimiento de los servicios.</w:t>
      </w:r>
    </w:p>
    <w:p w14:paraId="31A8F701" w14:textId="77777777" w:rsidR="00877F3E" w:rsidRPr="00877F3E" w:rsidRDefault="00877F3E" w:rsidP="00877F3E">
      <w:pPr>
        <w:pStyle w:val="Normal0"/>
        <w:rPr>
          <w:rFonts w:eastAsia="Calibri"/>
          <w:bCs/>
          <w:sz w:val="20"/>
          <w:szCs w:val="20"/>
          <w:lang w:eastAsia="en-US"/>
        </w:rPr>
      </w:pPr>
    </w:p>
    <w:p w14:paraId="3A18B642" w14:textId="77777777" w:rsidR="00877F3E" w:rsidRPr="00877F3E" w:rsidRDefault="00877F3E" w:rsidP="00877F3E">
      <w:pPr>
        <w:pStyle w:val="Normal0"/>
        <w:rPr>
          <w:rFonts w:eastAsia="Calibri"/>
          <w:bCs/>
          <w:sz w:val="20"/>
          <w:szCs w:val="20"/>
          <w:lang w:eastAsia="en-US"/>
        </w:rPr>
      </w:pPr>
      <w:r w:rsidRPr="00877F3E">
        <w:rPr>
          <w:rFonts w:eastAsia="Calibri"/>
          <w:bCs/>
          <w:sz w:val="20"/>
          <w:szCs w:val="20"/>
          <w:lang w:eastAsia="en-US"/>
        </w:rPr>
        <w:t xml:space="preserve">El proceso de glosas hace parte de la revisión de las cuentas en salud y se encuentra relacionado con los procesos de facturación, auditoría y reconocimiento de los servicios y tecnologías prestados. Actualmente, la </w:t>
      </w:r>
      <w:r w:rsidRPr="00877F3E">
        <w:rPr>
          <w:rFonts w:eastAsia="Calibri"/>
          <w:b/>
          <w:bCs/>
          <w:sz w:val="20"/>
          <w:szCs w:val="20"/>
          <w:lang w:eastAsia="en-US"/>
        </w:rPr>
        <w:t>Resolución 2284 de 2023</w:t>
      </w:r>
      <w:r w:rsidRPr="00877F3E">
        <w:rPr>
          <w:rFonts w:eastAsia="Calibri"/>
          <w:bCs/>
          <w:sz w:val="20"/>
          <w:szCs w:val="20"/>
          <w:lang w:eastAsia="en-US"/>
        </w:rPr>
        <w:t xml:space="preserve"> establece los soportes de cobro y adopta el Manual Único de Devoluciones, Glosas y Respuestas. Esta resolución fue modificada, entre otras disposiciones, por la </w:t>
      </w:r>
      <w:r w:rsidRPr="00877F3E">
        <w:rPr>
          <w:rFonts w:eastAsia="Calibri"/>
          <w:b/>
          <w:bCs/>
          <w:sz w:val="20"/>
          <w:szCs w:val="20"/>
          <w:lang w:eastAsia="en-US"/>
        </w:rPr>
        <w:t>Resolución 1885 de 2024</w:t>
      </w:r>
      <w:r w:rsidRPr="00877F3E">
        <w:rPr>
          <w:rFonts w:eastAsia="Calibri"/>
          <w:bCs/>
          <w:sz w:val="20"/>
          <w:szCs w:val="20"/>
          <w:lang w:eastAsia="en-US"/>
        </w:rPr>
        <w:t>.</w:t>
      </w:r>
    </w:p>
    <w:p w14:paraId="6114D419" w14:textId="77777777" w:rsidR="00877F3E" w:rsidRPr="00877F3E" w:rsidRDefault="00877F3E" w:rsidP="00877F3E">
      <w:pPr>
        <w:pStyle w:val="Normal0"/>
        <w:rPr>
          <w:rFonts w:eastAsia="Calibri"/>
          <w:bCs/>
          <w:sz w:val="20"/>
          <w:szCs w:val="20"/>
          <w:lang w:eastAsia="en-US"/>
        </w:rPr>
      </w:pPr>
    </w:p>
    <w:p w14:paraId="77199FEA" w14:textId="77777777" w:rsidR="00877F3E" w:rsidRPr="00877F3E" w:rsidRDefault="00877F3E" w:rsidP="00877F3E">
      <w:pPr>
        <w:pStyle w:val="Normal0"/>
        <w:rPr>
          <w:rFonts w:eastAsia="Calibri"/>
          <w:bCs/>
          <w:sz w:val="20"/>
          <w:szCs w:val="20"/>
          <w:lang w:eastAsia="en-US"/>
        </w:rPr>
      </w:pPr>
      <w:r w:rsidRPr="00877F3E">
        <w:rPr>
          <w:rFonts w:eastAsia="Calibri"/>
          <w:bCs/>
          <w:sz w:val="20"/>
          <w:szCs w:val="20"/>
          <w:lang w:eastAsia="en-US"/>
        </w:rPr>
        <w:t>Para comprender el proceso, es importante diferenciar las devoluciones de las glosas. Las devoluciones corresponden a situaciones que impiden continuar con el trámite de la factura y tienen un procedimiento específico, mientras que las glosas corresponden a objeciones formuladas durante la auditoría de las cuentas. La Resolución 2284 de 2023 establece los procedimientos y soportes aplicables a estos procesos.</w:t>
      </w:r>
    </w:p>
    <w:p w14:paraId="2D18D63C" w14:textId="77777777" w:rsidR="00877F3E" w:rsidRPr="00877F3E" w:rsidRDefault="00877F3E" w:rsidP="00877F3E">
      <w:pPr>
        <w:pStyle w:val="Normal0"/>
        <w:rPr>
          <w:rFonts w:eastAsia="Calibri"/>
          <w:bCs/>
          <w:sz w:val="20"/>
          <w:szCs w:val="20"/>
          <w:lang w:eastAsia="en-US"/>
        </w:rPr>
      </w:pPr>
    </w:p>
    <w:p w14:paraId="2CDF89F3" w14:textId="77777777" w:rsidR="00877F3E" w:rsidRPr="00877F3E" w:rsidRDefault="00877F3E" w:rsidP="00877F3E">
      <w:pPr>
        <w:pStyle w:val="Normal0"/>
        <w:rPr>
          <w:rFonts w:eastAsia="Calibri"/>
          <w:bCs/>
          <w:sz w:val="20"/>
          <w:szCs w:val="20"/>
          <w:lang w:eastAsia="en-US"/>
        </w:rPr>
      </w:pPr>
      <w:r w:rsidRPr="00877F3E">
        <w:rPr>
          <w:rFonts w:eastAsia="Calibri"/>
          <w:bCs/>
          <w:sz w:val="20"/>
          <w:szCs w:val="20"/>
          <w:lang w:eastAsia="en-US"/>
        </w:rPr>
        <w:t>En la gestión de las glosas deben considerarse, entre otros, los siguientes aspectos:</w:t>
      </w:r>
    </w:p>
    <w:p w14:paraId="16BBF410" w14:textId="77777777" w:rsidR="00877F3E" w:rsidRPr="00877F3E" w:rsidRDefault="00877F3E" w:rsidP="00877F3E">
      <w:pPr>
        <w:pStyle w:val="Normal0"/>
        <w:rPr>
          <w:rFonts w:eastAsia="Calibri"/>
          <w:bCs/>
          <w:sz w:val="20"/>
          <w:szCs w:val="20"/>
          <w:lang w:eastAsia="en-US"/>
        </w:rPr>
      </w:pPr>
    </w:p>
    <w:p w14:paraId="438ED9E9" w14:textId="77777777" w:rsidR="00877F3E" w:rsidRPr="00877F3E" w:rsidRDefault="00877F3E" w:rsidP="00877F3E">
      <w:pPr>
        <w:pStyle w:val="Normal0"/>
        <w:numPr>
          <w:ilvl w:val="0"/>
          <w:numId w:val="22"/>
        </w:numPr>
        <w:rPr>
          <w:rFonts w:eastAsia="Calibri"/>
          <w:bCs/>
          <w:sz w:val="20"/>
          <w:szCs w:val="20"/>
          <w:lang w:eastAsia="en-US"/>
        </w:rPr>
      </w:pPr>
      <w:r w:rsidRPr="00877F3E">
        <w:rPr>
          <w:rFonts w:eastAsia="Calibri"/>
          <w:b/>
          <w:bCs/>
          <w:sz w:val="20"/>
          <w:szCs w:val="20"/>
          <w:lang w:eastAsia="en-US"/>
        </w:rPr>
        <w:t>Causal de la glosa:</w:t>
      </w:r>
      <w:r w:rsidRPr="00877F3E">
        <w:rPr>
          <w:rFonts w:eastAsia="Calibri"/>
          <w:bCs/>
          <w:sz w:val="20"/>
          <w:szCs w:val="20"/>
          <w:lang w:eastAsia="en-US"/>
        </w:rPr>
        <w:t xml:space="preserve"> la objeción debe corresponder a una causal establecida en el Manual Único de Devoluciones, Glosas y Respuestas. No pueden aplicarse causales diferentes a las allí establecidas.</w:t>
      </w:r>
    </w:p>
    <w:p w14:paraId="5A4AA027" w14:textId="77777777" w:rsidR="00877F3E" w:rsidRPr="00877F3E" w:rsidRDefault="00877F3E" w:rsidP="00877F3E">
      <w:pPr>
        <w:pStyle w:val="Normal0"/>
        <w:numPr>
          <w:ilvl w:val="0"/>
          <w:numId w:val="22"/>
        </w:numPr>
        <w:rPr>
          <w:rFonts w:eastAsia="Calibri"/>
          <w:bCs/>
          <w:sz w:val="20"/>
          <w:szCs w:val="20"/>
          <w:lang w:eastAsia="en-US"/>
        </w:rPr>
      </w:pPr>
      <w:r w:rsidRPr="00877F3E">
        <w:rPr>
          <w:rFonts w:eastAsia="Calibri"/>
          <w:b/>
          <w:bCs/>
          <w:sz w:val="20"/>
          <w:szCs w:val="20"/>
          <w:lang w:eastAsia="en-US"/>
        </w:rPr>
        <w:t>Soportes:</w:t>
      </w:r>
      <w:r w:rsidRPr="00877F3E">
        <w:rPr>
          <w:rFonts w:eastAsia="Calibri"/>
          <w:bCs/>
          <w:sz w:val="20"/>
          <w:szCs w:val="20"/>
          <w:lang w:eastAsia="en-US"/>
        </w:rPr>
        <w:t xml:space="preserve"> la objeción debe relacionarse con la información y los soportes que respaldan la prestación y facturación de los servicios o tecnologías.</w:t>
      </w:r>
    </w:p>
    <w:p w14:paraId="7BEED035" w14:textId="77777777" w:rsidR="00877F3E" w:rsidRPr="00877F3E" w:rsidRDefault="00877F3E" w:rsidP="00877F3E">
      <w:pPr>
        <w:pStyle w:val="Normal0"/>
        <w:numPr>
          <w:ilvl w:val="0"/>
          <w:numId w:val="21"/>
        </w:numPr>
        <w:rPr>
          <w:rFonts w:eastAsia="Calibri"/>
          <w:bCs/>
          <w:sz w:val="20"/>
          <w:szCs w:val="20"/>
          <w:lang w:eastAsia="en-US"/>
        </w:rPr>
      </w:pPr>
      <w:r w:rsidRPr="00877F3E">
        <w:rPr>
          <w:rFonts w:eastAsia="Calibri"/>
          <w:b/>
          <w:bCs/>
          <w:sz w:val="20"/>
          <w:szCs w:val="20"/>
          <w:lang w:eastAsia="en-US"/>
        </w:rPr>
        <w:lastRenderedPageBreak/>
        <w:t>Respuesta:</w:t>
      </w:r>
      <w:r w:rsidRPr="00877F3E">
        <w:rPr>
          <w:rFonts w:eastAsia="Calibri"/>
          <w:bCs/>
          <w:sz w:val="20"/>
          <w:szCs w:val="20"/>
          <w:lang w:eastAsia="en-US"/>
        </w:rPr>
        <w:t xml:space="preserve"> el prestador o proveedor debe analizar la objeción y presentar la respuesta correspondiente dentro de los términos establecidos.</w:t>
      </w:r>
    </w:p>
    <w:p w14:paraId="13B66B81" w14:textId="77777777" w:rsidR="00877F3E" w:rsidRPr="00877F3E" w:rsidRDefault="00877F3E" w:rsidP="00877F3E">
      <w:pPr>
        <w:pStyle w:val="Normal0"/>
        <w:numPr>
          <w:ilvl w:val="0"/>
          <w:numId w:val="21"/>
        </w:numPr>
        <w:rPr>
          <w:rFonts w:eastAsia="Calibri"/>
          <w:bCs/>
          <w:sz w:val="20"/>
          <w:szCs w:val="20"/>
          <w:lang w:eastAsia="en-US"/>
        </w:rPr>
      </w:pPr>
      <w:r w:rsidRPr="00877F3E">
        <w:rPr>
          <w:rFonts w:eastAsia="Calibri"/>
          <w:b/>
          <w:bCs/>
          <w:sz w:val="20"/>
          <w:szCs w:val="20"/>
          <w:lang w:eastAsia="en-US"/>
        </w:rPr>
        <w:t>Trazabilidad:</w:t>
      </w:r>
      <w:r w:rsidRPr="00877F3E">
        <w:rPr>
          <w:rFonts w:eastAsia="Calibri"/>
          <w:bCs/>
          <w:sz w:val="20"/>
          <w:szCs w:val="20"/>
          <w:lang w:eastAsia="en-US"/>
        </w:rPr>
        <w:t xml:space="preserve"> las actuaciones relacionadas con la glosa deben permitir identificar la factura, la causal, los valores involucrados y la respuesta presentada.</w:t>
      </w:r>
    </w:p>
    <w:p w14:paraId="5846FD38" w14:textId="77777777" w:rsidR="00877F3E" w:rsidRPr="00877F3E" w:rsidRDefault="00877F3E" w:rsidP="00877F3E">
      <w:pPr>
        <w:pStyle w:val="Normal0"/>
        <w:numPr>
          <w:ilvl w:val="0"/>
          <w:numId w:val="21"/>
        </w:numPr>
        <w:rPr>
          <w:rFonts w:eastAsia="Calibri"/>
          <w:bCs/>
          <w:sz w:val="20"/>
          <w:szCs w:val="20"/>
          <w:lang w:eastAsia="en-US"/>
        </w:rPr>
      </w:pPr>
      <w:r w:rsidRPr="00877F3E">
        <w:rPr>
          <w:rFonts w:eastAsia="Calibri"/>
          <w:b/>
          <w:bCs/>
          <w:sz w:val="20"/>
          <w:szCs w:val="20"/>
          <w:lang w:eastAsia="en-US"/>
        </w:rPr>
        <w:t>Términos:</w:t>
      </w:r>
      <w:r w:rsidRPr="00877F3E">
        <w:rPr>
          <w:rFonts w:eastAsia="Calibri"/>
          <w:bCs/>
          <w:sz w:val="20"/>
          <w:szCs w:val="20"/>
          <w:lang w:eastAsia="en-US"/>
        </w:rPr>
        <w:t xml:space="preserve"> las glosas y sus respuestas deben tramitarse dentro de los plazos establecidos en la normativa aplicable.</w:t>
      </w:r>
    </w:p>
    <w:p w14:paraId="366D2084" w14:textId="77777777" w:rsidR="00877F3E" w:rsidRPr="00877F3E" w:rsidRDefault="00877F3E" w:rsidP="00877F3E">
      <w:pPr>
        <w:pStyle w:val="Normal0"/>
        <w:numPr>
          <w:ilvl w:val="0"/>
          <w:numId w:val="21"/>
        </w:numPr>
        <w:rPr>
          <w:rFonts w:eastAsia="Calibri"/>
          <w:bCs/>
          <w:sz w:val="20"/>
          <w:szCs w:val="20"/>
          <w:lang w:eastAsia="en-US"/>
        </w:rPr>
      </w:pPr>
      <w:r w:rsidRPr="00877F3E">
        <w:rPr>
          <w:rFonts w:eastAsia="Calibri"/>
          <w:b/>
          <w:bCs/>
          <w:sz w:val="20"/>
          <w:szCs w:val="20"/>
          <w:lang w:eastAsia="en-US"/>
        </w:rPr>
        <w:t>Nuevas glosas:</w:t>
      </w:r>
      <w:r w:rsidRPr="00877F3E">
        <w:rPr>
          <w:rFonts w:eastAsia="Calibri"/>
          <w:bCs/>
          <w:sz w:val="20"/>
          <w:szCs w:val="20"/>
          <w:lang w:eastAsia="en-US"/>
        </w:rPr>
        <w:t xml:space="preserve"> una vez formuladas las glosas a una factura, no pueden formularse nuevas glosas sobre la misma, salvo aquellas que surjan de hechos nuevos detectados en la respuesta a la glosa inicial.</w:t>
      </w:r>
    </w:p>
    <w:p w14:paraId="13853342" w14:textId="77777777" w:rsidR="00877F3E" w:rsidRPr="00877F3E" w:rsidRDefault="00877F3E" w:rsidP="00877F3E">
      <w:pPr>
        <w:pStyle w:val="Normal0"/>
        <w:rPr>
          <w:rFonts w:eastAsia="Calibri"/>
          <w:bCs/>
          <w:sz w:val="20"/>
          <w:szCs w:val="20"/>
          <w:lang w:eastAsia="en-US"/>
        </w:rPr>
      </w:pPr>
    </w:p>
    <w:p w14:paraId="780C3381" w14:textId="77777777" w:rsidR="00877F3E" w:rsidRPr="00877F3E" w:rsidRDefault="00877F3E" w:rsidP="00877F3E">
      <w:pPr>
        <w:pStyle w:val="Normal0"/>
        <w:rPr>
          <w:rFonts w:eastAsia="Calibri"/>
          <w:bCs/>
          <w:sz w:val="20"/>
          <w:szCs w:val="20"/>
          <w:lang w:eastAsia="en-US"/>
        </w:rPr>
      </w:pPr>
      <w:r w:rsidRPr="00877F3E">
        <w:rPr>
          <w:rFonts w:eastAsia="Calibri"/>
          <w:bCs/>
          <w:sz w:val="20"/>
          <w:szCs w:val="20"/>
          <w:lang w:eastAsia="en-US"/>
        </w:rPr>
        <w:t xml:space="preserve">La </w:t>
      </w:r>
      <w:r w:rsidRPr="00877F3E">
        <w:rPr>
          <w:rFonts w:eastAsia="Calibri"/>
          <w:b/>
          <w:bCs/>
          <w:sz w:val="20"/>
          <w:szCs w:val="20"/>
          <w:lang w:eastAsia="en-US"/>
        </w:rPr>
        <w:t>Circular Conjunta 007 de 2025</w:t>
      </w:r>
      <w:r w:rsidRPr="00877F3E">
        <w:rPr>
          <w:rFonts w:eastAsia="Calibri"/>
          <w:bCs/>
          <w:sz w:val="20"/>
          <w:szCs w:val="20"/>
          <w:lang w:eastAsia="en-US"/>
        </w:rPr>
        <w:t>, expedida por el Ministerio de Salud y Protección Social y la Superintendencia Nacional de Salud, reiteró que las entidades responsables de pago no pueden aplicar glosas o devoluciones injustificadas o por fuera de los plazos establecidos. También señaló que deben utilizarse las causales definidas en el Manual Único de Devoluciones, Glosas y Respuestas y que no pueden exigirse soportes adicionales a los establecidos para el trámite de las facturas.</w:t>
      </w:r>
    </w:p>
    <w:p w14:paraId="0720D57A" w14:textId="77777777" w:rsidR="00877F3E" w:rsidRPr="00877F3E" w:rsidRDefault="00877F3E" w:rsidP="00877F3E">
      <w:pPr>
        <w:pStyle w:val="Normal0"/>
        <w:rPr>
          <w:rFonts w:eastAsia="Calibri"/>
          <w:bCs/>
          <w:sz w:val="20"/>
          <w:szCs w:val="20"/>
          <w:lang w:eastAsia="en-US"/>
        </w:rPr>
      </w:pPr>
    </w:p>
    <w:p w14:paraId="11AA554E" w14:textId="77777777" w:rsidR="00877F3E" w:rsidRPr="00877F3E" w:rsidRDefault="00877F3E" w:rsidP="00877F3E">
      <w:pPr>
        <w:pStyle w:val="Normal0"/>
        <w:rPr>
          <w:rFonts w:eastAsia="Calibri"/>
          <w:bCs/>
          <w:sz w:val="20"/>
          <w:szCs w:val="20"/>
          <w:lang w:eastAsia="en-US"/>
        </w:rPr>
      </w:pPr>
      <w:r w:rsidRPr="00877F3E">
        <w:rPr>
          <w:rFonts w:eastAsia="Calibri"/>
          <w:bCs/>
          <w:sz w:val="20"/>
          <w:szCs w:val="20"/>
          <w:lang w:eastAsia="en-US"/>
        </w:rPr>
        <w:t>Las glosas también guardan relación con los manuales tarifarios. Por ejemplo, cuando una factura presenta un valor diferente al que corresponde a la tarifa establecida en el acuerdo de voluntades, puede generarse una objeción relacionada con el valor facturado. Por esta razón, la definición clara de las tarifas y condiciones económicas desde la estructuración del acuerdo contribuye a reducir inconsistencias durante la facturación y auditoría.</w:t>
      </w:r>
    </w:p>
    <w:p w14:paraId="4E975CB7" w14:textId="77777777" w:rsidR="00877F3E" w:rsidRPr="00877F3E" w:rsidRDefault="00877F3E" w:rsidP="00877F3E">
      <w:pPr>
        <w:pStyle w:val="Normal0"/>
        <w:rPr>
          <w:rFonts w:eastAsia="Calibri"/>
          <w:bCs/>
          <w:sz w:val="20"/>
          <w:szCs w:val="20"/>
          <w:lang w:eastAsia="en-US"/>
        </w:rPr>
      </w:pPr>
    </w:p>
    <w:p w14:paraId="72F2CCDB" w14:textId="1FCCA7FB" w:rsidR="00877F3E" w:rsidRDefault="00877F3E" w:rsidP="00877F3E">
      <w:pPr>
        <w:pStyle w:val="Normal0"/>
        <w:rPr>
          <w:rFonts w:eastAsia="Calibri"/>
          <w:bCs/>
          <w:sz w:val="20"/>
          <w:szCs w:val="20"/>
          <w:lang w:eastAsia="en-US"/>
        </w:rPr>
      </w:pPr>
      <w:r w:rsidRPr="00877F3E">
        <w:rPr>
          <w:rFonts w:eastAsia="Calibri"/>
          <w:bCs/>
          <w:sz w:val="20"/>
          <w:szCs w:val="20"/>
          <w:lang w:eastAsia="en-US"/>
        </w:rPr>
        <w:t>En la construcción y seguimiento de la nota técnica, las glosas pueden proporcionar información sobre diferencias entre los servicios y tecnologías proyectados, las condiciones pactadas y los valores efectivamente facturados. Sin embargo, la nota técnica no sustituye el proceso de auditoría de cuentas; su función es proporcionar información para la planeación, estimación y seguimiento de los servicios, tecnologías, frecuencias y costos asociados al acuerdo de voluntades.</w:t>
      </w:r>
    </w:p>
    <w:p w14:paraId="78A3B698" w14:textId="156ADB61" w:rsidR="00877F3E" w:rsidRDefault="00877F3E" w:rsidP="00877F3E">
      <w:pPr>
        <w:pStyle w:val="Normal0"/>
        <w:rPr>
          <w:rFonts w:eastAsia="Calibri"/>
          <w:b/>
          <w:bCs/>
          <w:sz w:val="20"/>
          <w:szCs w:val="20"/>
          <w:lang w:eastAsia="en-US"/>
        </w:rPr>
      </w:pPr>
    </w:p>
    <w:p w14:paraId="3F6EE0D8" w14:textId="77777777" w:rsidR="009723E7" w:rsidRDefault="009723E7" w:rsidP="00877F3E">
      <w:pPr>
        <w:pStyle w:val="Normal0"/>
        <w:rPr>
          <w:rFonts w:eastAsia="Calibri"/>
          <w:b/>
          <w:bCs/>
          <w:sz w:val="20"/>
          <w:szCs w:val="20"/>
          <w:lang w:eastAsia="en-US"/>
        </w:rPr>
      </w:pPr>
    </w:p>
    <w:p w14:paraId="189A154F" w14:textId="674C7554" w:rsidR="00AD590A" w:rsidRDefault="00AD590A" w:rsidP="009723E7">
      <w:pPr>
        <w:pStyle w:val="Normal0"/>
        <w:numPr>
          <w:ilvl w:val="0"/>
          <w:numId w:val="27"/>
        </w:numPr>
        <w:rPr>
          <w:rFonts w:eastAsia="Calibri"/>
          <w:b/>
          <w:bCs/>
          <w:sz w:val="20"/>
          <w:szCs w:val="20"/>
          <w:lang w:eastAsia="en-US"/>
        </w:rPr>
      </w:pPr>
      <w:r w:rsidRPr="000D04CD">
        <w:rPr>
          <w:rFonts w:eastAsia="Calibri"/>
          <w:b/>
          <w:bCs/>
          <w:sz w:val="20"/>
          <w:szCs w:val="20"/>
          <w:lang w:eastAsia="en-US"/>
        </w:rPr>
        <w:t>Elementos generales de la nota técnica</w:t>
      </w:r>
    </w:p>
    <w:p w14:paraId="7B3DFD1D" w14:textId="14244D6E" w:rsidR="00877F3E" w:rsidRDefault="00877F3E" w:rsidP="00877F3E">
      <w:pPr>
        <w:pStyle w:val="Normal0"/>
        <w:rPr>
          <w:rFonts w:eastAsia="Calibri"/>
          <w:b/>
          <w:bCs/>
          <w:sz w:val="20"/>
          <w:szCs w:val="20"/>
          <w:lang w:eastAsia="en-US"/>
        </w:rPr>
      </w:pPr>
    </w:p>
    <w:p w14:paraId="732154FE" w14:textId="77777777" w:rsidR="00877F3E" w:rsidRPr="00877F3E" w:rsidRDefault="00877F3E" w:rsidP="00877F3E">
      <w:pPr>
        <w:pStyle w:val="Normal0"/>
        <w:rPr>
          <w:rFonts w:eastAsia="Calibri"/>
          <w:bCs/>
          <w:sz w:val="20"/>
          <w:szCs w:val="20"/>
          <w:lang w:eastAsia="en-US"/>
        </w:rPr>
      </w:pPr>
      <w:r w:rsidRPr="00877F3E">
        <w:rPr>
          <w:rFonts w:eastAsia="Calibri"/>
          <w:bCs/>
          <w:sz w:val="20"/>
          <w:szCs w:val="20"/>
          <w:lang w:eastAsia="en-US"/>
        </w:rPr>
        <w:t>La nota técnica integra información relacionada con la población objeto, los servicios y tecnologías en salud, las frecuencias de uso, los costos y los riesgos asociados a la atención. Su construcción requiere analizar las características y necesidades de la población, la información histórica de utilización y las condiciones establecidas en el acuerdo de voluntades.</w:t>
      </w:r>
    </w:p>
    <w:p w14:paraId="60C67AC6" w14:textId="77777777" w:rsidR="00877F3E" w:rsidRPr="00877F3E" w:rsidRDefault="00877F3E" w:rsidP="00877F3E">
      <w:pPr>
        <w:pStyle w:val="Normal0"/>
        <w:rPr>
          <w:rFonts w:eastAsia="Calibri"/>
          <w:bCs/>
          <w:sz w:val="20"/>
          <w:szCs w:val="20"/>
          <w:lang w:eastAsia="en-US"/>
        </w:rPr>
      </w:pPr>
    </w:p>
    <w:p w14:paraId="3960EA5A" w14:textId="77777777" w:rsidR="00877F3E" w:rsidRPr="00877F3E" w:rsidRDefault="00877F3E" w:rsidP="00877F3E">
      <w:pPr>
        <w:pStyle w:val="Normal0"/>
        <w:rPr>
          <w:rFonts w:eastAsia="Calibri"/>
          <w:bCs/>
          <w:sz w:val="20"/>
          <w:szCs w:val="20"/>
          <w:lang w:eastAsia="en-US"/>
        </w:rPr>
      </w:pPr>
      <w:r w:rsidRPr="00877F3E">
        <w:rPr>
          <w:rFonts w:eastAsia="Calibri"/>
          <w:bCs/>
          <w:sz w:val="20"/>
          <w:szCs w:val="20"/>
          <w:lang w:eastAsia="en-US"/>
        </w:rPr>
        <w:t xml:space="preserve">De acuerdo con el </w:t>
      </w:r>
      <w:r w:rsidRPr="009723E7">
        <w:rPr>
          <w:rFonts w:eastAsia="Calibri"/>
          <w:b/>
          <w:bCs/>
          <w:sz w:val="20"/>
          <w:szCs w:val="20"/>
          <w:lang w:eastAsia="en-US"/>
        </w:rPr>
        <w:t>Decreto 441 de 2022</w:t>
      </w:r>
      <w:r w:rsidRPr="00877F3E">
        <w:rPr>
          <w:rFonts w:eastAsia="Calibri"/>
          <w:bCs/>
          <w:sz w:val="20"/>
          <w:szCs w:val="20"/>
          <w:lang w:eastAsia="en-US"/>
        </w:rPr>
        <w:t>, la nota técnica constituye una herramienta de transparencia y eficiencia entre las partes que suscriben un acuerdo de voluntades. En ella se detallan los servicios y tecnologías de salud, las frecuencias de uso estimadas, los costos individuales y el valor total correspondiente a la población o grupo de riesgo, considerando el periodo de duración del acuerdo y la modalidad de pago pactada.</w:t>
      </w:r>
    </w:p>
    <w:p w14:paraId="560B522A" w14:textId="77777777" w:rsidR="00877F3E" w:rsidRPr="00877F3E" w:rsidRDefault="00877F3E" w:rsidP="00877F3E">
      <w:pPr>
        <w:pStyle w:val="Normal0"/>
        <w:rPr>
          <w:rFonts w:eastAsia="Calibri"/>
          <w:bCs/>
          <w:sz w:val="20"/>
          <w:szCs w:val="20"/>
          <w:lang w:eastAsia="en-US"/>
        </w:rPr>
      </w:pPr>
    </w:p>
    <w:p w14:paraId="0B5BFC70" w14:textId="77777777" w:rsidR="00877F3E" w:rsidRPr="00877F3E" w:rsidRDefault="00877F3E" w:rsidP="00877F3E">
      <w:pPr>
        <w:pStyle w:val="Normal0"/>
        <w:rPr>
          <w:rFonts w:eastAsia="Calibri"/>
          <w:bCs/>
          <w:sz w:val="20"/>
          <w:szCs w:val="20"/>
          <w:lang w:eastAsia="en-US"/>
        </w:rPr>
      </w:pPr>
      <w:r w:rsidRPr="00877F3E">
        <w:rPr>
          <w:rFonts w:eastAsia="Calibri"/>
          <w:bCs/>
          <w:sz w:val="20"/>
          <w:szCs w:val="20"/>
          <w:lang w:eastAsia="en-US"/>
        </w:rPr>
        <w:t>La información que hace parte de la nota técnica se construye a partir de los análisis desarrollados previamente. La caracterización de la población permite establecer quiénes hacen parte de la población objeto y cuáles son sus necesidades; las fuentes de información y los registros de atención permiten analizar cómo se utilizan los servicios y tecnologías; y las condiciones de contratación, las tarifas y los riesgos permiten establecer los valores y condiciones que deben considerarse en las proyecciones.</w:t>
      </w:r>
    </w:p>
    <w:p w14:paraId="62F00CBB" w14:textId="77777777" w:rsidR="00877F3E" w:rsidRPr="00877F3E" w:rsidRDefault="00877F3E" w:rsidP="00877F3E">
      <w:pPr>
        <w:pStyle w:val="Normal0"/>
        <w:rPr>
          <w:rFonts w:eastAsia="Calibri"/>
          <w:bCs/>
          <w:sz w:val="20"/>
          <w:szCs w:val="20"/>
          <w:lang w:eastAsia="en-US"/>
        </w:rPr>
      </w:pPr>
    </w:p>
    <w:p w14:paraId="2E255D0B" w14:textId="77777777" w:rsidR="00877F3E" w:rsidRPr="00877F3E" w:rsidRDefault="00877F3E" w:rsidP="00877F3E">
      <w:pPr>
        <w:pStyle w:val="Normal0"/>
        <w:rPr>
          <w:rFonts w:eastAsia="Calibri"/>
          <w:bCs/>
          <w:sz w:val="20"/>
          <w:szCs w:val="20"/>
          <w:lang w:eastAsia="en-US"/>
        </w:rPr>
      </w:pPr>
      <w:r w:rsidRPr="00877F3E">
        <w:rPr>
          <w:rFonts w:eastAsia="Calibri"/>
          <w:bCs/>
          <w:sz w:val="20"/>
          <w:szCs w:val="20"/>
          <w:lang w:eastAsia="en-US"/>
        </w:rPr>
        <w:lastRenderedPageBreak/>
        <w:t>Por esta razón, la nota técnica no corresponde únicamente a un cálculo económico. Su construcción articula información poblacional, epidemiológica, asistencial y financiera para sustentar las estimaciones que hacen parte del acuerdo de voluntades.</w:t>
      </w:r>
    </w:p>
    <w:p w14:paraId="6A6F332E" w14:textId="77777777" w:rsidR="00877F3E" w:rsidRPr="00877F3E" w:rsidRDefault="00877F3E" w:rsidP="00877F3E">
      <w:pPr>
        <w:pStyle w:val="Normal0"/>
        <w:rPr>
          <w:rFonts w:eastAsia="Calibri"/>
          <w:bCs/>
          <w:sz w:val="20"/>
          <w:szCs w:val="20"/>
          <w:lang w:eastAsia="en-US"/>
        </w:rPr>
      </w:pPr>
    </w:p>
    <w:p w14:paraId="470B50CA" w14:textId="77777777" w:rsidR="00877F3E" w:rsidRPr="00877F3E" w:rsidRDefault="00877F3E" w:rsidP="00877F3E">
      <w:pPr>
        <w:pStyle w:val="Normal0"/>
        <w:rPr>
          <w:rFonts w:eastAsia="Calibri"/>
          <w:bCs/>
          <w:sz w:val="20"/>
          <w:szCs w:val="20"/>
          <w:lang w:eastAsia="en-US"/>
        </w:rPr>
      </w:pPr>
      <w:r w:rsidRPr="00877F3E">
        <w:rPr>
          <w:rFonts w:eastAsia="Calibri"/>
          <w:bCs/>
          <w:sz w:val="20"/>
          <w:szCs w:val="20"/>
          <w:lang w:eastAsia="en-US"/>
        </w:rPr>
        <w:t>En este apartado se abordarán tres elementos fundamentales:</w:t>
      </w:r>
    </w:p>
    <w:p w14:paraId="18273080" w14:textId="77777777" w:rsidR="00877F3E" w:rsidRPr="00877F3E" w:rsidRDefault="00877F3E" w:rsidP="00877F3E">
      <w:pPr>
        <w:pStyle w:val="Normal0"/>
        <w:rPr>
          <w:rFonts w:eastAsia="Calibri"/>
          <w:bCs/>
          <w:sz w:val="20"/>
          <w:szCs w:val="20"/>
          <w:lang w:eastAsia="en-US"/>
        </w:rPr>
      </w:pPr>
    </w:p>
    <w:p w14:paraId="327C4D2E" w14:textId="77777777" w:rsidR="00877F3E" w:rsidRPr="00877F3E" w:rsidRDefault="00877F3E" w:rsidP="00877F3E">
      <w:pPr>
        <w:pStyle w:val="Normal0"/>
        <w:numPr>
          <w:ilvl w:val="0"/>
          <w:numId w:val="23"/>
        </w:numPr>
        <w:rPr>
          <w:rFonts w:eastAsia="Calibri"/>
          <w:bCs/>
          <w:sz w:val="20"/>
          <w:szCs w:val="20"/>
          <w:lang w:eastAsia="en-US"/>
        </w:rPr>
      </w:pPr>
      <w:r w:rsidRPr="00877F3E">
        <w:rPr>
          <w:rFonts w:eastAsia="Calibri"/>
          <w:bCs/>
          <w:sz w:val="20"/>
          <w:szCs w:val="20"/>
          <w:lang w:eastAsia="en-US"/>
        </w:rPr>
        <w:t>Características y elementos: permiten comprender la finalidad de la nota técnica y la información que debe integrar.</w:t>
      </w:r>
    </w:p>
    <w:p w14:paraId="65A9BDC4" w14:textId="77777777" w:rsidR="00877F3E" w:rsidRPr="00877F3E" w:rsidRDefault="00877F3E" w:rsidP="00877F3E">
      <w:pPr>
        <w:pStyle w:val="Normal0"/>
        <w:numPr>
          <w:ilvl w:val="0"/>
          <w:numId w:val="23"/>
        </w:numPr>
        <w:rPr>
          <w:rFonts w:eastAsia="Calibri"/>
          <w:bCs/>
          <w:sz w:val="20"/>
          <w:szCs w:val="20"/>
          <w:lang w:eastAsia="en-US"/>
        </w:rPr>
      </w:pPr>
      <w:r w:rsidRPr="00877F3E">
        <w:rPr>
          <w:rFonts w:eastAsia="Calibri"/>
          <w:bCs/>
          <w:sz w:val="20"/>
          <w:szCs w:val="20"/>
          <w:lang w:eastAsia="en-US"/>
        </w:rPr>
        <w:t>Servicios, tecnologías y frecuencias de uso: relacionan la población susceptible con las atenciones que pueden requerirse y la frecuencia esperada de utilización.</w:t>
      </w:r>
    </w:p>
    <w:p w14:paraId="3BE20329" w14:textId="77777777" w:rsidR="00877F3E" w:rsidRPr="00877F3E" w:rsidRDefault="00877F3E" w:rsidP="00877F3E">
      <w:pPr>
        <w:pStyle w:val="Normal0"/>
        <w:numPr>
          <w:ilvl w:val="0"/>
          <w:numId w:val="23"/>
        </w:numPr>
        <w:rPr>
          <w:rFonts w:eastAsia="Calibri"/>
          <w:bCs/>
          <w:sz w:val="20"/>
          <w:szCs w:val="20"/>
          <w:lang w:eastAsia="en-US"/>
        </w:rPr>
      </w:pPr>
      <w:r w:rsidRPr="00877F3E">
        <w:rPr>
          <w:rFonts w:eastAsia="Calibri"/>
          <w:bCs/>
          <w:sz w:val="20"/>
          <w:szCs w:val="20"/>
          <w:lang w:eastAsia="en-US"/>
        </w:rPr>
        <w:t>Riesgo primario y riesgo técnico: permiten reconocer los riesgos asociados a las condiciones de salud de la población y a la utilización y prestación de los servicios y tecnologías.</w:t>
      </w:r>
    </w:p>
    <w:p w14:paraId="68A01881" w14:textId="77777777" w:rsidR="00877F3E" w:rsidRPr="00877F3E" w:rsidRDefault="00877F3E" w:rsidP="00877F3E">
      <w:pPr>
        <w:pStyle w:val="Normal0"/>
        <w:rPr>
          <w:rFonts w:eastAsia="Calibri"/>
          <w:bCs/>
          <w:sz w:val="20"/>
          <w:szCs w:val="20"/>
          <w:lang w:eastAsia="en-US"/>
        </w:rPr>
      </w:pPr>
    </w:p>
    <w:p w14:paraId="4FBB2D3B" w14:textId="60D8FA2F" w:rsidR="00877F3E" w:rsidRDefault="00877F3E" w:rsidP="00877F3E">
      <w:pPr>
        <w:pStyle w:val="Normal0"/>
        <w:rPr>
          <w:rFonts w:eastAsia="Calibri"/>
          <w:bCs/>
          <w:sz w:val="20"/>
          <w:szCs w:val="20"/>
          <w:lang w:eastAsia="en-US"/>
        </w:rPr>
      </w:pPr>
      <w:r w:rsidRPr="00877F3E">
        <w:rPr>
          <w:rFonts w:eastAsia="Calibri"/>
          <w:bCs/>
          <w:sz w:val="20"/>
          <w:szCs w:val="20"/>
          <w:lang w:eastAsia="en-US"/>
        </w:rPr>
        <w:t>De esta manera, los elementos generales de la nota técnica permiten integrar los contenidos desarrollados durante el componente y comprender cómo la información de la población, los servicios, las frecuencias, los costos y los riesgos se relaciona con la planeación y el seguimiento de los acuerdos de voluntades.</w:t>
      </w:r>
    </w:p>
    <w:p w14:paraId="09CC75D1" w14:textId="77777777" w:rsidR="00877F3E" w:rsidRPr="00877F3E" w:rsidRDefault="00877F3E" w:rsidP="00877F3E">
      <w:pPr>
        <w:pStyle w:val="Normal0"/>
        <w:rPr>
          <w:rFonts w:eastAsia="Calibri"/>
          <w:bCs/>
          <w:sz w:val="20"/>
          <w:szCs w:val="20"/>
          <w:lang w:eastAsia="en-US"/>
        </w:rPr>
      </w:pPr>
    </w:p>
    <w:p w14:paraId="6A304626" w14:textId="2C574830" w:rsidR="00AD590A" w:rsidRPr="00877F3E" w:rsidRDefault="008C6EC5" w:rsidP="009723E7">
      <w:pPr>
        <w:pStyle w:val="Normal0"/>
        <w:numPr>
          <w:ilvl w:val="1"/>
          <w:numId w:val="27"/>
        </w:numPr>
        <w:rPr>
          <w:rFonts w:eastAsia="Calibri"/>
          <w:b/>
          <w:bCs/>
          <w:sz w:val="20"/>
          <w:szCs w:val="20"/>
          <w:lang w:eastAsia="en-US"/>
        </w:rPr>
      </w:pPr>
      <w:r w:rsidRPr="00877F3E">
        <w:rPr>
          <w:rFonts w:eastAsia="Calibri"/>
          <w:b/>
          <w:bCs/>
          <w:sz w:val="20"/>
          <w:szCs w:val="20"/>
          <w:lang w:eastAsia="en-US"/>
        </w:rPr>
        <w:t>C</w:t>
      </w:r>
      <w:r w:rsidR="00AD590A" w:rsidRPr="00877F3E">
        <w:rPr>
          <w:rFonts w:eastAsia="Calibri"/>
          <w:b/>
          <w:bCs/>
          <w:sz w:val="20"/>
          <w:szCs w:val="20"/>
          <w:lang w:eastAsia="en-US"/>
        </w:rPr>
        <w:t>aracterísticas y elementos</w:t>
      </w:r>
    </w:p>
    <w:p w14:paraId="2B791D8D" w14:textId="606F61F8" w:rsidR="00877F3E" w:rsidRDefault="00877F3E" w:rsidP="00877F3E">
      <w:pPr>
        <w:pStyle w:val="Normal0"/>
        <w:rPr>
          <w:rFonts w:eastAsia="Calibri"/>
          <w:bCs/>
          <w:sz w:val="20"/>
          <w:szCs w:val="20"/>
          <w:lang w:eastAsia="en-US"/>
        </w:rPr>
      </w:pPr>
    </w:p>
    <w:p w14:paraId="2CFA3AE3" w14:textId="77777777" w:rsidR="00877F3E" w:rsidRPr="00877F3E" w:rsidRDefault="00877F3E" w:rsidP="00877F3E">
      <w:pPr>
        <w:pStyle w:val="Normal0"/>
        <w:rPr>
          <w:rFonts w:eastAsia="Calibri"/>
          <w:bCs/>
          <w:sz w:val="20"/>
          <w:szCs w:val="20"/>
          <w:lang w:eastAsia="en-US"/>
        </w:rPr>
      </w:pPr>
      <w:r w:rsidRPr="00877F3E">
        <w:rPr>
          <w:rFonts w:eastAsia="Calibri"/>
          <w:bCs/>
          <w:sz w:val="20"/>
          <w:szCs w:val="20"/>
          <w:lang w:eastAsia="en-US"/>
        </w:rPr>
        <w:t>La nota técnica es una herramienta que permite a las partes de un acuerdo de voluntades planear los procesos de atención, estimar los recursos necesarios para garantizar la prestación de los servicios y tecnologías en salud y realizar el seguimiento de la ejecución del acuerdo.</w:t>
      </w:r>
    </w:p>
    <w:p w14:paraId="16B1F268" w14:textId="77777777" w:rsidR="00877F3E" w:rsidRPr="00877F3E" w:rsidRDefault="00877F3E" w:rsidP="00877F3E">
      <w:pPr>
        <w:pStyle w:val="Normal0"/>
        <w:rPr>
          <w:rFonts w:eastAsia="Calibri"/>
          <w:bCs/>
          <w:sz w:val="20"/>
          <w:szCs w:val="20"/>
          <w:lang w:eastAsia="en-US"/>
        </w:rPr>
      </w:pPr>
    </w:p>
    <w:p w14:paraId="43AD2E63" w14:textId="77777777" w:rsidR="00877F3E" w:rsidRPr="00877F3E" w:rsidRDefault="00877F3E" w:rsidP="00877F3E">
      <w:pPr>
        <w:pStyle w:val="Normal0"/>
        <w:rPr>
          <w:rFonts w:eastAsia="Calibri"/>
          <w:bCs/>
          <w:sz w:val="20"/>
          <w:szCs w:val="20"/>
          <w:lang w:eastAsia="en-US"/>
        </w:rPr>
      </w:pPr>
      <w:r w:rsidRPr="00877F3E">
        <w:rPr>
          <w:rFonts w:eastAsia="Calibri"/>
          <w:bCs/>
          <w:sz w:val="20"/>
          <w:szCs w:val="20"/>
          <w:lang w:eastAsia="en-US"/>
        </w:rPr>
        <w:t xml:space="preserve">De acuerdo con el </w:t>
      </w:r>
      <w:r w:rsidRPr="00877F3E">
        <w:rPr>
          <w:rFonts w:eastAsia="Calibri"/>
          <w:b/>
          <w:bCs/>
          <w:sz w:val="20"/>
          <w:szCs w:val="20"/>
          <w:lang w:eastAsia="en-US"/>
        </w:rPr>
        <w:t>Decreto 441 de 2022</w:t>
      </w:r>
      <w:r w:rsidRPr="00877F3E">
        <w:rPr>
          <w:rFonts w:eastAsia="Calibri"/>
          <w:bCs/>
          <w:sz w:val="20"/>
          <w:szCs w:val="20"/>
          <w:lang w:eastAsia="en-US"/>
        </w:rPr>
        <w:t>, la nota técnica constituye una herramienta de transparencia y eficiencia entre las partes que suscriben el acuerdo de voluntades. En ella se detallan los servicios y tecnologías de salud, las frecuencias de uso estimadas, los costos individuales y el valor total correspondiente a la población o grupo de riesgo, considerando el periodo de duración pactado y las situaciones que puedan presentarse durante la ejecución del acuerdo.</w:t>
      </w:r>
    </w:p>
    <w:p w14:paraId="65D9650D" w14:textId="77777777" w:rsidR="00877F3E" w:rsidRPr="00877F3E" w:rsidRDefault="00877F3E" w:rsidP="00877F3E">
      <w:pPr>
        <w:pStyle w:val="Normal0"/>
        <w:rPr>
          <w:rFonts w:eastAsia="Calibri"/>
          <w:bCs/>
          <w:sz w:val="20"/>
          <w:szCs w:val="20"/>
          <w:lang w:eastAsia="en-US"/>
        </w:rPr>
      </w:pPr>
    </w:p>
    <w:p w14:paraId="6006A2CD" w14:textId="77777777" w:rsidR="00877F3E" w:rsidRPr="00877F3E" w:rsidRDefault="00877F3E" w:rsidP="00877F3E">
      <w:pPr>
        <w:pStyle w:val="Normal0"/>
        <w:rPr>
          <w:rFonts w:eastAsia="Calibri"/>
          <w:bCs/>
          <w:sz w:val="20"/>
          <w:szCs w:val="20"/>
          <w:lang w:eastAsia="en-US"/>
        </w:rPr>
      </w:pPr>
      <w:r w:rsidRPr="00877F3E">
        <w:rPr>
          <w:rFonts w:eastAsia="Calibri"/>
          <w:bCs/>
          <w:sz w:val="20"/>
          <w:szCs w:val="20"/>
          <w:lang w:eastAsia="en-US"/>
        </w:rPr>
        <w:t>Por sus características, la nota técnica debe permitir relacionar la información de la población con los servicios y tecnologías requeridos y con los valores económicos asociados. Para ello, debe considerar, entre otros, los siguientes elementos:</w:t>
      </w:r>
    </w:p>
    <w:p w14:paraId="79A06EB5" w14:textId="77777777" w:rsidR="00877F3E" w:rsidRPr="00877F3E" w:rsidRDefault="00877F3E" w:rsidP="00877F3E">
      <w:pPr>
        <w:pStyle w:val="Normal0"/>
        <w:rPr>
          <w:rFonts w:eastAsia="Calibri"/>
          <w:bCs/>
          <w:sz w:val="20"/>
          <w:szCs w:val="20"/>
          <w:lang w:eastAsia="en-US"/>
        </w:rPr>
      </w:pPr>
    </w:p>
    <w:p w14:paraId="1AC40699" w14:textId="77777777" w:rsidR="00877F3E" w:rsidRPr="00877F3E" w:rsidRDefault="00877F3E" w:rsidP="00877F3E">
      <w:pPr>
        <w:pStyle w:val="Normal0"/>
        <w:numPr>
          <w:ilvl w:val="0"/>
          <w:numId w:val="24"/>
        </w:numPr>
        <w:rPr>
          <w:rFonts w:eastAsia="Calibri"/>
          <w:bCs/>
          <w:sz w:val="20"/>
          <w:szCs w:val="20"/>
          <w:lang w:eastAsia="en-US"/>
        </w:rPr>
      </w:pPr>
      <w:r w:rsidRPr="00877F3E">
        <w:rPr>
          <w:rFonts w:eastAsia="Calibri"/>
          <w:b/>
          <w:bCs/>
          <w:sz w:val="20"/>
          <w:szCs w:val="20"/>
          <w:lang w:eastAsia="en-US"/>
        </w:rPr>
        <w:t>Población a cargo:</w:t>
      </w:r>
      <w:r w:rsidRPr="00877F3E">
        <w:rPr>
          <w:rFonts w:eastAsia="Calibri"/>
          <w:bCs/>
          <w:sz w:val="20"/>
          <w:szCs w:val="20"/>
          <w:lang w:eastAsia="en-US"/>
        </w:rPr>
        <w:t xml:space="preserve"> corresponde a la población objeto del acuerdo y constituye la base para realizar las estimaciones.</w:t>
      </w:r>
    </w:p>
    <w:p w14:paraId="6D3DE456" w14:textId="77777777" w:rsidR="00877F3E" w:rsidRPr="00877F3E" w:rsidRDefault="00877F3E" w:rsidP="00877F3E">
      <w:pPr>
        <w:pStyle w:val="Normal0"/>
        <w:numPr>
          <w:ilvl w:val="0"/>
          <w:numId w:val="24"/>
        </w:numPr>
        <w:rPr>
          <w:rFonts w:eastAsia="Calibri"/>
          <w:bCs/>
          <w:sz w:val="20"/>
          <w:szCs w:val="20"/>
          <w:lang w:eastAsia="en-US"/>
        </w:rPr>
      </w:pPr>
      <w:r w:rsidRPr="00877F3E">
        <w:rPr>
          <w:rFonts w:eastAsia="Calibri"/>
          <w:b/>
          <w:bCs/>
          <w:sz w:val="20"/>
          <w:szCs w:val="20"/>
          <w:lang w:eastAsia="en-US"/>
        </w:rPr>
        <w:t>Servicios y tecnologías en salud:</w:t>
      </w:r>
      <w:r w:rsidRPr="00877F3E">
        <w:rPr>
          <w:rFonts w:eastAsia="Calibri"/>
          <w:bCs/>
          <w:sz w:val="20"/>
          <w:szCs w:val="20"/>
          <w:lang w:eastAsia="en-US"/>
        </w:rPr>
        <w:t xml:space="preserve"> identifica las atenciones que hacen parte del acuerdo de voluntades.</w:t>
      </w:r>
    </w:p>
    <w:p w14:paraId="7A6D9F64" w14:textId="77777777" w:rsidR="00877F3E" w:rsidRPr="00877F3E" w:rsidRDefault="00877F3E" w:rsidP="00877F3E">
      <w:pPr>
        <w:pStyle w:val="Normal0"/>
        <w:numPr>
          <w:ilvl w:val="0"/>
          <w:numId w:val="24"/>
        </w:numPr>
        <w:rPr>
          <w:rFonts w:eastAsia="Calibri"/>
          <w:bCs/>
          <w:sz w:val="20"/>
          <w:szCs w:val="20"/>
          <w:lang w:eastAsia="en-US"/>
        </w:rPr>
      </w:pPr>
      <w:r w:rsidRPr="00877F3E">
        <w:rPr>
          <w:rFonts w:eastAsia="Calibri"/>
          <w:b/>
          <w:bCs/>
          <w:sz w:val="20"/>
          <w:szCs w:val="20"/>
          <w:lang w:eastAsia="en-US"/>
        </w:rPr>
        <w:t>Frecuencia de uso estimada:</w:t>
      </w:r>
      <w:r w:rsidRPr="00877F3E">
        <w:rPr>
          <w:rFonts w:eastAsia="Calibri"/>
          <w:bCs/>
          <w:sz w:val="20"/>
          <w:szCs w:val="20"/>
          <w:lang w:eastAsia="en-US"/>
        </w:rPr>
        <w:t xml:space="preserve"> establece la cantidad esperada de utilización de cada servicio o tecnología durante el periodo definido.</w:t>
      </w:r>
    </w:p>
    <w:p w14:paraId="5A88ABC0" w14:textId="77777777" w:rsidR="00877F3E" w:rsidRPr="00877F3E" w:rsidRDefault="00877F3E" w:rsidP="00877F3E">
      <w:pPr>
        <w:pStyle w:val="Normal0"/>
        <w:numPr>
          <w:ilvl w:val="0"/>
          <w:numId w:val="24"/>
        </w:numPr>
        <w:rPr>
          <w:rFonts w:eastAsia="Calibri"/>
          <w:bCs/>
          <w:sz w:val="20"/>
          <w:szCs w:val="20"/>
          <w:lang w:eastAsia="en-US"/>
        </w:rPr>
      </w:pPr>
      <w:r w:rsidRPr="00877F3E">
        <w:rPr>
          <w:rFonts w:eastAsia="Calibri"/>
          <w:b/>
          <w:bCs/>
          <w:sz w:val="20"/>
          <w:szCs w:val="20"/>
          <w:lang w:eastAsia="en-US"/>
        </w:rPr>
        <w:t>Costos individuales:</w:t>
      </w:r>
      <w:r w:rsidRPr="00877F3E">
        <w:rPr>
          <w:rFonts w:eastAsia="Calibri"/>
          <w:bCs/>
          <w:sz w:val="20"/>
          <w:szCs w:val="20"/>
          <w:lang w:eastAsia="en-US"/>
        </w:rPr>
        <w:t xml:space="preserve"> relaciona cada servicio o tecnología con el valor económico correspondiente.</w:t>
      </w:r>
    </w:p>
    <w:p w14:paraId="4831B84B" w14:textId="77777777" w:rsidR="00877F3E" w:rsidRPr="00877F3E" w:rsidRDefault="00877F3E" w:rsidP="00877F3E">
      <w:pPr>
        <w:pStyle w:val="Normal0"/>
        <w:numPr>
          <w:ilvl w:val="0"/>
          <w:numId w:val="24"/>
        </w:numPr>
        <w:rPr>
          <w:rFonts w:eastAsia="Calibri"/>
          <w:bCs/>
          <w:sz w:val="20"/>
          <w:szCs w:val="20"/>
          <w:lang w:eastAsia="en-US"/>
        </w:rPr>
      </w:pPr>
      <w:r w:rsidRPr="00877F3E">
        <w:rPr>
          <w:rFonts w:eastAsia="Calibri"/>
          <w:b/>
          <w:bCs/>
          <w:sz w:val="20"/>
          <w:szCs w:val="20"/>
          <w:lang w:eastAsia="en-US"/>
        </w:rPr>
        <w:t>Valor total:</w:t>
      </w:r>
      <w:r w:rsidRPr="00877F3E">
        <w:rPr>
          <w:rFonts w:eastAsia="Calibri"/>
          <w:bCs/>
          <w:sz w:val="20"/>
          <w:szCs w:val="20"/>
          <w:lang w:eastAsia="en-US"/>
        </w:rPr>
        <w:t xml:space="preserve"> integra los valores estimados para el conjunto de servicios y tecnologías incluidos.</w:t>
      </w:r>
    </w:p>
    <w:p w14:paraId="36780364" w14:textId="77777777" w:rsidR="00877F3E" w:rsidRPr="00877F3E" w:rsidRDefault="00877F3E" w:rsidP="00877F3E">
      <w:pPr>
        <w:pStyle w:val="Normal0"/>
        <w:numPr>
          <w:ilvl w:val="0"/>
          <w:numId w:val="24"/>
        </w:numPr>
        <w:rPr>
          <w:rFonts w:eastAsia="Calibri"/>
          <w:bCs/>
          <w:sz w:val="20"/>
          <w:szCs w:val="20"/>
          <w:lang w:eastAsia="en-US"/>
        </w:rPr>
      </w:pPr>
      <w:r w:rsidRPr="00877F3E">
        <w:rPr>
          <w:rFonts w:eastAsia="Calibri"/>
          <w:b/>
          <w:bCs/>
          <w:sz w:val="20"/>
          <w:szCs w:val="20"/>
          <w:lang w:eastAsia="en-US"/>
        </w:rPr>
        <w:t>Periodo de contratación:</w:t>
      </w:r>
      <w:r w:rsidRPr="00877F3E">
        <w:rPr>
          <w:rFonts w:eastAsia="Calibri"/>
          <w:bCs/>
          <w:sz w:val="20"/>
          <w:szCs w:val="20"/>
          <w:lang w:eastAsia="en-US"/>
        </w:rPr>
        <w:t xml:space="preserve"> delimita el tiempo durante el cual se realizan las proyecciones y se ejecuta el acuerdo.</w:t>
      </w:r>
    </w:p>
    <w:p w14:paraId="3526ED9E" w14:textId="77777777" w:rsidR="00877F3E" w:rsidRPr="00877F3E" w:rsidRDefault="00877F3E" w:rsidP="00877F3E">
      <w:pPr>
        <w:pStyle w:val="Normal0"/>
        <w:numPr>
          <w:ilvl w:val="0"/>
          <w:numId w:val="24"/>
        </w:numPr>
        <w:rPr>
          <w:rFonts w:eastAsia="Calibri"/>
          <w:bCs/>
          <w:sz w:val="20"/>
          <w:szCs w:val="20"/>
          <w:lang w:eastAsia="en-US"/>
        </w:rPr>
      </w:pPr>
      <w:r w:rsidRPr="00877F3E">
        <w:rPr>
          <w:rFonts w:eastAsia="Calibri"/>
          <w:b/>
          <w:bCs/>
          <w:sz w:val="20"/>
          <w:szCs w:val="20"/>
          <w:lang w:eastAsia="en-US"/>
        </w:rPr>
        <w:t>Población o grupo de riesgo:</w:t>
      </w:r>
      <w:r w:rsidRPr="00877F3E">
        <w:rPr>
          <w:rFonts w:eastAsia="Calibri"/>
          <w:bCs/>
          <w:sz w:val="20"/>
          <w:szCs w:val="20"/>
          <w:lang w:eastAsia="en-US"/>
        </w:rPr>
        <w:t xml:space="preserve"> permite realizar estimaciones diferenciadas cuando las características de la población o sus condiciones de salud así lo requieren.</w:t>
      </w:r>
    </w:p>
    <w:p w14:paraId="31769B85" w14:textId="77777777" w:rsidR="00877F3E" w:rsidRPr="00877F3E" w:rsidRDefault="00877F3E" w:rsidP="00877F3E">
      <w:pPr>
        <w:pStyle w:val="Normal0"/>
        <w:rPr>
          <w:rFonts w:eastAsia="Calibri"/>
          <w:bCs/>
          <w:sz w:val="20"/>
          <w:szCs w:val="20"/>
          <w:lang w:eastAsia="en-US"/>
        </w:rPr>
      </w:pPr>
    </w:p>
    <w:p w14:paraId="2E38FDFB" w14:textId="77777777" w:rsidR="00877F3E" w:rsidRPr="00877F3E" w:rsidRDefault="00877F3E" w:rsidP="00877F3E">
      <w:pPr>
        <w:pStyle w:val="Normal0"/>
        <w:rPr>
          <w:rFonts w:eastAsia="Calibri"/>
          <w:bCs/>
          <w:sz w:val="20"/>
          <w:szCs w:val="20"/>
          <w:lang w:eastAsia="en-US"/>
        </w:rPr>
      </w:pPr>
      <w:r w:rsidRPr="00877F3E">
        <w:rPr>
          <w:rFonts w:eastAsia="Calibri"/>
          <w:bCs/>
          <w:sz w:val="20"/>
          <w:szCs w:val="20"/>
          <w:lang w:eastAsia="en-US"/>
        </w:rPr>
        <w:t xml:space="preserve">Estos elementos no deben analizarse de manera independiente. La nota técnica relaciona la población, los servicios y tecnologías, las frecuencias de uso y los valores económicos para sustentar las condiciones del </w:t>
      </w:r>
      <w:r w:rsidRPr="00877F3E">
        <w:rPr>
          <w:rFonts w:eastAsia="Calibri"/>
          <w:bCs/>
          <w:sz w:val="20"/>
          <w:szCs w:val="20"/>
          <w:lang w:eastAsia="en-US"/>
        </w:rPr>
        <w:lastRenderedPageBreak/>
        <w:t>acuerdo de voluntades. Por ejemplo, la estimación de una frecuencia de uso para un procedimiento debe relacionarse con la población susceptible de recibirlo y con el valor establecido para dicho procedimiento.</w:t>
      </w:r>
    </w:p>
    <w:p w14:paraId="5B7456A8" w14:textId="77777777" w:rsidR="00877F3E" w:rsidRPr="00877F3E" w:rsidRDefault="00877F3E" w:rsidP="00877F3E">
      <w:pPr>
        <w:pStyle w:val="Normal0"/>
        <w:rPr>
          <w:rFonts w:eastAsia="Calibri"/>
          <w:bCs/>
          <w:sz w:val="20"/>
          <w:szCs w:val="20"/>
          <w:lang w:eastAsia="en-US"/>
        </w:rPr>
      </w:pPr>
    </w:p>
    <w:p w14:paraId="192D4805" w14:textId="77777777" w:rsidR="00877F3E" w:rsidRPr="00877F3E" w:rsidRDefault="00877F3E" w:rsidP="00877F3E">
      <w:pPr>
        <w:pStyle w:val="Normal0"/>
        <w:rPr>
          <w:rFonts w:eastAsia="Calibri"/>
          <w:bCs/>
          <w:sz w:val="20"/>
          <w:szCs w:val="20"/>
          <w:lang w:eastAsia="en-US"/>
        </w:rPr>
      </w:pPr>
      <w:r w:rsidRPr="00877F3E">
        <w:rPr>
          <w:rFonts w:eastAsia="Calibri"/>
          <w:bCs/>
          <w:sz w:val="20"/>
          <w:szCs w:val="20"/>
          <w:lang w:eastAsia="en-US"/>
        </w:rPr>
        <w:t>Asimismo, las frecuencias de uso pueden expresarse mediante estimaciones que consideren intervalos de frecuencias esperados, de acuerdo con la metodología utilizada para la construcción de la nota técnica. El insumo señala como referencia intervalos de confianza entre el 90 % y el 99 %.</w:t>
      </w:r>
    </w:p>
    <w:p w14:paraId="7930AB40" w14:textId="77777777" w:rsidR="00877F3E" w:rsidRPr="00877F3E" w:rsidRDefault="00877F3E" w:rsidP="00877F3E">
      <w:pPr>
        <w:pStyle w:val="Normal0"/>
        <w:rPr>
          <w:rFonts w:eastAsia="Calibri"/>
          <w:bCs/>
          <w:sz w:val="20"/>
          <w:szCs w:val="20"/>
          <w:lang w:eastAsia="en-US"/>
        </w:rPr>
      </w:pPr>
    </w:p>
    <w:p w14:paraId="5B26A25F" w14:textId="77777777" w:rsidR="00877F3E" w:rsidRPr="00877F3E" w:rsidRDefault="00877F3E" w:rsidP="00877F3E">
      <w:pPr>
        <w:pStyle w:val="Normal0"/>
        <w:rPr>
          <w:rFonts w:eastAsia="Calibri"/>
          <w:bCs/>
          <w:sz w:val="20"/>
          <w:szCs w:val="20"/>
          <w:lang w:eastAsia="en-US"/>
        </w:rPr>
      </w:pPr>
      <w:r w:rsidRPr="00877F3E">
        <w:rPr>
          <w:rFonts w:eastAsia="Calibri"/>
          <w:bCs/>
          <w:sz w:val="20"/>
          <w:szCs w:val="20"/>
          <w:lang w:eastAsia="en-US"/>
        </w:rPr>
        <w:t>En este sentido, una nota técnica se caracteriza por ser:</w:t>
      </w:r>
    </w:p>
    <w:p w14:paraId="742FF48B" w14:textId="77777777" w:rsidR="00877F3E" w:rsidRPr="00877F3E" w:rsidRDefault="00877F3E" w:rsidP="00877F3E">
      <w:pPr>
        <w:pStyle w:val="Normal0"/>
        <w:rPr>
          <w:rFonts w:eastAsia="Calibri"/>
          <w:bCs/>
          <w:sz w:val="20"/>
          <w:szCs w:val="20"/>
          <w:lang w:eastAsia="en-US"/>
        </w:rPr>
      </w:pPr>
    </w:p>
    <w:p w14:paraId="46E5DBAA" w14:textId="17240851" w:rsidR="00877F3E" w:rsidRDefault="00877F3E" w:rsidP="00877F3E">
      <w:pPr>
        <w:pStyle w:val="Normal0"/>
        <w:rPr>
          <w:rFonts w:eastAsia="Calibri"/>
          <w:bCs/>
          <w:sz w:val="20"/>
          <w:szCs w:val="20"/>
          <w:lang w:eastAsia="en-US"/>
        </w:rPr>
      </w:pPr>
      <w:r>
        <w:rPr>
          <w:rFonts w:eastAsia="Calibri"/>
          <w:bCs/>
          <w:noProof/>
          <w:sz w:val="20"/>
          <w:szCs w:val="20"/>
          <w:lang w:val="en-US" w:eastAsia="en-US"/>
        </w:rPr>
        <w:drawing>
          <wp:inline distT="0" distB="0" distL="0" distR="0" wp14:anchorId="06C64DA1" wp14:editId="3B3951E9">
            <wp:extent cx="6193155" cy="4356339"/>
            <wp:effectExtent l="0" t="0" r="17145" b="0"/>
            <wp:docPr id="17" name="Diagrama 1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8" r:lo="rId49" r:qs="rId50" r:cs="rId51"/>
              </a:graphicData>
            </a:graphic>
          </wp:inline>
        </w:drawing>
      </w:r>
    </w:p>
    <w:p w14:paraId="5C5FBA08" w14:textId="77777777" w:rsidR="00877F3E" w:rsidRPr="00877F3E" w:rsidRDefault="00877F3E" w:rsidP="00877F3E">
      <w:pPr>
        <w:pStyle w:val="Normal0"/>
        <w:rPr>
          <w:rFonts w:eastAsia="Calibri"/>
          <w:bCs/>
          <w:sz w:val="20"/>
          <w:szCs w:val="20"/>
          <w:lang w:eastAsia="en-US"/>
        </w:rPr>
      </w:pPr>
    </w:p>
    <w:p w14:paraId="2C0E4654" w14:textId="7B28E4EB" w:rsidR="00877F3E" w:rsidRDefault="00877F3E" w:rsidP="00877F3E">
      <w:pPr>
        <w:pStyle w:val="Normal0"/>
        <w:rPr>
          <w:rFonts w:eastAsia="Calibri"/>
          <w:bCs/>
          <w:sz w:val="20"/>
          <w:szCs w:val="20"/>
          <w:lang w:eastAsia="en-US"/>
        </w:rPr>
      </w:pPr>
      <w:r w:rsidRPr="00877F3E">
        <w:rPr>
          <w:rFonts w:eastAsia="Calibri"/>
          <w:bCs/>
          <w:sz w:val="20"/>
          <w:szCs w:val="20"/>
          <w:lang w:eastAsia="en-US"/>
        </w:rPr>
        <w:t>Así, la nota técnica puede entenderse como un instrumento que integra información para sustentar la planeación económica y asistencial del acuerdo de voluntades. Su construcción parte de la caracterización de la población y de sus necesidades y relaciona esta información con los servicios y tecnologías, las frecuencias de uso, los costos y los riesgos que pueden presentarse durante la ejecución.</w:t>
      </w:r>
    </w:p>
    <w:p w14:paraId="1414C3A8" w14:textId="77777777" w:rsidR="00877F3E" w:rsidRPr="000D04CD" w:rsidRDefault="00877F3E" w:rsidP="00877F3E">
      <w:pPr>
        <w:pStyle w:val="Normal0"/>
        <w:rPr>
          <w:rFonts w:eastAsia="Calibri"/>
          <w:bCs/>
          <w:sz w:val="20"/>
          <w:szCs w:val="20"/>
          <w:lang w:eastAsia="en-US"/>
        </w:rPr>
      </w:pPr>
    </w:p>
    <w:p w14:paraId="59000076" w14:textId="1AF70227" w:rsidR="00AD590A" w:rsidRPr="001379C7" w:rsidRDefault="00AD590A" w:rsidP="009723E7">
      <w:pPr>
        <w:pStyle w:val="Normal0"/>
        <w:numPr>
          <w:ilvl w:val="1"/>
          <w:numId w:val="27"/>
        </w:numPr>
        <w:rPr>
          <w:rFonts w:eastAsia="Calibri"/>
          <w:b/>
          <w:bCs/>
          <w:sz w:val="20"/>
          <w:szCs w:val="20"/>
          <w:lang w:eastAsia="en-US"/>
        </w:rPr>
      </w:pPr>
      <w:r w:rsidRPr="001379C7">
        <w:rPr>
          <w:rFonts w:eastAsia="Calibri"/>
          <w:b/>
          <w:bCs/>
          <w:sz w:val="20"/>
          <w:szCs w:val="20"/>
          <w:lang w:eastAsia="en-US"/>
        </w:rPr>
        <w:t>Servicios, tecnologías y frecuencias de uso</w:t>
      </w:r>
    </w:p>
    <w:p w14:paraId="111A5768" w14:textId="3A97DDF7" w:rsidR="001379C7" w:rsidRDefault="001379C7" w:rsidP="001379C7">
      <w:pPr>
        <w:pStyle w:val="Normal0"/>
        <w:rPr>
          <w:rFonts w:eastAsia="Calibri"/>
          <w:bCs/>
          <w:sz w:val="20"/>
          <w:szCs w:val="20"/>
          <w:lang w:eastAsia="en-US"/>
        </w:rPr>
      </w:pPr>
    </w:p>
    <w:p w14:paraId="6DF1A02F" w14:textId="77777777" w:rsidR="001379C7" w:rsidRPr="001379C7" w:rsidRDefault="001379C7" w:rsidP="001379C7">
      <w:pPr>
        <w:pStyle w:val="Normal0"/>
        <w:rPr>
          <w:rFonts w:eastAsia="Calibri"/>
          <w:bCs/>
          <w:sz w:val="20"/>
          <w:szCs w:val="20"/>
          <w:lang w:eastAsia="en-US"/>
        </w:rPr>
      </w:pPr>
      <w:r w:rsidRPr="001379C7">
        <w:rPr>
          <w:rFonts w:eastAsia="Calibri"/>
          <w:bCs/>
          <w:sz w:val="20"/>
          <w:szCs w:val="20"/>
          <w:lang w:eastAsia="en-US"/>
        </w:rPr>
        <w:t>La nota técnica relaciona los servicios y tecnologías en salud que hacen parte del acuerdo de voluntades con la frecuencia esperada de utilización por parte de la población objeto. Esta relación permite estimar la cantidad de atenciones o tecnologías que podrían requerirse durante el periodo establecido en el acuerdo.</w:t>
      </w:r>
    </w:p>
    <w:p w14:paraId="699B0A3B" w14:textId="77777777" w:rsidR="001379C7" w:rsidRPr="001379C7" w:rsidRDefault="001379C7" w:rsidP="001379C7">
      <w:pPr>
        <w:pStyle w:val="Normal0"/>
        <w:rPr>
          <w:rFonts w:eastAsia="Calibri"/>
          <w:bCs/>
          <w:sz w:val="20"/>
          <w:szCs w:val="20"/>
          <w:lang w:eastAsia="en-US"/>
        </w:rPr>
      </w:pPr>
    </w:p>
    <w:p w14:paraId="7BE46DA5" w14:textId="77777777" w:rsidR="001379C7" w:rsidRPr="001379C7" w:rsidRDefault="001379C7" w:rsidP="001379C7">
      <w:pPr>
        <w:pStyle w:val="Normal0"/>
        <w:rPr>
          <w:rFonts w:eastAsia="Calibri"/>
          <w:bCs/>
          <w:sz w:val="20"/>
          <w:szCs w:val="20"/>
          <w:lang w:eastAsia="en-US"/>
        </w:rPr>
      </w:pPr>
      <w:r w:rsidRPr="001379C7">
        <w:rPr>
          <w:rFonts w:eastAsia="Calibri"/>
          <w:bCs/>
          <w:sz w:val="20"/>
          <w:szCs w:val="20"/>
          <w:lang w:eastAsia="en-US"/>
        </w:rPr>
        <w:lastRenderedPageBreak/>
        <w:t>Los servicios y tecnologías deben identificarse de manera precisa y corresponder a las necesidades de la población analizada. Para cada uno se establece una frecuencia de uso de acuerdo con las características de la población, la información histórica disponible y las condiciones en las que se desarrolla la atención.</w:t>
      </w:r>
    </w:p>
    <w:p w14:paraId="054F4895" w14:textId="77777777" w:rsidR="001379C7" w:rsidRPr="001379C7" w:rsidRDefault="001379C7" w:rsidP="001379C7">
      <w:pPr>
        <w:pStyle w:val="Normal0"/>
        <w:rPr>
          <w:rFonts w:eastAsia="Calibri"/>
          <w:bCs/>
          <w:sz w:val="20"/>
          <w:szCs w:val="20"/>
          <w:lang w:eastAsia="en-US"/>
        </w:rPr>
      </w:pPr>
    </w:p>
    <w:p w14:paraId="4DA0367F" w14:textId="77777777" w:rsidR="001379C7" w:rsidRPr="001379C7" w:rsidRDefault="001379C7" w:rsidP="001379C7">
      <w:pPr>
        <w:pStyle w:val="Normal0"/>
        <w:rPr>
          <w:rFonts w:eastAsia="Calibri"/>
          <w:bCs/>
          <w:sz w:val="20"/>
          <w:szCs w:val="20"/>
          <w:lang w:eastAsia="en-US"/>
        </w:rPr>
      </w:pPr>
      <w:r w:rsidRPr="001379C7">
        <w:rPr>
          <w:rFonts w:eastAsia="Calibri"/>
          <w:bCs/>
          <w:sz w:val="20"/>
          <w:szCs w:val="20"/>
          <w:lang w:eastAsia="en-US"/>
        </w:rPr>
        <w:t>La frecuencia de uso corresponde a la cantidad estimada de veces que un servicio o tecnología será utilizado por una población durante un periodo determinado. Esta frecuencia no necesariamente es igual para toda la población, debido a que pueden existir diferencias relacionadas con las condiciones de salud, las características demográficas, el territorio o las condiciones operativas de la prestación.</w:t>
      </w:r>
    </w:p>
    <w:p w14:paraId="16579316" w14:textId="77777777" w:rsidR="001379C7" w:rsidRPr="001379C7" w:rsidRDefault="001379C7" w:rsidP="001379C7">
      <w:pPr>
        <w:pStyle w:val="Normal0"/>
        <w:rPr>
          <w:rFonts w:eastAsia="Calibri"/>
          <w:bCs/>
          <w:sz w:val="20"/>
          <w:szCs w:val="20"/>
          <w:lang w:eastAsia="en-US"/>
        </w:rPr>
      </w:pPr>
    </w:p>
    <w:p w14:paraId="38B26A84" w14:textId="77777777" w:rsidR="001379C7" w:rsidRPr="001379C7" w:rsidRDefault="001379C7" w:rsidP="001379C7">
      <w:pPr>
        <w:pStyle w:val="Normal0"/>
        <w:rPr>
          <w:rFonts w:eastAsia="Calibri"/>
          <w:bCs/>
          <w:sz w:val="20"/>
          <w:szCs w:val="20"/>
          <w:lang w:eastAsia="en-US"/>
        </w:rPr>
      </w:pPr>
      <w:r w:rsidRPr="001379C7">
        <w:rPr>
          <w:rFonts w:eastAsia="Calibri"/>
          <w:bCs/>
          <w:sz w:val="20"/>
          <w:szCs w:val="20"/>
          <w:lang w:eastAsia="en-US"/>
        </w:rPr>
        <w:t>Por esta razón, las frecuencias se establecen teniendo en cuenta:</w:t>
      </w:r>
    </w:p>
    <w:p w14:paraId="2FAD1449" w14:textId="77777777" w:rsidR="001379C7" w:rsidRPr="001379C7" w:rsidRDefault="001379C7" w:rsidP="001379C7">
      <w:pPr>
        <w:pStyle w:val="Normal0"/>
        <w:rPr>
          <w:rFonts w:eastAsia="Calibri"/>
          <w:bCs/>
          <w:sz w:val="20"/>
          <w:szCs w:val="20"/>
          <w:lang w:eastAsia="en-US"/>
        </w:rPr>
      </w:pPr>
    </w:p>
    <w:p w14:paraId="1DEFEF31" w14:textId="77777777" w:rsidR="001379C7" w:rsidRPr="001379C7" w:rsidRDefault="001379C7" w:rsidP="00306468">
      <w:pPr>
        <w:pStyle w:val="Normal0"/>
        <w:numPr>
          <w:ilvl w:val="0"/>
          <w:numId w:val="25"/>
        </w:numPr>
        <w:rPr>
          <w:rFonts w:eastAsia="Calibri"/>
          <w:bCs/>
          <w:sz w:val="20"/>
          <w:szCs w:val="20"/>
          <w:lang w:eastAsia="en-US"/>
        </w:rPr>
      </w:pPr>
      <w:r w:rsidRPr="009723E7">
        <w:rPr>
          <w:rFonts w:eastAsia="Calibri"/>
          <w:b/>
          <w:bCs/>
          <w:sz w:val="20"/>
          <w:szCs w:val="20"/>
          <w:lang w:eastAsia="en-US"/>
        </w:rPr>
        <w:t>Servicio o tecnología:</w:t>
      </w:r>
      <w:r w:rsidRPr="001379C7">
        <w:rPr>
          <w:rFonts w:eastAsia="Calibri"/>
          <w:bCs/>
          <w:sz w:val="20"/>
          <w:szCs w:val="20"/>
          <w:lang w:eastAsia="en-US"/>
        </w:rPr>
        <w:t xml:space="preserve"> cada servicio o tecnología requiere una estimación de frecuencia de uso.</w:t>
      </w:r>
    </w:p>
    <w:p w14:paraId="18B7E6E5" w14:textId="77777777" w:rsidR="001379C7" w:rsidRPr="001379C7" w:rsidRDefault="001379C7" w:rsidP="00306468">
      <w:pPr>
        <w:pStyle w:val="Normal0"/>
        <w:numPr>
          <w:ilvl w:val="0"/>
          <w:numId w:val="25"/>
        </w:numPr>
        <w:rPr>
          <w:rFonts w:eastAsia="Calibri"/>
          <w:bCs/>
          <w:sz w:val="20"/>
          <w:szCs w:val="20"/>
          <w:lang w:eastAsia="en-US"/>
        </w:rPr>
      </w:pPr>
      <w:r w:rsidRPr="009723E7">
        <w:rPr>
          <w:rFonts w:eastAsia="Calibri"/>
          <w:b/>
          <w:bCs/>
          <w:sz w:val="20"/>
          <w:szCs w:val="20"/>
          <w:lang w:eastAsia="en-US"/>
        </w:rPr>
        <w:t>Población:</w:t>
      </w:r>
      <w:r w:rsidRPr="001379C7">
        <w:rPr>
          <w:rFonts w:eastAsia="Calibri"/>
          <w:bCs/>
          <w:sz w:val="20"/>
          <w:szCs w:val="20"/>
          <w:lang w:eastAsia="en-US"/>
        </w:rPr>
        <w:t xml:space="preserve"> la frecuencia debe relacionarse con la población que puede requerir el servicio o tecnología.</w:t>
      </w:r>
    </w:p>
    <w:p w14:paraId="6221AC97" w14:textId="77777777" w:rsidR="001379C7" w:rsidRPr="001379C7" w:rsidRDefault="001379C7" w:rsidP="00306468">
      <w:pPr>
        <w:pStyle w:val="Normal0"/>
        <w:numPr>
          <w:ilvl w:val="0"/>
          <w:numId w:val="25"/>
        </w:numPr>
        <w:rPr>
          <w:rFonts w:eastAsia="Calibri"/>
          <w:bCs/>
          <w:sz w:val="20"/>
          <w:szCs w:val="20"/>
          <w:lang w:eastAsia="en-US"/>
        </w:rPr>
      </w:pPr>
      <w:r w:rsidRPr="009723E7">
        <w:rPr>
          <w:rFonts w:eastAsia="Calibri"/>
          <w:b/>
          <w:bCs/>
          <w:sz w:val="20"/>
          <w:szCs w:val="20"/>
          <w:lang w:eastAsia="en-US"/>
        </w:rPr>
        <w:t>Características de la población:</w:t>
      </w:r>
      <w:r w:rsidRPr="001379C7">
        <w:rPr>
          <w:rFonts w:eastAsia="Calibri"/>
          <w:bCs/>
          <w:sz w:val="20"/>
          <w:szCs w:val="20"/>
          <w:lang w:eastAsia="en-US"/>
        </w:rPr>
        <w:t xml:space="preserve"> las condiciones demográficas, epidemiológicas o de riesgo pueden generar diferencias en la utilización.</w:t>
      </w:r>
    </w:p>
    <w:p w14:paraId="40E70F0C" w14:textId="77777777" w:rsidR="001379C7" w:rsidRPr="001379C7" w:rsidRDefault="001379C7" w:rsidP="00306468">
      <w:pPr>
        <w:pStyle w:val="Normal0"/>
        <w:numPr>
          <w:ilvl w:val="0"/>
          <w:numId w:val="25"/>
        </w:numPr>
        <w:rPr>
          <w:rFonts w:eastAsia="Calibri"/>
          <w:bCs/>
          <w:sz w:val="20"/>
          <w:szCs w:val="20"/>
          <w:lang w:eastAsia="en-US"/>
        </w:rPr>
      </w:pPr>
      <w:r w:rsidRPr="009723E7">
        <w:rPr>
          <w:rFonts w:eastAsia="Calibri"/>
          <w:b/>
          <w:bCs/>
          <w:sz w:val="20"/>
          <w:szCs w:val="20"/>
          <w:lang w:eastAsia="en-US"/>
        </w:rPr>
        <w:t>Información histórica:</w:t>
      </w:r>
      <w:r w:rsidRPr="001379C7">
        <w:rPr>
          <w:rFonts w:eastAsia="Calibri"/>
          <w:bCs/>
          <w:sz w:val="20"/>
          <w:szCs w:val="20"/>
          <w:lang w:eastAsia="en-US"/>
        </w:rPr>
        <w:t xml:space="preserve"> los registros de utilización permiten identificar comportamientos que pueden servir como referencia para las estimaciones.</w:t>
      </w:r>
    </w:p>
    <w:p w14:paraId="7B39124D" w14:textId="77777777" w:rsidR="001379C7" w:rsidRPr="001379C7" w:rsidRDefault="001379C7" w:rsidP="00306468">
      <w:pPr>
        <w:pStyle w:val="Normal0"/>
        <w:numPr>
          <w:ilvl w:val="0"/>
          <w:numId w:val="25"/>
        </w:numPr>
        <w:rPr>
          <w:rFonts w:eastAsia="Calibri"/>
          <w:bCs/>
          <w:sz w:val="20"/>
          <w:szCs w:val="20"/>
          <w:lang w:eastAsia="en-US"/>
        </w:rPr>
      </w:pPr>
      <w:r w:rsidRPr="009723E7">
        <w:rPr>
          <w:rFonts w:eastAsia="Calibri"/>
          <w:b/>
          <w:bCs/>
          <w:sz w:val="20"/>
          <w:szCs w:val="20"/>
          <w:lang w:eastAsia="en-US"/>
        </w:rPr>
        <w:t>Condiciones operativas:</w:t>
      </w:r>
      <w:r w:rsidRPr="001379C7">
        <w:rPr>
          <w:rFonts w:eastAsia="Calibri"/>
          <w:bCs/>
          <w:sz w:val="20"/>
          <w:szCs w:val="20"/>
          <w:lang w:eastAsia="en-US"/>
        </w:rPr>
        <w:t xml:space="preserve"> aspectos como la disponibilidad de servicios, el talento humano y las características del territorio pueden modificar la forma en que se utilizan los servicios.</w:t>
      </w:r>
    </w:p>
    <w:p w14:paraId="57801719" w14:textId="77777777" w:rsidR="001379C7" w:rsidRPr="001379C7" w:rsidRDefault="001379C7" w:rsidP="00306468">
      <w:pPr>
        <w:pStyle w:val="Normal0"/>
        <w:numPr>
          <w:ilvl w:val="0"/>
          <w:numId w:val="25"/>
        </w:numPr>
        <w:rPr>
          <w:rFonts w:eastAsia="Calibri"/>
          <w:bCs/>
          <w:sz w:val="20"/>
          <w:szCs w:val="20"/>
          <w:lang w:eastAsia="en-US"/>
        </w:rPr>
      </w:pPr>
      <w:r w:rsidRPr="009723E7">
        <w:rPr>
          <w:rFonts w:eastAsia="Calibri"/>
          <w:b/>
          <w:bCs/>
          <w:sz w:val="20"/>
          <w:szCs w:val="20"/>
          <w:lang w:eastAsia="en-US"/>
        </w:rPr>
        <w:t>Periodo de contratación:</w:t>
      </w:r>
      <w:r w:rsidRPr="001379C7">
        <w:rPr>
          <w:rFonts w:eastAsia="Calibri"/>
          <w:bCs/>
          <w:sz w:val="20"/>
          <w:szCs w:val="20"/>
          <w:lang w:eastAsia="en-US"/>
        </w:rPr>
        <w:t xml:space="preserve"> la frecuencia debe corresponder al tiempo durante el cual se realizará la proyección.</w:t>
      </w:r>
    </w:p>
    <w:p w14:paraId="6802EF20" w14:textId="77777777" w:rsidR="001379C7" w:rsidRPr="001379C7" w:rsidRDefault="001379C7" w:rsidP="001379C7">
      <w:pPr>
        <w:pStyle w:val="Normal0"/>
        <w:rPr>
          <w:rFonts w:eastAsia="Calibri"/>
          <w:bCs/>
          <w:sz w:val="20"/>
          <w:szCs w:val="20"/>
          <w:lang w:eastAsia="en-US"/>
        </w:rPr>
      </w:pPr>
    </w:p>
    <w:p w14:paraId="35B4D42B" w14:textId="3B6F58C9" w:rsidR="001379C7" w:rsidRPr="001379C7" w:rsidRDefault="001379C7" w:rsidP="001379C7">
      <w:pPr>
        <w:pStyle w:val="Normal0"/>
        <w:rPr>
          <w:rFonts w:eastAsia="Calibri"/>
          <w:bCs/>
          <w:sz w:val="20"/>
          <w:szCs w:val="20"/>
          <w:lang w:eastAsia="en-US"/>
        </w:rPr>
      </w:pPr>
      <w:r w:rsidRPr="001379C7">
        <w:rPr>
          <w:rFonts w:eastAsia="Calibri"/>
          <w:bCs/>
          <w:sz w:val="20"/>
          <w:szCs w:val="20"/>
          <w:lang w:eastAsia="en-US"/>
        </w:rPr>
        <w:t>Cuando un mismo servicio o tecnología presenta frecuencias diferentes entre grupos de población, puede ser necesario dividir la población inicialmente definida y establecer los ponderadores correspondientes. Esto permite que la estimación represente las particularidades de cada grupo y evita aplicar una única frecuencia a poblaciones que presen</w:t>
      </w:r>
      <w:r w:rsidR="00306468">
        <w:rPr>
          <w:rFonts w:eastAsia="Calibri"/>
          <w:bCs/>
          <w:sz w:val="20"/>
          <w:szCs w:val="20"/>
          <w:lang w:eastAsia="en-US"/>
        </w:rPr>
        <w:t>tan comportamientos diferentes.</w:t>
      </w:r>
    </w:p>
    <w:p w14:paraId="02849625" w14:textId="3380B547" w:rsidR="00306468" w:rsidRDefault="00306468" w:rsidP="001379C7">
      <w:pPr>
        <w:pStyle w:val="Normal0"/>
        <w:rPr>
          <w:rFonts w:eastAsia="Calibri"/>
          <w:bCs/>
          <w:sz w:val="20"/>
          <w:szCs w:val="20"/>
          <w:lang w:eastAsia="en-US"/>
        </w:rPr>
      </w:pPr>
    </w:p>
    <w:p w14:paraId="6BB7223C" w14:textId="2DB2042B" w:rsidR="00306468" w:rsidRPr="001379C7" w:rsidRDefault="00306468" w:rsidP="00306468">
      <w:pPr>
        <w:pStyle w:val="Normal0"/>
        <w:jc w:val="center"/>
        <w:rPr>
          <w:rFonts w:eastAsia="Calibri"/>
          <w:bCs/>
          <w:sz w:val="20"/>
          <w:szCs w:val="20"/>
          <w:lang w:eastAsia="en-US"/>
        </w:rPr>
      </w:pPr>
      <w:r w:rsidRPr="00CB52D1">
        <w:rPr>
          <w:rFonts w:eastAsia="Calibri"/>
          <w:bCs/>
          <w:noProof/>
          <w:sz w:val="20"/>
          <w:szCs w:val="20"/>
          <w:lang w:val="en-US" w:eastAsia="en-US"/>
        </w:rPr>
        <mc:AlternateContent>
          <mc:Choice Requires="wps">
            <w:drawing>
              <wp:inline distT="0" distB="0" distL="0" distR="0" wp14:anchorId="2156A802" wp14:editId="14782C05">
                <wp:extent cx="5762625" cy="1404620"/>
                <wp:effectExtent l="0" t="0" r="9525" b="8890"/>
                <wp:docPr id="19"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62625" cy="1404620"/>
                        </a:xfrm>
                        <a:prstGeom prst="rect">
                          <a:avLst/>
                        </a:prstGeom>
                        <a:solidFill>
                          <a:schemeClr val="accent1">
                            <a:lumMod val="40000"/>
                            <a:lumOff val="60000"/>
                          </a:schemeClr>
                        </a:solidFill>
                        <a:ln w="9525">
                          <a:noFill/>
                          <a:miter lim="800000"/>
                          <a:headEnd/>
                          <a:tailEnd/>
                        </a:ln>
                      </wps:spPr>
                      <wps:txbx>
                        <w:txbxContent>
                          <w:p w14:paraId="6BA9468A" w14:textId="35F8DF28" w:rsidR="00306468" w:rsidRPr="00206F88" w:rsidRDefault="00306468" w:rsidP="00306468">
                            <w:pPr>
                              <w:pStyle w:val="Normal0"/>
                              <w:rPr>
                                <w:rFonts w:eastAsia="Calibri"/>
                                <w:bCs/>
                                <w:sz w:val="20"/>
                                <w:szCs w:val="20"/>
                                <w:lang w:eastAsia="en-US"/>
                              </w:rPr>
                            </w:pPr>
                            <w:r w:rsidRPr="001379C7">
                              <w:rPr>
                                <w:rFonts w:eastAsia="Calibri"/>
                                <w:bCs/>
                                <w:sz w:val="20"/>
                                <w:szCs w:val="20"/>
                                <w:lang w:eastAsia="en-US"/>
                              </w:rPr>
                              <w:t>Por ejemplo, si un servicio presenta una frecuencia de uso diferente entre población adulta y población mayor debido a sus características epidemiológicas, la estimación puede realizarse de manera diferenciada para cada grupo. Posteriormente, las frecuencias obtenidas pueden integrarse para establecer la estimación correspondiente al conjunto de la población objeto.</w:t>
                            </w:r>
                          </w:p>
                        </w:txbxContent>
                      </wps:txbx>
                      <wps:bodyPr rot="0" vert="horz" wrap="square" lIns="91440" tIns="45720" rIns="91440" bIns="45720" anchor="t" anchorCtr="0">
                        <a:spAutoFit/>
                      </wps:bodyPr>
                    </wps:wsp>
                  </a:graphicData>
                </a:graphic>
              </wp:inline>
            </w:drawing>
          </mc:Choice>
          <mc:Fallback>
            <w:pict>
              <v:shape w14:anchorId="2156A802" id="_x0000_s1038" type="#_x0000_t202" style="width:453.75pt;height:110.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" fillcolor="#b8cce4 [1300]" stroked="f">
                <v:textbox style="mso-fit-shape-to-text:t">
                  <w:txbxContent>
                    <w:p w14:paraId="6BA9468A" w14:textId="35F8DF28" w:rsidR="00306468" w:rsidRPr="00206F88" w:rsidRDefault="00306468" w:rsidP="00306468">
                      <w:pPr>
                        <w:pStyle w:val="Normal0"/>
                        <w:rPr>
                          <w:rFonts w:eastAsia="Calibri"/>
                          <w:bCs/>
                          <w:sz w:val="20"/>
                          <w:szCs w:val="20"/>
                          <w:lang w:eastAsia="en-US"/>
                        </w:rPr>
                      </w:pPr>
                      <w:r w:rsidRPr="001379C7">
                        <w:rPr>
                          <w:rFonts w:eastAsia="Calibri"/>
                          <w:bCs/>
                          <w:sz w:val="20"/>
                          <w:szCs w:val="20"/>
                          <w:lang w:eastAsia="en-US"/>
                        </w:rPr>
                        <w:t>Por ejemplo, si un servicio presenta una frecuencia de uso diferente entre población adulta y población mayor debido a sus características epidemiológicas, la estimación puede realizarse de manera diferenciada para cada grupo. Posteriormente, las frecuencias obtenidas pueden integrarse para establecer la estimación correspondiente al conjunto de la población objeto.</w:t>
                      </w:r>
                    </w:p>
                  </w:txbxContent>
                </v:textbox>
                <w10:anchorlock/>
              </v:shape>
            </w:pict>
          </mc:Fallback>
        </mc:AlternateContent>
      </w:r>
    </w:p>
    <w:p w14:paraId="262B8EC2" w14:textId="77777777" w:rsidR="001379C7" w:rsidRPr="001379C7" w:rsidRDefault="001379C7" w:rsidP="001379C7">
      <w:pPr>
        <w:pStyle w:val="Normal0"/>
        <w:rPr>
          <w:rFonts w:eastAsia="Calibri"/>
          <w:bCs/>
          <w:sz w:val="20"/>
          <w:szCs w:val="20"/>
          <w:lang w:eastAsia="en-US"/>
        </w:rPr>
      </w:pPr>
    </w:p>
    <w:p w14:paraId="6F2B1482" w14:textId="70105C8D" w:rsidR="001379C7" w:rsidRDefault="001379C7" w:rsidP="001379C7">
      <w:pPr>
        <w:pStyle w:val="Normal0"/>
        <w:rPr>
          <w:rFonts w:eastAsia="Calibri"/>
          <w:bCs/>
          <w:sz w:val="20"/>
          <w:szCs w:val="20"/>
          <w:lang w:eastAsia="en-US"/>
        </w:rPr>
      </w:pPr>
      <w:r w:rsidRPr="001379C7">
        <w:rPr>
          <w:rFonts w:eastAsia="Calibri"/>
          <w:bCs/>
          <w:sz w:val="20"/>
          <w:szCs w:val="20"/>
          <w:lang w:eastAsia="en-US"/>
        </w:rPr>
        <w:t>La información histórica constituye un insumo importante para este proceso, pero debe analizarse en relación con la población objeto y con las condiciones bajo las cuales se produjeron las atenciones. De esta manera, los datos utilizados permiten establecer frecuencias que guarden correspondencia con el comportamiento observado y con las características de la población que será atendida.</w:t>
      </w:r>
    </w:p>
    <w:p w14:paraId="4AD3EFEE" w14:textId="77777777" w:rsidR="001379C7" w:rsidRPr="000D04CD" w:rsidRDefault="001379C7" w:rsidP="001379C7">
      <w:pPr>
        <w:pStyle w:val="Normal0"/>
        <w:rPr>
          <w:rFonts w:eastAsia="Calibri"/>
          <w:bCs/>
          <w:sz w:val="20"/>
          <w:szCs w:val="20"/>
          <w:lang w:eastAsia="en-US"/>
        </w:rPr>
      </w:pPr>
    </w:p>
    <w:p w14:paraId="701E94D8" w14:textId="62EC6359" w:rsidR="00AD590A" w:rsidRPr="00306468" w:rsidRDefault="00AD590A" w:rsidP="009723E7">
      <w:pPr>
        <w:pStyle w:val="Normal0"/>
        <w:numPr>
          <w:ilvl w:val="1"/>
          <w:numId w:val="27"/>
        </w:numPr>
        <w:rPr>
          <w:b/>
          <w:sz w:val="20"/>
          <w:szCs w:val="20"/>
        </w:rPr>
      </w:pPr>
      <w:r w:rsidRPr="00306468">
        <w:rPr>
          <w:rFonts w:eastAsia="Calibri"/>
          <w:b/>
          <w:bCs/>
          <w:sz w:val="20"/>
          <w:szCs w:val="20"/>
          <w:lang w:eastAsia="en-US"/>
        </w:rPr>
        <w:t>Riesgo primario y riesgo técnico</w:t>
      </w:r>
    </w:p>
    <w:p w14:paraId="21AC3ACE" w14:textId="6758B2C5" w:rsidR="00306468" w:rsidRDefault="00306468" w:rsidP="00306468">
      <w:pPr>
        <w:pStyle w:val="Normal0"/>
        <w:rPr>
          <w:rFonts w:eastAsia="Calibri"/>
          <w:bCs/>
          <w:sz w:val="20"/>
          <w:szCs w:val="20"/>
          <w:lang w:eastAsia="en-US"/>
        </w:rPr>
      </w:pPr>
    </w:p>
    <w:p w14:paraId="256F9563" w14:textId="77777777" w:rsidR="00306468" w:rsidRPr="00306468" w:rsidRDefault="00306468" w:rsidP="00306468">
      <w:pPr>
        <w:pStyle w:val="Normal0"/>
        <w:rPr>
          <w:sz w:val="20"/>
          <w:szCs w:val="20"/>
        </w:rPr>
      </w:pPr>
      <w:r w:rsidRPr="00306468">
        <w:rPr>
          <w:sz w:val="20"/>
          <w:szCs w:val="20"/>
        </w:rPr>
        <w:t>En los acuerdos de voluntades, la estimación de los servicios y tecnologías en salud debe considerar los riesgos asociados a la población objeto y a la forma en que se prestan y utilizan los servicios. Estos riesgos pueden influir en las frecuencias de uso, los costos y los resultados esperados durante la ejecución del acuerdo.</w:t>
      </w:r>
    </w:p>
    <w:p w14:paraId="44C2C7E3" w14:textId="77777777" w:rsidR="00306468" w:rsidRPr="00306468" w:rsidRDefault="00306468" w:rsidP="00306468">
      <w:pPr>
        <w:pStyle w:val="Normal0"/>
        <w:rPr>
          <w:sz w:val="20"/>
          <w:szCs w:val="20"/>
        </w:rPr>
      </w:pPr>
    </w:p>
    <w:p w14:paraId="7F7B2FE5" w14:textId="77777777" w:rsidR="00306468" w:rsidRPr="00306468" w:rsidRDefault="00306468" w:rsidP="00306468">
      <w:pPr>
        <w:pStyle w:val="Normal0"/>
        <w:rPr>
          <w:sz w:val="20"/>
          <w:szCs w:val="20"/>
        </w:rPr>
      </w:pPr>
      <w:r w:rsidRPr="00306468">
        <w:rPr>
          <w:sz w:val="20"/>
          <w:szCs w:val="20"/>
        </w:rPr>
        <w:t>El riesgo primario se relaciona con la posibilidad de que se presenten condiciones de salud o eventos que requieran atención por parte de la población objeto. Su comportamiento está relacionado con las características demográficas y epidemiológicas de la población, así como con la ocurrencia de enfermedades, condiciones de salud y otros eventos que pueden generar necesidades de atención.</w:t>
      </w:r>
    </w:p>
    <w:p w14:paraId="33E95BA1" w14:textId="77777777" w:rsidR="00306468" w:rsidRPr="00306468" w:rsidRDefault="00306468" w:rsidP="00306468">
      <w:pPr>
        <w:pStyle w:val="Normal0"/>
        <w:rPr>
          <w:sz w:val="20"/>
          <w:szCs w:val="20"/>
        </w:rPr>
      </w:pPr>
    </w:p>
    <w:p w14:paraId="1A6CF7A6" w14:textId="77777777" w:rsidR="00306468" w:rsidRPr="00306468" w:rsidRDefault="00306468" w:rsidP="00306468">
      <w:pPr>
        <w:pStyle w:val="Normal0"/>
        <w:rPr>
          <w:sz w:val="20"/>
          <w:szCs w:val="20"/>
        </w:rPr>
      </w:pPr>
      <w:r w:rsidRPr="00306468">
        <w:rPr>
          <w:sz w:val="20"/>
          <w:szCs w:val="20"/>
        </w:rPr>
        <w:lastRenderedPageBreak/>
        <w:t>El riesgo técnico, por su parte, se relaciona con las variaciones en la utilización de recursos, la ocurrencia de complicaciones o la severidad de las condiciones de salud, cuando estas se asocian con factores no previsibles en la atención o con situaciones no soportadas en la evidencia científica.</w:t>
      </w:r>
    </w:p>
    <w:p w14:paraId="61654BB5" w14:textId="77777777" w:rsidR="00306468" w:rsidRPr="00306468" w:rsidRDefault="00306468" w:rsidP="00306468">
      <w:pPr>
        <w:pStyle w:val="Normal0"/>
        <w:rPr>
          <w:sz w:val="20"/>
          <w:szCs w:val="20"/>
        </w:rPr>
      </w:pPr>
    </w:p>
    <w:p w14:paraId="061645A2" w14:textId="77777777" w:rsidR="00306468" w:rsidRPr="00306468" w:rsidRDefault="00306468" w:rsidP="00306468">
      <w:pPr>
        <w:pStyle w:val="Normal0"/>
        <w:rPr>
          <w:sz w:val="20"/>
          <w:szCs w:val="20"/>
        </w:rPr>
      </w:pPr>
      <w:r w:rsidRPr="00306468">
        <w:rPr>
          <w:sz w:val="20"/>
          <w:szCs w:val="20"/>
        </w:rPr>
        <w:t>Para diferenciar estos conceptos, puede utilizarse la siguiente tabla:</w:t>
      </w:r>
    </w:p>
    <w:p w14:paraId="1F7A1A64" w14:textId="77777777" w:rsidR="00306468" w:rsidRPr="00306468" w:rsidRDefault="00306468" w:rsidP="00306468">
      <w:pPr>
        <w:pStyle w:val="Normal0"/>
        <w:rPr>
          <w:sz w:val="20"/>
          <w:szCs w:val="20"/>
        </w:rPr>
      </w:pPr>
    </w:p>
    <w:p w14:paraId="50CF29C6" w14:textId="2A532D32" w:rsidR="00306468" w:rsidRPr="000D04CD" w:rsidRDefault="00306468" w:rsidP="00306468">
      <w:pPr>
        <w:pStyle w:val="Normal0"/>
        <w:rPr>
          <w:sz w:val="20"/>
          <w:szCs w:val="20"/>
        </w:rPr>
      </w:pPr>
      <w:r w:rsidRPr="00306468">
        <w:rPr>
          <w:b/>
          <w:sz w:val="20"/>
          <w:szCs w:val="20"/>
        </w:rPr>
        <w:t>Tabla 8.</w:t>
      </w:r>
      <w:r w:rsidRPr="00306468">
        <w:rPr>
          <w:sz w:val="20"/>
          <w:szCs w:val="20"/>
        </w:rPr>
        <w:t xml:space="preserve"> Diferencias entre riesgo primario y riesgo técnico</w:t>
      </w:r>
    </w:p>
    <w:tbl>
      <w:tblPr>
        <w:tblStyle w:val="Tablaconcuadrcula"/>
        <w:tblW w:w="0" w:type="auto"/>
        <w:tblInd w:w="0" w:type="dxa"/>
        <w:tblLook w:val="04A0" w:firstRow="1" w:lastRow="0" w:firstColumn="1" w:lastColumn="0" w:noHBand="0" w:noVBand="1"/>
      </w:tblPr>
      <w:tblGrid>
        <w:gridCol w:w="2972"/>
        <w:gridCol w:w="3402"/>
        <w:gridCol w:w="3588"/>
      </w:tblGrid>
      <w:tr w:rsidR="00306468" w:rsidRPr="00306468" w14:paraId="6730C474" w14:textId="77777777" w:rsidTr="00306468">
        <w:tc>
          <w:tcPr>
            <w:tcW w:w="2972" w:type="dxa"/>
          </w:tcPr>
          <w:p w14:paraId="61B5CB18" w14:textId="08DD025E" w:rsidR="00306468" w:rsidRPr="00306468" w:rsidRDefault="00306468" w:rsidP="00306468">
            <w:pPr>
              <w:pStyle w:val="Normal0"/>
              <w:rPr>
                <w:b/>
                <w:color w:val="000000"/>
                <w:sz w:val="20"/>
                <w:szCs w:val="20"/>
              </w:rPr>
            </w:pPr>
            <w:r w:rsidRPr="00306468">
              <w:rPr>
                <w:b/>
                <w:sz w:val="20"/>
                <w:szCs w:val="20"/>
              </w:rPr>
              <w:t>Aspecto</w:t>
            </w:r>
          </w:p>
        </w:tc>
        <w:tc>
          <w:tcPr>
            <w:tcW w:w="3402" w:type="dxa"/>
          </w:tcPr>
          <w:p w14:paraId="163D3E60" w14:textId="21B08DAB" w:rsidR="00306468" w:rsidRPr="00306468" w:rsidRDefault="00306468" w:rsidP="00306468">
            <w:pPr>
              <w:pStyle w:val="Normal0"/>
              <w:rPr>
                <w:b/>
                <w:color w:val="000000"/>
                <w:sz w:val="20"/>
                <w:szCs w:val="20"/>
              </w:rPr>
            </w:pPr>
            <w:r w:rsidRPr="00306468">
              <w:rPr>
                <w:b/>
                <w:sz w:val="20"/>
                <w:szCs w:val="20"/>
              </w:rPr>
              <w:t>Riesgo primario</w:t>
            </w:r>
          </w:p>
        </w:tc>
        <w:tc>
          <w:tcPr>
            <w:tcW w:w="3588" w:type="dxa"/>
          </w:tcPr>
          <w:p w14:paraId="468E9682" w14:textId="0D379178" w:rsidR="00306468" w:rsidRPr="00306468" w:rsidRDefault="00306468" w:rsidP="00306468">
            <w:pPr>
              <w:pStyle w:val="Normal0"/>
              <w:rPr>
                <w:b/>
                <w:color w:val="000000"/>
                <w:sz w:val="20"/>
                <w:szCs w:val="20"/>
              </w:rPr>
            </w:pPr>
            <w:r w:rsidRPr="00306468">
              <w:rPr>
                <w:b/>
                <w:sz w:val="20"/>
                <w:szCs w:val="20"/>
              </w:rPr>
              <w:t>Riesgo técnico</w:t>
            </w:r>
          </w:p>
        </w:tc>
      </w:tr>
      <w:tr w:rsidR="00306468" w:rsidRPr="00306468" w14:paraId="7A38699F" w14:textId="77777777" w:rsidTr="00306468">
        <w:tc>
          <w:tcPr>
            <w:tcW w:w="2972" w:type="dxa"/>
          </w:tcPr>
          <w:p w14:paraId="54ED7E11" w14:textId="27D472D9" w:rsidR="00306468" w:rsidRPr="00306468" w:rsidRDefault="00306468" w:rsidP="00306468">
            <w:pPr>
              <w:pStyle w:val="Normal0"/>
              <w:rPr>
                <w:b/>
                <w:color w:val="000000"/>
                <w:sz w:val="20"/>
                <w:szCs w:val="20"/>
              </w:rPr>
            </w:pPr>
            <w:r w:rsidRPr="00306468">
              <w:rPr>
                <w:sz w:val="20"/>
                <w:szCs w:val="20"/>
              </w:rPr>
              <w:t>Relación principal</w:t>
            </w:r>
          </w:p>
        </w:tc>
        <w:tc>
          <w:tcPr>
            <w:tcW w:w="3402" w:type="dxa"/>
          </w:tcPr>
          <w:p w14:paraId="360A298B" w14:textId="1C46C8E6" w:rsidR="00306468" w:rsidRPr="00306468" w:rsidRDefault="00306468" w:rsidP="00306468">
            <w:pPr>
              <w:pStyle w:val="Normal0"/>
              <w:rPr>
                <w:b/>
                <w:color w:val="000000"/>
                <w:sz w:val="20"/>
                <w:szCs w:val="20"/>
              </w:rPr>
            </w:pPr>
            <w:r w:rsidRPr="00306468">
              <w:rPr>
                <w:sz w:val="20"/>
                <w:szCs w:val="20"/>
              </w:rPr>
              <w:t>Se relaciona con la ocurrencia de condiciones de salud en la población.</w:t>
            </w:r>
          </w:p>
        </w:tc>
        <w:tc>
          <w:tcPr>
            <w:tcW w:w="3588" w:type="dxa"/>
          </w:tcPr>
          <w:p w14:paraId="3EE88B65" w14:textId="6295DFC4" w:rsidR="00306468" w:rsidRPr="00306468" w:rsidRDefault="00306468" w:rsidP="00306468">
            <w:pPr>
              <w:pStyle w:val="Normal0"/>
              <w:rPr>
                <w:b/>
                <w:color w:val="000000"/>
                <w:sz w:val="20"/>
                <w:szCs w:val="20"/>
              </w:rPr>
            </w:pPr>
            <w:r w:rsidRPr="00306468">
              <w:rPr>
                <w:sz w:val="20"/>
                <w:szCs w:val="20"/>
              </w:rPr>
              <w:t>Se relaciona con la forma en que se utilizan los recursos y se prestan los servicios.</w:t>
            </w:r>
          </w:p>
        </w:tc>
      </w:tr>
      <w:tr w:rsidR="00306468" w:rsidRPr="00306468" w14:paraId="5542396E" w14:textId="77777777" w:rsidTr="00306468">
        <w:tc>
          <w:tcPr>
            <w:tcW w:w="2972" w:type="dxa"/>
          </w:tcPr>
          <w:p w14:paraId="6138E0FC" w14:textId="2AB65598" w:rsidR="00306468" w:rsidRPr="00306468" w:rsidRDefault="00306468" w:rsidP="00306468">
            <w:pPr>
              <w:pStyle w:val="Normal0"/>
              <w:rPr>
                <w:b/>
                <w:color w:val="000000"/>
                <w:sz w:val="20"/>
                <w:szCs w:val="20"/>
              </w:rPr>
            </w:pPr>
            <w:r w:rsidRPr="00306468">
              <w:rPr>
                <w:sz w:val="20"/>
                <w:szCs w:val="20"/>
              </w:rPr>
              <w:t>Origen</w:t>
            </w:r>
          </w:p>
        </w:tc>
        <w:tc>
          <w:tcPr>
            <w:tcW w:w="3402" w:type="dxa"/>
          </w:tcPr>
          <w:p w14:paraId="5E1C16DC" w14:textId="2FFE7792" w:rsidR="00306468" w:rsidRPr="00306468" w:rsidRDefault="00306468" w:rsidP="00306468">
            <w:pPr>
              <w:pStyle w:val="Normal0"/>
              <w:rPr>
                <w:b/>
                <w:color w:val="000000"/>
                <w:sz w:val="20"/>
                <w:szCs w:val="20"/>
              </w:rPr>
            </w:pPr>
            <w:r w:rsidRPr="00306468">
              <w:rPr>
                <w:sz w:val="20"/>
                <w:szCs w:val="20"/>
              </w:rPr>
              <w:t>Características y condiciones de salud de la población objeto.</w:t>
            </w:r>
          </w:p>
        </w:tc>
        <w:tc>
          <w:tcPr>
            <w:tcW w:w="3588" w:type="dxa"/>
          </w:tcPr>
          <w:p w14:paraId="76A5E4AA" w14:textId="503DDD3A" w:rsidR="00306468" w:rsidRPr="00306468" w:rsidRDefault="00306468" w:rsidP="00306468">
            <w:pPr>
              <w:pStyle w:val="Normal0"/>
              <w:rPr>
                <w:b/>
                <w:color w:val="000000"/>
                <w:sz w:val="20"/>
                <w:szCs w:val="20"/>
              </w:rPr>
            </w:pPr>
            <w:r w:rsidRPr="00306468">
              <w:rPr>
                <w:sz w:val="20"/>
                <w:szCs w:val="20"/>
              </w:rPr>
              <w:t>Factores relacionados con la prestación, utilización o gestión de la atención.</w:t>
            </w:r>
          </w:p>
        </w:tc>
      </w:tr>
      <w:tr w:rsidR="00306468" w:rsidRPr="00306468" w14:paraId="1DB9BBA2" w14:textId="77777777" w:rsidTr="00306468">
        <w:tc>
          <w:tcPr>
            <w:tcW w:w="2972" w:type="dxa"/>
          </w:tcPr>
          <w:p w14:paraId="68A20B8C" w14:textId="705CD4F5" w:rsidR="00306468" w:rsidRPr="00306468" w:rsidRDefault="00306468" w:rsidP="00306468">
            <w:pPr>
              <w:pStyle w:val="Normal0"/>
              <w:rPr>
                <w:b/>
                <w:color w:val="000000"/>
                <w:sz w:val="20"/>
                <w:szCs w:val="20"/>
              </w:rPr>
            </w:pPr>
            <w:r w:rsidRPr="00306468">
              <w:rPr>
                <w:sz w:val="20"/>
                <w:szCs w:val="20"/>
              </w:rPr>
              <w:t>Manifestación</w:t>
            </w:r>
          </w:p>
        </w:tc>
        <w:tc>
          <w:tcPr>
            <w:tcW w:w="3402" w:type="dxa"/>
          </w:tcPr>
          <w:p w14:paraId="2BA1EADA" w14:textId="3462A182" w:rsidR="00306468" w:rsidRPr="00306468" w:rsidRDefault="00306468" w:rsidP="00306468">
            <w:pPr>
              <w:pStyle w:val="Normal0"/>
              <w:rPr>
                <w:b/>
                <w:color w:val="000000"/>
                <w:sz w:val="20"/>
                <w:szCs w:val="20"/>
              </w:rPr>
            </w:pPr>
            <w:r w:rsidRPr="00306468">
              <w:rPr>
                <w:sz w:val="20"/>
                <w:szCs w:val="20"/>
              </w:rPr>
              <w:t>Aparición de enfermedades, condiciones de salud o eventos que generan necesidad de atención.</w:t>
            </w:r>
          </w:p>
        </w:tc>
        <w:tc>
          <w:tcPr>
            <w:tcW w:w="3588" w:type="dxa"/>
          </w:tcPr>
          <w:p w14:paraId="7DBB83BC" w14:textId="46DABE49" w:rsidR="00306468" w:rsidRPr="00306468" w:rsidRDefault="00306468" w:rsidP="00306468">
            <w:pPr>
              <w:pStyle w:val="Normal0"/>
              <w:rPr>
                <w:b/>
                <w:color w:val="000000"/>
                <w:sz w:val="20"/>
                <w:szCs w:val="20"/>
              </w:rPr>
            </w:pPr>
            <w:r w:rsidRPr="00306468">
              <w:rPr>
                <w:sz w:val="20"/>
                <w:szCs w:val="20"/>
              </w:rPr>
              <w:t>Variaciones en la utilización, complicaciones o cambios en la severidad de las condiciones de salud.</w:t>
            </w:r>
          </w:p>
        </w:tc>
      </w:tr>
      <w:tr w:rsidR="00306468" w:rsidRPr="00306468" w14:paraId="214B74AD" w14:textId="77777777" w:rsidTr="00306468">
        <w:tc>
          <w:tcPr>
            <w:tcW w:w="2972" w:type="dxa"/>
          </w:tcPr>
          <w:p w14:paraId="796004E6" w14:textId="50C2C9FD" w:rsidR="00306468" w:rsidRPr="00306468" w:rsidRDefault="00306468" w:rsidP="00306468">
            <w:pPr>
              <w:pStyle w:val="Normal0"/>
              <w:rPr>
                <w:b/>
                <w:color w:val="000000"/>
                <w:sz w:val="20"/>
                <w:szCs w:val="20"/>
              </w:rPr>
            </w:pPr>
            <w:r w:rsidRPr="00306468">
              <w:rPr>
                <w:sz w:val="20"/>
                <w:szCs w:val="20"/>
              </w:rPr>
              <w:t>Relación con la nota técnica</w:t>
            </w:r>
          </w:p>
        </w:tc>
        <w:tc>
          <w:tcPr>
            <w:tcW w:w="3402" w:type="dxa"/>
          </w:tcPr>
          <w:p w14:paraId="73A8DD98" w14:textId="5BCBD616" w:rsidR="00306468" w:rsidRPr="00306468" w:rsidRDefault="00306468" w:rsidP="00306468">
            <w:pPr>
              <w:pStyle w:val="Normal0"/>
              <w:rPr>
                <w:b/>
                <w:color w:val="000000"/>
                <w:sz w:val="20"/>
                <w:szCs w:val="20"/>
              </w:rPr>
            </w:pPr>
            <w:r w:rsidRPr="00306468">
              <w:rPr>
                <w:sz w:val="20"/>
                <w:szCs w:val="20"/>
              </w:rPr>
              <w:t>Contribuye a estimar las necesidades de atención y la población susceptible.</w:t>
            </w:r>
          </w:p>
        </w:tc>
        <w:tc>
          <w:tcPr>
            <w:tcW w:w="3588" w:type="dxa"/>
          </w:tcPr>
          <w:p w14:paraId="3049FBBE" w14:textId="35E0E867" w:rsidR="00306468" w:rsidRPr="00306468" w:rsidRDefault="00306468" w:rsidP="00306468">
            <w:pPr>
              <w:pStyle w:val="Normal0"/>
              <w:rPr>
                <w:b/>
                <w:color w:val="000000"/>
                <w:sz w:val="20"/>
                <w:szCs w:val="20"/>
              </w:rPr>
            </w:pPr>
            <w:r w:rsidRPr="00306468">
              <w:rPr>
                <w:sz w:val="20"/>
                <w:szCs w:val="20"/>
              </w:rPr>
              <w:t>Permite considerar variaciones que pueden afectar las frecuencias, los costos y los resultados esperados.</w:t>
            </w:r>
          </w:p>
        </w:tc>
      </w:tr>
    </w:tbl>
    <w:p w14:paraId="34D8C589" w14:textId="7B1EE32C" w:rsidR="00DE177A" w:rsidRDefault="00DE177A" w:rsidP="007A5C2D">
      <w:pPr>
        <w:pStyle w:val="Normal0"/>
        <w:rPr>
          <w:b/>
          <w:color w:val="000000"/>
          <w:sz w:val="20"/>
          <w:szCs w:val="20"/>
        </w:rPr>
      </w:pPr>
    </w:p>
    <w:p w14:paraId="7D2547FE" w14:textId="77777777" w:rsidR="00306468" w:rsidRPr="00306468" w:rsidRDefault="00306468" w:rsidP="00306468">
      <w:pPr>
        <w:pStyle w:val="Normal0"/>
        <w:rPr>
          <w:color w:val="000000"/>
          <w:sz w:val="20"/>
          <w:szCs w:val="20"/>
        </w:rPr>
      </w:pPr>
      <w:r w:rsidRPr="00306468">
        <w:rPr>
          <w:color w:val="000000"/>
          <w:sz w:val="20"/>
          <w:szCs w:val="20"/>
        </w:rPr>
        <w:t>El riesgo técnico comprende dos componentes principales:</w:t>
      </w:r>
    </w:p>
    <w:p w14:paraId="1A47D064" w14:textId="77777777" w:rsidR="00306468" w:rsidRPr="00306468" w:rsidRDefault="00306468" w:rsidP="00306468">
      <w:pPr>
        <w:pStyle w:val="Normal0"/>
        <w:rPr>
          <w:color w:val="000000"/>
          <w:sz w:val="20"/>
          <w:szCs w:val="20"/>
        </w:rPr>
      </w:pPr>
    </w:p>
    <w:p w14:paraId="50123C35" w14:textId="77777777" w:rsidR="00306468" w:rsidRPr="00306468" w:rsidRDefault="00306468" w:rsidP="00306468">
      <w:pPr>
        <w:pStyle w:val="Normal0"/>
        <w:numPr>
          <w:ilvl w:val="0"/>
          <w:numId w:val="26"/>
        </w:numPr>
        <w:rPr>
          <w:color w:val="000000"/>
          <w:sz w:val="20"/>
          <w:szCs w:val="20"/>
        </w:rPr>
      </w:pPr>
      <w:r w:rsidRPr="00306468">
        <w:rPr>
          <w:b/>
          <w:color w:val="000000"/>
          <w:sz w:val="20"/>
          <w:szCs w:val="20"/>
        </w:rPr>
        <w:t>Riesgo técnico de morbilidad evitable:</w:t>
      </w:r>
      <w:r w:rsidRPr="00306468">
        <w:rPr>
          <w:color w:val="000000"/>
          <w:sz w:val="20"/>
          <w:szCs w:val="20"/>
        </w:rPr>
        <w:t xml:space="preserve"> corresponde a la ocurrencia de complicaciones clínicas o al aumento de la severidad de una condición de salud asociado con fallas en el modelo de prestación, la seguridad del paciente, la coordinación entre prestadores o la aplicación de guías de práctica clínica y protocolos de atención.</w:t>
      </w:r>
    </w:p>
    <w:p w14:paraId="669C99B7" w14:textId="77777777" w:rsidR="00306468" w:rsidRPr="00306468" w:rsidRDefault="00306468" w:rsidP="00306468">
      <w:pPr>
        <w:pStyle w:val="Normal0"/>
        <w:numPr>
          <w:ilvl w:val="0"/>
          <w:numId w:val="26"/>
        </w:numPr>
        <w:rPr>
          <w:color w:val="000000"/>
          <w:sz w:val="20"/>
          <w:szCs w:val="20"/>
        </w:rPr>
      </w:pPr>
      <w:r w:rsidRPr="00306468">
        <w:rPr>
          <w:b/>
          <w:color w:val="000000"/>
          <w:sz w:val="20"/>
          <w:szCs w:val="20"/>
        </w:rPr>
        <w:t>Riesgo técnico de utilización</w:t>
      </w:r>
      <w:r w:rsidRPr="00306468">
        <w:rPr>
          <w:color w:val="000000"/>
          <w:sz w:val="20"/>
          <w:szCs w:val="20"/>
        </w:rPr>
        <w:t>: corresponde a la variabilidad en el uso de servicios y tecnologías en salud que no se encuentra soportada en la evidencia científica.</w:t>
      </w:r>
    </w:p>
    <w:p w14:paraId="20C1E0DE" w14:textId="77777777" w:rsidR="00306468" w:rsidRPr="00306468" w:rsidRDefault="00306468" w:rsidP="00306468">
      <w:pPr>
        <w:pStyle w:val="Normal0"/>
        <w:rPr>
          <w:color w:val="000000"/>
          <w:sz w:val="20"/>
          <w:szCs w:val="20"/>
        </w:rPr>
      </w:pPr>
    </w:p>
    <w:p w14:paraId="48DC60E4" w14:textId="77777777" w:rsidR="00306468" w:rsidRPr="00306468" w:rsidRDefault="00306468" w:rsidP="00306468">
      <w:pPr>
        <w:pStyle w:val="Normal0"/>
        <w:rPr>
          <w:color w:val="000000"/>
          <w:sz w:val="20"/>
          <w:szCs w:val="20"/>
        </w:rPr>
      </w:pPr>
      <w:r w:rsidRPr="00306468">
        <w:rPr>
          <w:color w:val="000000"/>
          <w:sz w:val="20"/>
          <w:szCs w:val="20"/>
        </w:rPr>
        <w:t>La consideración de estos riesgos permite comprender que las proyecciones de una nota técnica no dependen únicamente del número de personas que conforman la población objeto. También es necesario analizar las condiciones de salud de dicha población y las situaciones que pueden modificar la utilización de los servicios y tecnologías.</w:t>
      </w:r>
    </w:p>
    <w:p w14:paraId="0309CF9F" w14:textId="0822AE6A" w:rsidR="00306468" w:rsidRDefault="00306468" w:rsidP="00306468">
      <w:pPr>
        <w:pStyle w:val="Normal0"/>
        <w:rPr>
          <w:color w:val="000000"/>
          <w:sz w:val="20"/>
          <w:szCs w:val="20"/>
        </w:rPr>
      </w:pPr>
    </w:p>
    <w:p w14:paraId="767DF5BA" w14:textId="4E2FA997" w:rsidR="00306468" w:rsidRPr="00306468" w:rsidRDefault="00306468" w:rsidP="00306468">
      <w:pPr>
        <w:pStyle w:val="Normal0"/>
        <w:jc w:val="center"/>
        <w:rPr>
          <w:color w:val="000000"/>
          <w:sz w:val="20"/>
          <w:szCs w:val="20"/>
        </w:rPr>
      </w:pPr>
      <w:r w:rsidRPr="00CB52D1">
        <w:rPr>
          <w:rFonts w:eastAsia="Calibri"/>
          <w:bCs/>
          <w:noProof/>
          <w:sz w:val="20"/>
          <w:szCs w:val="20"/>
          <w:lang w:val="en-US" w:eastAsia="en-US"/>
        </w:rPr>
        <mc:AlternateContent>
          <mc:Choice Requires="wps">
            <w:drawing>
              <wp:inline distT="0" distB="0" distL="0" distR="0" wp14:anchorId="1589F0A2" wp14:editId="67E1241B">
                <wp:extent cx="5762625" cy="1404620"/>
                <wp:effectExtent l="0" t="0" r="9525" b="8890"/>
                <wp:docPr id="20"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62625" cy="1404620"/>
                        </a:xfrm>
                        <a:prstGeom prst="rect">
                          <a:avLst/>
                        </a:prstGeom>
                        <a:solidFill>
                          <a:schemeClr val="accent1">
                            <a:lumMod val="40000"/>
                            <a:lumOff val="60000"/>
                          </a:schemeClr>
                        </a:solidFill>
                        <a:ln w="9525">
                          <a:noFill/>
                          <a:miter lim="800000"/>
                          <a:headEnd/>
                          <a:tailEnd/>
                        </a:ln>
                      </wps:spPr>
                      <wps:txbx>
                        <w:txbxContent>
                          <w:p w14:paraId="5948CF77" w14:textId="236381AE" w:rsidR="00306468" w:rsidRPr="00306468" w:rsidRDefault="00306468" w:rsidP="00306468">
                            <w:pPr>
                              <w:pStyle w:val="Normal0"/>
                              <w:rPr>
                                <w:color w:val="000000"/>
                                <w:sz w:val="20"/>
                                <w:szCs w:val="20"/>
                              </w:rPr>
                            </w:pPr>
                            <w:r w:rsidRPr="00306468">
                              <w:rPr>
                                <w:color w:val="000000"/>
                                <w:sz w:val="20"/>
                                <w:szCs w:val="20"/>
                              </w:rPr>
                              <w:t>Por ejemplo, una población con una mayor presencia de determinadas condiciones de salud puede presentar una necesidad de atención superior a la estimada inicialmente. De igual manera, una complicación asociada con fallas en la prestación puede generar servicios adicionales y modificar las frecuencias y los costos proyectados.</w:t>
                            </w:r>
                          </w:p>
                        </w:txbxContent>
                      </wps:txbx>
                      <wps:bodyPr rot="0" vert="horz" wrap="square" lIns="91440" tIns="45720" rIns="91440" bIns="45720" anchor="t" anchorCtr="0">
                        <a:spAutoFit/>
                      </wps:bodyPr>
                    </wps:wsp>
                  </a:graphicData>
                </a:graphic>
              </wp:inline>
            </w:drawing>
          </mc:Choice>
          <mc:Fallback>
            <w:pict>
              <v:shape w14:anchorId="1589F0A2" id="_x0000_s1039" type="#_x0000_t202" style="width:453.75pt;height:110.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" fillcolor="#b8cce4 [1300]" stroked="f">
                <v:textbox style="mso-fit-shape-to-text:t">
                  <w:txbxContent>
                    <w:p w14:paraId="5948CF77" w14:textId="236381AE" w:rsidR="00306468" w:rsidRPr="00306468" w:rsidRDefault="00306468" w:rsidP="00306468">
                      <w:pPr>
                        <w:pStyle w:val="Normal0"/>
                        <w:rPr>
                          <w:color w:val="000000"/>
                          <w:sz w:val="20"/>
                          <w:szCs w:val="20"/>
                        </w:rPr>
                      </w:pPr>
                      <w:r w:rsidRPr="00306468">
                        <w:rPr>
                          <w:color w:val="000000"/>
                          <w:sz w:val="20"/>
                          <w:szCs w:val="20"/>
                        </w:rPr>
                        <w:t>Por ejemplo, una población con una mayor presencia de determinadas condiciones de salud puede presentar una necesidad de atención superior a la estimada inicialmente. De igual manera, una complicación asociada con fallas en la prestación puede generar servicios adicionales y modificar las frecuencias y los costos proyectados.</w:t>
                      </w:r>
                    </w:p>
                  </w:txbxContent>
                </v:textbox>
                <w10:anchorlock/>
              </v:shape>
            </w:pict>
          </mc:Fallback>
        </mc:AlternateContent>
      </w:r>
    </w:p>
    <w:p w14:paraId="0B949BF4" w14:textId="77777777" w:rsidR="00306468" w:rsidRPr="00306468" w:rsidRDefault="00306468" w:rsidP="00306468">
      <w:pPr>
        <w:pStyle w:val="Normal0"/>
        <w:rPr>
          <w:color w:val="000000"/>
          <w:sz w:val="20"/>
          <w:szCs w:val="20"/>
        </w:rPr>
      </w:pPr>
    </w:p>
    <w:p w14:paraId="6AFDF6FC" w14:textId="5F2F8F12" w:rsidR="00DE177A" w:rsidRPr="00306468" w:rsidRDefault="00306468" w:rsidP="00306468">
      <w:pPr>
        <w:pStyle w:val="Normal0"/>
        <w:rPr>
          <w:color w:val="000000"/>
          <w:sz w:val="20"/>
          <w:szCs w:val="20"/>
        </w:rPr>
      </w:pPr>
      <w:r w:rsidRPr="00306468">
        <w:rPr>
          <w:color w:val="000000"/>
          <w:sz w:val="20"/>
          <w:szCs w:val="20"/>
        </w:rPr>
        <w:t>En este sentido, el análisis del riesgo primario contribuye a establecer las necesidades esperadas de la población, mientras que el riesgo técnico permite considerar posibles variaciones relacionadas con la prestación y utilización de los servicios. Ambos constituyen elementos que pueden incorporarse en las estimaciones y en el seguimiento de la nota técnica.</w:t>
      </w:r>
    </w:p>
    <w:p w14:paraId="0A7D4EF5" w14:textId="044AB5EB" w:rsidR="00DE177A" w:rsidRDefault="00DE177A" w:rsidP="007A5C2D">
      <w:pPr>
        <w:pStyle w:val="Normal0"/>
        <w:rPr>
          <w:b/>
          <w:color w:val="000000"/>
          <w:sz w:val="20"/>
          <w:szCs w:val="20"/>
        </w:rPr>
      </w:pPr>
    </w:p>
    <w:p w14:paraId="4131B297" w14:textId="2A9D29DE" w:rsidR="00DE177A" w:rsidRDefault="00DE177A" w:rsidP="007A5C2D">
      <w:pPr>
        <w:pStyle w:val="Normal0"/>
        <w:rPr>
          <w:b/>
          <w:color w:val="000000"/>
          <w:sz w:val="20"/>
          <w:szCs w:val="20"/>
        </w:rPr>
      </w:pPr>
    </w:p>
    <w:p w14:paraId="6A5BE969" w14:textId="63165116" w:rsidR="00DE177A" w:rsidRDefault="00DE177A" w:rsidP="007A5C2D">
      <w:pPr>
        <w:pStyle w:val="Normal0"/>
        <w:rPr>
          <w:b/>
          <w:color w:val="000000"/>
          <w:sz w:val="20"/>
          <w:szCs w:val="20"/>
        </w:rPr>
      </w:pPr>
    </w:p>
    <w:p w14:paraId="00000070" w14:textId="12B65566" w:rsidR="00AD17D4" w:rsidRPr="009B49E3" w:rsidRDefault="00025888" w:rsidP="007A5C2D">
      <w:pPr>
        <w:pStyle w:val="Normal0"/>
        <w:numPr>
          <w:ilvl w:val="0"/>
          <w:numId w:val="1"/>
        </w:numPr>
        <w:ind w:left="284" w:hanging="284"/>
        <w:rPr>
          <w:b/>
          <w:color w:val="000000"/>
          <w:sz w:val="20"/>
          <w:szCs w:val="20"/>
        </w:rPr>
      </w:pPr>
      <w:r w:rsidRPr="009B49E3">
        <w:rPr>
          <w:b/>
          <w:sz w:val="20"/>
          <w:szCs w:val="20"/>
        </w:rPr>
        <w:lastRenderedPageBreak/>
        <w:t>SÍNTESIS</w:t>
      </w:r>
    </w:p>
    <w:p w14:paraId="00000071" w14:textId="77777777" w:rsidR="00AD17D4" w:rsidRPr="009B49E3" w:rsidRDefault="00AD17D4" w:rsidP="007A5C2D">
      <w:pPr>
        <w:pStyle w:val="Normal0"/>
        <w:rPr>
          <w:sz w:val="20"/>
          <w:szCs w:val="20"/>
        </w:rPr>
      </w:pPr>
    </w:p>
    <w:p w14:paraId="0D0CA0AB" w14:textId="77777777" w:rsidR="001C36A2" w:rsidRPr="001C36A2" w:rsidRDefault="001C36A2" w:rsidP="001C36A2">
      <w:pPr>
        <w:spacing w:after="160" w:line="259" w:lineRule="auto"/>
        <w:rPr>
          <w:sz w:val="20"/>
          <w:szCs w:val="20"/>
        </w:rPr>
      </w:pPr>
      <w:r w:rsidRPr="001C36A2">
        <w:rPr>
          <w:sz w:val="20"/>
          <w:szCs w:val="20"/>
        </w:rPr>
        <w:t xml:space="preserve">El componente aborda los fundamentos para la elaboración de una nota técnica en los procesos de contratación en salud, partiendo de la caracterización de la población objeto, sus regímenes de afiliación, determinantes, necesidades, parámetros epidemiológicos y población susceptible, así como de la identificación y codificación de los servicios y tecnologías requeridos. También desarrolla el análisis de las fuentes de información, las frecuencias de uso, la oferta y demanda de servicios y la validación de los soportes de atención. Además, presenta los principales elementos de la contratación en salud, su marco normativo, las modalidades de pago y el RIPS, junto con aspectos relacionados con la calidad, la habilitación, la gestión del riesgo, la seguridad del paciente y las RIAS. Finalmente, aborda los manuales tarifarios, las glosas y los elementos generales de la nota técnica, incluyendo los servicios y tecnologías, las frecuencias de uso, el riesgo primario y el riesgo </w:t>
      </w:r>
      <w:commentRangeStart w:id="0"/>
      <w:r w:rsidRPr="001C36A2">
        <w:rPr>
          <w:sz w:val="20"/>
          <w:szCs w:val="20"/>
        </w:rPr>
        <w:t>técnico</w:t>
      </w:r>
      <w:commentRangeEnd w:id="0"/>
      <w:r w:rsidRPr="001C36A2">
        <w:rPr>
          <w:sz w:val="16"/>
          <w:szCs w:val="16"/>
        </w:rPr>
        <w:commentReference w:id="0"/>
      </w:r>
      <w:r w:rsidRPr="001C36A2">
        <w:rPr>
          <w:sz w:val="20"/>
          <w:szCs w:val="20"/>
        </w:rPr>
        <w:t>.</w:t>
      </w:r>
    </w:p>
    <w:p w14:paraId="67A29513" w14:textId="17913B98" w:rsidR="00AD17D4" w:rsidRDefault="00AD17D4" w:rsidP="007A5C2D">
      <w:pPr>
        <w:pStyle w:val="Normal0"/>
        <w:rPr>
          <w:sz w:val="20"/>
          <w:szCs w:val="20"/>
          <w:lang w:val="en-US" w:eastAsia="en-US"/>
        </w:rPr>
      </w:pPr>
    </w:p>
    <w:p w14:paraId="39A8050B" w14:textId="39C56BF3" w:rsidR="001C36A2" w:rsidRPr="009B49E3" w:rsidRDefault="0025269A" w:rsidP="007A5C2D">
      <w:pPr>
        <w:pStyle w:val="Normal0"/>
        <w:rPr>
          <w:sz w:val="20"/>
          <w:szCs w:val="20"/>
          <w:lang w:val="en-US" w:eastAsia="en-US"/>
        </w:rPr>
      </w:pPr>
      <w:r w:rsidRPr="0025269A">
        <w:rPr>
          <w:sz w:val="20"/>
          <w:szCs w:val="20"/>
          <w:lang w:val="en-US" w:eastAsia="en-US"/>
        </w:rPr>
        <w:drawing>
          <wp:inline distT="0" distB="0" distL="0" distR="0" wp14:anchorId="48B68040" wp14:editId="1CA67AE5">
            <wp:extent cx="6332220" cy="5260340"/>
            <wp:effectExtent l="0" t="0" r="0"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6332220" cy="5260340"/>
                    </a:xfrm>
                    <a:prstGeom prst="rect">
                      <a:avLst/>
                    </a:prstGeom>
                  </pic:spPr>
                </pic:pic>
              </a:graphicData>
            </a:graphic>
          </wp:inline>
        </w:drawing>
      </w:r>
    </w:p>
    <w:p w14:paraId="3F0E866B" w14:textId="248DA273" w:rsidR="009B1481" w:rsidRPr="009B49E3" w:rsidRDefault="009B1481" w:rsidP="007A5C2D">
      <w:pPr>
        <w:pStyle w:val="Normal0"/>
        <w:rPr>
          <w:sz w:val="20"/>
          <w:szCs w:val="20"/>
          <w:lang w:val="en-US" w:eastAsia="en-US"/>
        </w:rPr>
      </w:pPr>
    </w:p>
    <w:p w14:paraId="70E158DC" w14:textId="3B61C9B8" w:rsidR="00AD17D4" w:rsidRPr="009B49E3" w:rsidRDefault="00AD17D4" w:rsidP="007A5C2D">
      <w:pPr>
        <w:pStyle w:val="Normal0"/>
        <w:jc w:val="center"/>
        <w:rPr>
          <w:sz w:val="20"/>
          <w:szCs w:val="20"/>
          <w:lang w:val="en-US" w:eastAsia="en-US"/>
        </w:rPr>
      </w:pPr>
    </w:p>
    <w:p w14:paraId="4A68BAB0" w14:textId="1B5C7AD8" w:rsidR="00AD17D4" w:rsidRDefault="00AD17D4" w:rsidP="007A5C2D">
      <w:pPr>
        <w:pStyle w:val="Normal0"/>
        <w:rPr>
          <w:sz w:val="20"/>
          <w:szCs w:val="20"/>
          <w:lang w:val="en-US" w:eastAsia="en-US"/>
        </w:rPr>
      </w:pPr>
    </w:p>
    <w:p w14:paraId="45E16734" w14:textId="51957036" w:rsidR="00854D2C" w:rsidRDefault="00854D2C" w:rsidP="007A5C2D">
      <w:pPr>
        <w:pStyle w:val="Normal0"/>
        <w:rPr>
          <w:sz w:val="20"/>
          <w:szCs w:val="20"/>
          <w:lang w:val="en-US" w:eastAsia="en-US"/>
        </w:rPr>
      </w:pPr>
    </w:p>
    <w:p w14:paraId="00000075" w14:textId="77777777" w:rsidR="00AD17D4" w:rsidRPr="009B49E3" w:rsidRDefault="00025888" w:rsidP="007A5C2D">
      <w:pPr>
        <w:pStyle w:val="Normal0"/>
        <w:numPr>
          <w:ilvl w:val="0"/>
          <w:numId w:val="1"/>
        </w:numPr>
        <w:ind w:left="284" w:hanging="284"/>
        <w:rPr>
          <w:b/>
          <w:color w:val="000000"/>
          <w:sz w:val="20"/>
          <w:szCs w:val="20"/>
        </w:rPr>
      </w:pPr>
      <w:r w:rsidRPr="009B49E3">
        <w:rPr>
          <w:b/>
          <w:color w:val="000000"/>
          <w:sz w:val="20"/>
          <w:szCs w:val="20"/>
        </w:rPr>
        <w:lastRenderedPageBreak/>
        <w:t>ACTIVIDADES DIDÁCTICAS</w:t>
      </w:r>
    </w:p>
    <w:p w14:paraId="0000008A" w14:textId="15551067" w:rsidR="00AD17D4" w:rsidRPr="009B49E3" w:rsidRDefault="00AD17D4" w:rsidP="007A5C2D">
      <w:pPr>
        <w:pStyle w:val="Normal0"/>
        <w:rPr>
          <w:color w:val="7F7F7F"/>
          <w:sz w:val="20"/>
          <w:szCs w:val="20"/>
        </w:rPr>
      </w:pPr>
    </w:p>
    <w:tbl>
      <w:tblPr>
        <w:tblW w:w="0" w:type="auto"/>
        <w:tblInd w:w="42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2693"/>
        <w:gridCol w:w="6848"/>
      </w:tblGrid>
      <w:tr w:rsidR="003310C6" w:rsidRPr="009B49E3" w14:paraId="55E7F395" w14:textId="77777777" w:rsidTr="003310C6">
        <w:trPr>
          <w:trHeight w:val="491"/>
        </w:trPr>
        <w:tc>
          <w:tcPr>
            <w:tcW w:w="0" w:type="auto"/>
            <w:gridSpan w:val="2"/>
            <w:shd w:val="clear" w:color="auto" w:fill="000000" w:themeFill="text1"/>
            <w:vAlign w:val="center"/>
          </w:tcPr>
          <w:p w14:paraId="44B459DB" w14:textId="77777777" w:rsidR="003310C6" w:rsidRPr="009B49E3" w:rsidRDefault="003310C6" w:rsidP="007A5C2D">
            <w:pPr>
              <w:jc w:val="center"/>
              <w:rPr>
                <w:b/>
                <w:bCs/>
                <w:sz w:val="20"/>
                <w:szCs w:val="20"/>
              </w:rPr>
            </w:pPr>
            <w:r w:rsidRPr="009B49E3">
              <w:rPr>
                <w:rFonts w:eastAsia="Calibri"/>
                <w:b/>
                <w:bCs/>
                <w:sz w:val="20"/>
                <w:szCs w:val="20"/>
              </w:rPr>
              <w:t>DESCRIPCIÓN DE ACTIVIDAD DIDÁCTICA</w:t>
            </w:r>
          </w:p>
        </w:tc>
      </w:tr>
      <w:tr w:rsidR="003310C6" w:rsidRPr="009B49E3" w14:paraId="2C1D5AEC" w14:textId="77777777" w:rsidTr="003310C6">
        <w:trPr>
          <w:trHeight w:val="806"/>
        </w:trPr>
        <w:tc>
          <w:tcPr>
            <w:tcW w:w="2693" w:type="dxa"/>
            <w:vAlign w:val="center"/>
          </w:tcPr>
          <w:p w14:paraId="3E7890D7" w14:textId="77777777" w:rsidR="003310C6" w:rsidRPr="009B49E3" w:rsidRDefault="003310C6" w:rsidP="007A5C2D">
            <w:pPr>
              <w:rPr>
                <w:rFonts w:eastAsia="Calibri"/>
                <w:b/>
                <w:bCs/>
                <w:sz w:val="20"/>
                <w:szCs w:val="20"/>
              </w:rPr>
            </w:pPr>
            <w:r w:rsidRPr="009B49E3">
              <w:rPr>
                <w:rFonts w:eastAsia="Calibri"/>
                <w:b/>
                <w:bCs/>
                <w:sz w:val="20"/>
                <w:szCs w:val="20"/>
              </w:rPr>
              <w:t>Nombre de la Actividad</w:t>
            </w:r>
          </w:p>
        </w:tc>
        <w:tc>
          <w:tcPr>
            <w:tcW w:w="6848" w:type="dxa"/>
            <w:vAlign w:val="center"/>
          </w:tcPr>
          <w:p w14:paraId="32596FA8" w14:textId="272F747F" w:rsidR="003310C6" w:rsidRPr="009B49E3" w:rsidRDefault="001C36A2" w:rsidP="007A5C2D">
            <w:pPr>
              <w:rPr>
                <w:sz w:val="20"/>
                <w:szCs w:val="20"/>
              </w:rPr>
            </w:pPr>
            <w:r w:rsidRPr="001C36A2">
              <w:rPr>
                <w:rFonts w:eastAsia="Calibri"/>
                <w:color w:val="000000"/>
                <w:sz w:val="20"/>
                <w:szCs w:val="20"/>
              </w:rPr>
              <w:t>Ruta hacia la nota técnica</w:t>
            </w:r>
            <w:r w:rsidR="00F11B9D" w:rsidRPr="00F11B9D">
              <w:rPr>
                <w:rFonts w:eastAsia="Calibri"/>
                <w:color w:val="000000"/>
                <w:sz w:val="20"/>
                <w:szCs w:val="20"/>
              </w:rPr>
              <w:t>.</w:t>
            </w:r>
          </w:p>
        </w:tc>
      </w:tr>
      <w:tr w:rsidR="003310C6" w:rsidRPr="009B49E3" w14:paraId="55EF97DE" w14:textId="77777777" w:rsidTr="003310C6">
        <w:trPr>
          <w:trHeight w:val="806"/>
        </w:trPr>
        <w:tc>
          <w:tcPr>
            <w:tcW w:w="2693" w:type="dxa"/>
            <w:vAlign w:val="center"/>
          </w:tcPr>
          <w:p w14:paraId="7D35CFDF" w14:textId="77777777" w:rsidR="003310C6" w:rsidRPr="009B49E3" w:rsidRDefault="003310C6" w:rsidP="007A5C2D">
            <w:pPr>
              <w:rPr>
                <w:rFonts w:eastAsia="Calibri"/>
                <w:b/>
                <w:bCs/>
                <w:sz w:val="20"/>
                <w:szCs w:val="20"/>
              </w:rPr>
            </w:pPr>
            <w:r w:rsidRPr="009B49E3">
              <w:rPr>
                <w:rFonts w:eastAsia="Calibri"/>
                <w:b/>
                <w:bCs/>
                <w:sz w:val="20"/>
                <w:szCs w:val="20"/>
              </w:rPr>
              <w:t>Objetivo de la actividad</w:t>
            </w:r>
          </w:p>
        </w:tc>
        <w:tc>
          <w:tcPr>
            <w:tcW w:w="6848" w:type="dxa"/>
            <w:vAlign w:val="center"/>
          </w:tcPr>
          <w:p w14:paraId="14748A70" w14:textId="2C1F4E10" w:rsidR="003310C6" w:rsidRPr="009B49E3" w:rsidRDefault="001C36A2" w:rsidP="007A5C2D">
            <w:pPr>
              <w:rPr>
                <w:sz w:val="20"/>
                <w:szCs w:val="20"/>
              </w:rPr>
            </w:pPr>
            <w:r w:rsidRPr="001C36A2">
              <w:rPr>
                <w:rFonts w:eastAsia="Calibri"/>
                <w:color w:val="000000"/>
                <w:sz w:val="20"/>
                <w:szCs w:val="20"/>
              </w:rPr>
              <w:t>Reconocer los principales conceptos, elementos y procesos relacionados con la caracterización de la población, el análisis de información, la contratación, la calidad, las tarifas, las glosas y la construcción de la nota técnica en salud.</w:t>
            </w:r>
          </w:p>
        </w:tc>
      </w:tr>
      <w:tr w:rsidR="003310C6" w:rsidRPr="009B49E3" w14:paraId="4D5645D2" w14:textId="77777777" w:rsidTr="003310C6">
        <w:trPr>
          <w:trHeight w:val="1258"/>
        </w:trPr>
        <w:tc>
          <w:tcPr>
            <w:tcW w:w="2693" w:type="dxa"/>
            <w:vAlign w:val="center"/>
          </w:tcPr>
          <w:p w14:paraId="63A20DCB" w14:textId="77777777" w:rsidR="003310C6" w:rsidRPr="009B49E3" w:rsidRDefault="003310C6" w:rsidP="007A5C2D">
            <w:pPr>
              <w:rPr>
                <w:rFonts w:eastAsia="Calibri"/>
                <w:b/>
                <w:bCs/>
                <w:sz w:val="20"/>
                <w:szCs w:val="20"/>
              </w:rPr>
            </w:pPr>
            <w:r w:rsidRPr="009B49E3">
              <w:rPr>
                <w:rFonts w:eastAsia="Calibri"/>
                <w:b/>
                <w:bCs/>
                <w:sz w:val="20"/>
                <w:szCs w:val="20"/>
              </w:rPr>
              <w:t>Tipo de actividad sugerida</w:t>
            </w:r>
          </w:p>
        </w:tc>
        <w:tc>
          <w:tcPr>
            <w:tcW w:w="6848" w:type="dxa"/>
            <w:vAlign w:val="center"/>
          </w:tcPr>
          <w:p w14:paraId="4F10A9FE" w14:textId="64A7377F" w:rsidR="003310C6" w:rsidRPr="009B49E3" w:rsidRDefault="00450408" w:rsidP="007A5C2D">
            <w:pPr>
              <w:rPr>
                <w:b/>
                <w:color w:val="595959" w:themeColor="text1" w:themeTint="A6"/>
                <w:sz w:val="20"/>
                <w:szCs w:val="20"/>
              </w:rPr>
            </w:pPr>
            <w:r w:rsidRPr="00F8304E">
              <w:rPr>
                <w:noProof/>
                <w:color w:val="000000" w:themeColor="text1"/>
                <w:lang w:val="en-US" w:eastAsia="en-US"/>
              </w:rPr>
              <w:drawing>
                <wp:anchor distT="0" distB="0" distL="114300" distR="114300" simplePos="0" relativeHeight="251662336" behindDoc="0" locked="0" layoutInCell="1" hidden="0" allowOverlap="1" wp14:anchorId="7E08EDC2" wp14:editId="01FD4D82">
                  <wp:simplePos x="0" y="0"/>
                  <wp:positionH relativeFrom="column">
                    <wp:posOffset>-868045</wp:posOffset>
                  </wp:positionH>
                  <wp:positionV relativeFrom="paragraph">
                    <wp:posOffset>46990</wp:posOffset>
                  </wp:positionV>
                  <wp:extent cx="962025" cy="712470"/>
                  <wp:effectExtent l="0" t="0" r="9525" b="0"/>
                  <wp:wrapSquare wrapText="bothSides" distT="0" distB="0" distL="114300" distR="114300"/>
                  <wp:docPr id="1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56"/>
                          <a:srcRect/>
                          <a:stretch>
                            <a:fillRect/>
                          </a:stretch>
                        </pic:blipFill>
                        <pic:spPr>
                          <a:xfrm>
                            <a:off x="0" y="0"/>
                            <a:ext cx="962025" cy="712470"/>
                          </a:xfrm>
                          <a:prstGeom prst="rect">
                            <a:avLst/>
                          </a:prstGeom>
                          <a:ln/>
                        </pic:spPr>
                      </pic:pic>
                    </a:graphicData>
                  </a:graphic>
                  <wp14:sizeRelH relativeFrom="margin">
                    <wp14:pctWidth>0</wp14:pctWidth>
                  </wp14:sizeRelH>
                  <wp14:sizeRelV relativeFrom="margin">
                    <wp14:pctHeight>0</wp14:pctHeight>
                  </wp14:sizeRelV>
                </wp:anchor>
              </w:drawing>
            </w:r>
          </w:p>
        </w:tc>
      </w:tr>
      <w:tr w:rsidR="003310C6" w:rsidRPr="009B49E3" w14:paraId="71D755B1" w14:textId="77777777" w:rsidTr="003310C6">
        <w:trPr>
          <w:trHeight w:val="1849"/>
        </w:trPr>
        <w:tc>
          <w:tcPr>
            <w:tcW w:w="2693" w:type="dxa"/>
            <w:vAlign w:val="center"/>
          </w:tcPr>
          <w:p w14:paraId="01C16D3F" w14:textId="77777777" w:rsidR="003310C6" w:rsidRPr="009B49E3" w:rsidRDefault="003310C6" w:rsidP="007A5C2D">
            <w:pPr>
              <w:rPr>
                <w:rFonts w:eastAsia="Calibri"/>
                <w:b/>
                <w:bCs/>
                <w:sz w:val="20"/>
                <w:szCs w:val="20"/>
              </w:rPr>
            </w:pPr>
            <w:r w:rsidRPr="009B49E3">
              <w:rPr>
                <w:rFonts w:eastAsia="Calibri"/>
                <w:b/>
                <w:bCs/>
                <w:sz w:val="20"/>
                <w:szCs w:val="20"/>
              </w:rPr>
              <w:t xml:space="preserve">Archivo de la actividad </w:t>
            </w:r>
          </w:p>
          <w:p w14:paraId="7488C933" w14:textId="77777777" w:rsidR="003310C6" w:rsidRPr="009B49E3" w:rsidRDefault="003310C6" w:rsidP="007A5C2D">
            <w:pPr>
              <w:rPr>
                <w:rFonts w:eastAsia="Calibri"/>
                <w:b/>
                <w:bCs/>
                <w:sz w:val="20"/>
                <w:szCs w:val="20"/>
              </w:rPr>
            </w:pPr>
            <w:r w:rsidRPr="009B49E3">
              <w:rPr>
                <w:rFonts w:eastAsia="Calibri"/>
                <w:b/>
                <w:bCs/>
                <w:sz w:val="20"/>
                <w:szCs w:val="20"/>
              </w:rPr>
              <w:t>(Anexo donde se describe la actividad propuesta)</w:t>
            </w:r>
          </w:p>
        </w:tc>
        <w:tc>
          <w:tcPr>
            <w:tcW w:w="6848" w:type="dxa"/>
            <w:vAlign w:val="center"/>
          </w:tcPr>
          <w:p w14:paraId="3E9B9607" w14:textId="4356ECC2" w:rsidR="003310C6" w:rsidRPr="009B49E3" w:rsidRDefault="00116656" w:rsidP="007A5C2D">
            <w:pPr>
              <w:rPr>
                <w:b/>
                <w:i/>
                <w:sz w:val="20"/>
                <w:szCs w:val="20"/>
              </w:rPr>
            </w:pPr>
            <w:r>
              <w:rPr>
                <w:color w:val="000000"/>
                <w:sz w:val="20"/>
                <w:szCs w:val="20"/>
              </w:rPr>
              <w:t>13450096</w:t>
            </w:r>
            <w:r w:rsidR="00F11B9D" w:rsidRPr="00F11B9D">
              <w:rPr>
                <w:color w:val="000000"/>
                <w:sz w:val="20"/>
                <w:szCs w:val="20"/>
              </w:rPr>
              <w:t>_CF01_AD</w:t>
            </w:r>
          </w:p>
        </w:tc>
      </w:tr>
    </w:tbl>
    <w:p w14:paraId="19DE8EE4" w14:textId="6CFF6E9E" w:rsidR="00AD17D4" w:rsidRPr="009B49E3" w:rsidRDefault="00AD17D4" w:rsidP="007A5C2D">
      <w:pPr>
        <w:pStyle w:val="Normal0"/>
        <w:rPr>
          <w:color w:val="7F7F7F"/>
          <w:sz w:val="20"/>
          <w:szCs w:val="20"/>
        </w:rPr>
      </w:pPr>
    </w:p>
    <w:p w14:paraId="12535259" w14:textId="77777777" w:rsidR="00C77BB3" w:rsidRPr="009B49E3" w:rsidRDefault="00C77BB3" w:rsidP="007A5C2D">
      <w:pPr>
        <w:pStyle w:val="Normal0"/>
        <w:rPr>
          <w:sz w:val="20"/>
          <w:szCs w:val="20"/>
        </w:rPr>
      </w:pPr>
    </w:p>
    <w:p w14:paraId="000000A1" w14:textId="77777777" w:rsidR="00AD17D4" w:rsidRPr="009B49E3" w:rsidRDefault="00025888" w:rsidP="007A5C2D">
      <w:pPr>
        <w:pStyle w:val="Normal0"/>
        <w:numPr>
          <w:ilvl w:val="0"/>
          <w:numId w:val="1"/>
        </w:numPr>
        <w:ind w:left="284" w:hanging="284"/>
        <w:rPr>
          <w:b/>
          <w:color w:val="000000"/>
          <w:sz w:val="20"/>
          <w:szCs w:val="20"/>
        </w:rPr>
      </w:pPr>
      <w:r w:rsidRPr="009B49E3">
        <w:rPr>
          <w:b/>
          <w:color w:val="000000"/>
          <w:sz w:val="20"/>
          <w:szCs w:val="20"/>
        </w:rPr>
        <w:t xml:space="preserve">GLOSARIO: </w:t>
      </w:r>
    </w:p>
    <w:p w14:paraId="000000AA" w14:textId="38E048DA" w:rsidR="00AD17D4" w:rsidRPr="009B49E3" w:rsidRDefault="00AD17D4" w:rsidP="007A5C2D">
      <w:pPr>
        <w:pStyle w:val="Normal0"/>
        <w:rPr>
          <w:sz w:val="20"/>
          <w:szCs w:val="20"/>
        </w:rPr>
      </w:pPr>
    </w:p>
    <w:tbl>
      <w:tblPr>
        <w:tblW w:w="99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20" w:firstRow="1" w:lastRow="0" w:firstColumn="0" w:lastColumn="0" w:noHBand="0" w:noVBand="1"/>
      </w:tblPr>
      <w:tblGrid>
        <w:gridCol w:w="2122"/>
        <w:gridCol w:w="7840"/>
      </w:tblGrid>
      <w:tr w:rsidR="003310C6" w:rsidRPr="008C24D3" w14:paraId="69B98507" w14:textId="77777777" w:rsidTr="003310C6">
        <w:trPr>
          <w:trHeight w:val="214"/>
        </w:trPr>
        <w:tc>
          <w:tcPr>
            <w:tcW w:w="2122" w:type="dxa"/>
            <w:shd w:val="clear" w:color="auto" w:fill="000000" w:themeFill="text1"/>
            <w:tcMar>
              <w:top w:w="100" w:type="dxa"/>
              <w:left w:w="100" w:type="dxa"/>
              <w:bottom w:w="100" w:type="dxa"/>
              <w:right w:w="100" w:type="dxa"/>
            </w:tcMar>
          </w:tcPr>
          <w:p w14:paraId="5B631BDF" w14:textId="77777777" w:rsidR="003310C6" w:rsidRPr="008C24D3" w:rsidRDefault="003310C6" w:rsidP="007A5C2D">
            <w:pPr>
              <w:jc w:val="center"/>
              <w:rPr>
                <w:color w:val="FFFFFF" w:themeColor="background1"/>
                <w:sz w:val="20"/>
                <w:szCs w:val="20"/>
              </w:rPr>
            </w:pPr>
            <w:r w:rsidRPr="008C24D3">
              <w:rPr>
                <w:color w:val="FFFFFF" w:themeColor="background1"/>
                <w:sz w:val="20"/>
                <w:szCs w:val="20"/>
              </w:rPr>
              <w:t>TÉRMINO</w:t>
            </w:r>
          </w:p>
        </w:tc>
        <w:tc>
          <w:tcPr>
            <w:tcW w:w="7840" w:type="dxa"/>
            <w:shd w:val="clear" w:color="auto" w:fill="000000" w:themeFill="text1"/>
            <w:tcMar>
              <w:top w:w="100" w:type="dxa"/>
              <w:left w:w="100" w:type="dxa"/>
              <w:bottom w:w="100" w:type="dxa"/>
              <w:right w:w="100" w:type="dxa"/>
            </w:tcMar>
          </w:tcPr>
          <w:p w14:paraId="0431132E" w14:textId="77777777" w:rsidR="003310C6" w:rsidRPr="008C24D3" w:rsidRDefault="003310C6" w:rsidP="007A5C2D">
            <w:pPr>
              <w:jc w:val="center"/>
              <w:rPr>
                <w:color w:val="FFFFFF" w:themeColor="background1"/>
                <w:sz w:val="20"/>
                <w:szCs w:val="20"/>
              </w:rPr>
            </w:pPr>
            <w:r w:rsidRPr="008C24D3">
              <w:rPr>
                <w:color w:val="FFFFFF" w:themeColor="background1"/>
                <w:sz w:val="20"/>
                <w:szCs w:val="20"/>
              </w:rPr>
              <w:t>SIGNIFICADO</w:t>
            </w:r>
          </w:p>
        </w:tc>
      </w:tr>
      <w:tr w:rsidR="00C94A5A" w:rsidRPr="008C24D3" w14:paraId="0A89FFFC" w14:textId="77777777" w:rsidTr="003310C6">
        <w:trPr>
          <w:trHeight w:val="253"/>
        </w:trPr>
        <w:tc>
          <w:tcPr>
            <w:tcW w:w="2122" w:type="dxa"/>
            <w:tcMar>
              <w:top w:w="100" w:type="dxa"/>
              <w:left w:w="100" w:type="dxa"/>
              <w:bottom w:w="100" w:type="dxa"/>
              <w:right w:w="100" w:type="dxa"/>
            </w:tcMar>
          </w:tcPr>
          <w:p w14:paraId="15F313AB" w14:textId="5C4CE0BF" w:rsidR="00C94A5A" w:rsidRPr="008C24D3" w:rsidRDefault="004C755E" w:rsidP="00C94A5A">
            <w:pPr>
              <w:rPr>
                <w:sz w:val="20"/>
                <w:szCs w:val="20"/>
              </w:rPr>
            </w:pPr>
            <w:r w:rsidRPr="005D3B06">
              <w:rPr>
                <w:sz w:val="20"/>
                <w:szCs w:val="20"/>
              </w:rPr>
              <w:t>Acuerdo de voluntades:</w:t>
            </w:r>
          </w:p>
        </w:tc>
        <w:tc>
          <w:tcPr>
            <w:tcW w:w="7840" w:type="dxa"/>
            <w:tcMar>
              <w:top w:w="100" w:type="dxa"/>
              <w:left w:w="100" w:type="dxa"/>
              <w:bottom w:w="100" w:type="dxa"/>
              <w:right w:w="100" w:type="dxa"/>
            </w:tcMar>
          </w:tcPr>
          <w:p w14:paraId="29465725" w14:textId="32B469E8" w:rsidR="00C94A5A" w:rsidRPr="008C24D3" w:rsidRDefault="004C755E" w:rsidP="00C94A5A">
            <w:pPr>
              <w:rPr>
                <w:sz w:val="20"/>
                <w:szCs w:val="20"/>
              </w:rPr>
            </w:pPr>
            <w:r w:rsidRPr="005D3B06">
              <w:rPr>
                <w:sz w:val="20"/>
                <w:szCs w:val="20"/>
              </w:rPr>
              <w:t>acto</w:t>
            </w:r>
            <w:r w:rsidR="005D3B06" w:rsidRPr="005D3B06">
              <w:rPr>
                <w:sz w:val="20"/>
                <w:szCs w:val="20"/>
              </w:rPr>
              <w:t xml:space="preserve"> mediante el cual las partes establecen las condiciones para la prestación y pago de servicios y tecnologías en salud.</w:t>
            </w:r>
          </w:p>
        </w:tc>
      </w:tr>
      <w:tr w:rsidR="005D3B06" w:rsidRPr="008C24D3" w14:paraId="6CCA7328" w14:textId="77777777" w:rsidTr="003310C6">
        <w:trPr>
          <w:trHeight w:val="253"/>
        </w:trPr>
        <w:tc>
          <w:tcPr>
            <w:tcW w:w="2122" w:type="dxa"/>
            <w:tcMar>
              <w:top w:w="100" w:type="dxa"/>
              <w:left w:w="100" w:type="dxa"/>
              <w:bottom w:w="100" w:type="dxa"/>
              <w:right w:w="100" w:type="dxa"/>
            </w:tcMar>
          </w:tcPr>
          <w:p w14:paraId="370C5D7F" w14:textId="2A8ECFBA" w:rsidR="005D3B06" w:rsidRPr="008C24D3" w:rsidRDefault="004C755E" w:rsidP="005D3B06">
            <w:pPr>
              <w:rPr>
                <w:sz w:val="20"/>
                <w:szCs w:val="20"/>
              </w:rPr>
            </w:pPr>
            <w:r w:rsidRPr="004B45DD">
              <w:t>Caracterización poblacional:</w:t>
            </w:r>
          </w:p>
        </w:tc>
        <w:tc>
          <w:tcPr>
            <w:tcW w:w="7840" w:type="dxa"/>
            <w:tcMar>
              <w:top w:w="100" w:type="dxa"/>
              <w:left w:w="100" w:type="dxa"/>
              <w:bottom w:w="100" w:type="dxa"/>
              <w:right w:w="100" w:type="dxa"/>
            </w:tcMar>
          </w:tcPr>
          <w:p w14:paraId="706BA5F4" w14:textId="71391E97" w:rsidR="005D3B06" w:rsidRPr="008C24D3" w:rsidRDefault="004C755E" w:rsidP="005D3B06">
            <w:pPr>
              <w:rPr>
                <w:sz w:val="20"/>
                <w:szCs w:val="20"/>
              </w:rPr>
            </w:pPr>
            <w:r w:rsidRPr="004B45DD">
              <w:t>pr</w:t>
            </w:r>
            <w:r w:rsidR="005D3B06" w:rsidRPr="004B45DD">
              <w:t>oceso de identificación y análisis de las características, condiciones y necesidades de una población determinada.</w:t>
            </w:r>
          </w:p>
        </w:tc>
      </w:tr>
      <w:tr w:rsidR="005D3B06" w:rsidRPr="008C24D3" w14:paraId="00A877A1" w14:textId="77777777" w:rsidTr="003310C6">
        <w:trPr>
          <w:trHeight w:val="253"/>
        </w:trPr>
        <w:tc>
          <w:tcPr>
            <w:tcW w:w="2122" w:type="dxa"/>
            <w:tcMar>
              <w:top w:w="100" w:type="dxa"/>
              <w:left w:w="100" w:type="dxa"/>
              <w:bottom w:w="100" w:type="dxa"/>
              <w:right w:w="100" w:type="dxa"/>
            </w:tcMar>
          </w:tcPr>
          <w:p w14:paraId="387666D7" w14:textId="4EAE8667" w:rsidR="005D3B06" w:rsidRPr="008C24D3" w:rsidRDefault="004C755E" w:rsidP="005D3B06">
            <w:pPr>
              <w:rPr>
                <w:sz w:val="20"/>
                <w:szCs w:val="20"/>
              </w:rPr>
            </w:pPr>
            <w:r w:rsidRPr="004B45DD">
              <w:t>Demanda de servicios de salud:</w:t>
            </w:r>
          </w:p>
        </w:tc>
        <w:tc>
          <w:tcPr>
            <w:tcW w:w="7840" w:type="dxa"/>
            <w:tcMar>
              <w:top w:w="100" w:type="dxa"/>
              <w:left w:w="100" w:type="dxa"/>
              <w:bottom w:w="100" w:type="dxa"/>
              <w:right w:w="100" w:type="dxa"/>
            </w:tcMar>
          </w:tcPr>
          <w:p w14:paraId="31540DF7" w14:textId="10390624" w:rsidR="005D3B06" w:rsidRPr="008C24D3" w:rsidRDefault="004C755E" w:rsidP="005D3B06">
            <w:pPr>
              <w:rPr>
                <w:sz w:val="20"/>
                <w:szCs w:val="20"/>
              </w:rPr>
            </w:pPr>
            <w:r w:rsidRPr="004B45DD">
              <w:t>ca</w:t>
            </w:r>
            <w:r w:rsidR="005D3B06" w:rsidRPr="004B45DD">
              <w:t>ntidad de servicios y tecnologías en salud que son solicitados o utilizados por una población.</w:t>
            </w:r>
          </w:p>
        </w:tc>
      </w:tr>
      <w:tr w:rsidR="005D3B06" w:rsidRPr="008C24D3" w14:paraId="665AA6DD" w14:textId="77777777" w:rsidTr="003310C6">
        <w:trPr>
          <w:trHeight w:val="253"/>
        </w:trPr>
        <w:tc>
          <w:tcPr>
            <w:tcW w:w="2122" w:type="dxa"/>
            <w:tcMar>
              <w:top w:w="100" w:type="dxa"/>
              <w:left w:w="100" w:type="dxa"/>
              <w:bottom w:w="100" w:type="dxa"/>
              <w:right w:w="100" w:type="dxa"/>
            </w:tcMar>
          </w:tcPr>
          <w:p w14:paraId="3087BA16" w14:textId="39ADD4B0" w:rsidR="005D3B06" w:rsidRPr="003C19C3" w:rsidRDefault="004C755E" w:rsidP="005D3B06">
            <w:r w:rsidRPr="007B3A4B">
              <w:t>Frecuencia de uso:</w:t>
            </w:r>
          </w:p>
        </w:tc>
        <w:tc>
          <w:tcPr>
            <w:tcW w:w="7840" w:type="dxa"/>
            <w:tcMar>
              <w:top w:w="100" w:type="dxa"/>
              <w:left w:w="100" w:type="dxa"/>
              <w:bottom w:w="100" w:type="dxa"/>
              <w:right w:w="100" w:type="dxa"/>
            </w:tcMar>
          </w:tcPr>
          <w:p w14:paraId="61FA9CB5" w14:textId="7F15DF54" w:rsidR="005D3B06" w:rsidRPr="003C19C3" w:rsidRDefault="004C755E" w:rsidP="005D3B06">
            <w:r w:rsidRPr="007B3A4B">
              <w:t>núm</w:t>
            </w:r>
            <w:r w:rsidR="005D3B06" w:rsidRPr="007B3A4B">
              <w:t>ero estimado de veces que un servicio o tecnología puede ser utilizado por una población durante un periodo determinado.</w:t>
            </w:r>
          </w:p>
        </w:tc>
      </w:tr>
      <w:tr w:rsidR="005D3B06" w:rsidRPr="008C24D3" w14:paraId="3CF075ED" w14:textId="77777777" w:rsidTr="003310C6">
        <w:trPr>
          <w:trHeight w:val="253"/>
        </w:trPr>
        <w:tc>
          <w:tcPr>
            <w:tcW w:w="2122" w:type="dxa"/>
            <w:tcMar>
              <w:top w:w="100" w:type="dxa"/>
              <w:left w:w="100" w:type="dxa"/>
              <w:bottom w:w="100" w:type="dxa"/>
              <w:right w:w="100" w:type="dxa"/>
            </w:tcMar>
          </w:tcPr>
          <w:p w14:paraId="693E3C45" w14:textId="46397E3B" w:rsidR="005D3B06" w:rsidRPr="008C24D3" w:rsidRDefault="005D3B06" w:rsidP="005D3B06">
            <w:pPr>
              <w:rPr>
                <w:sz w:val="20"/>
                <w:szCs w:val="20"/>
              </w:rPr>
            </w:pPr>
            <w:r w:rsidRPr="007B3A4B">
              <w:t>Glosa:</w:t>
            </w:r>
          </w:p>
        </w:tc>
        <w:tc>
          <w:tcPr>
            <w:tcW w:w="7840" w:type="dxa"/>
            <w:tcMar>
              <w:top w:w="100" w:type="dxa"/>
              <w:left w:w="100" w:type="dxa"/>
              <w:bottom w:w="100" w:type="dxa"/>
              <w:right w:w="100" w:type="dxa"/>
            </w:tcMar>
          </w:tcPr>
          <w:p w14:paraId="139B03E0" w14:textId="7B362D5A" w:rsidR="005D3B06" w:rsidRPr="008C24D3" w:rsidRDefault="004C755E" w:rsidP="005D3B06">
            <w:pPr>
              <w:rPr>
                <w:sz w:val="20"/>
                <w:szCs w:val="20"/>
              </w:rPr>
            </w:pPr>
            <w:r w:rsidRPr="007B3A4B">
              <w:t>obj</w:t>
            </w:r>
            <w:r w:rsidR="005D3B06" w:rsidRPr="007B3A4B">
              <w:t>eción formulada durante la auditoría de una factura o cuenta relacionada con la prestación de servicios de salud.</w:t>
            </w:r>
          </w:p>
        </w:tc>
      </w:tr>
      <w:tr w:rsidR="005D3B06" w:rsidRPr="008C24D3" w14:paraId="4A781492" w14:textId="77777777" w:rsidTr="003310C6">
        <w:trPr>
          <w:trHeight w:val="253"/>
        </w:trPr>
        <w:tc>
          <w:tcPr>
            <w:tcW w:w="2122" w:type="dxa"/>
            <w:tcMar>
              <w:top w:w="100" w:type="dxa"/>
              <w:left w:w="100" w:type="dxa"/>
              <w:bottom w:w="100" w:type="dxa"/>
              <w:right w:w="100" w:type="dxa"/>
            </w:tcMar>
          </w:tcPr>
          <w:p w14:paraId="1DCB6C7D" w14:textId="1851AC10" w:rsidR="005D3B06" w:rsidRPr="008C24D3" w:rsidRDefault="005D3B06" w:rsidP="005D3B06">
            <w:pPr>
              <w:rPr>
                <w:sz w:val="20"/>
                <w:szCs w:val="20"/>
              </w:rPr>
            </w:pPr>
            <w:r w:rsidRPr="007B3A4B">
              <w:t>Gestión del riesgo:</w:t>
            </w:r>
          </w:p>
        </w:tc>
        <w:tc>
          <w:tcPr>
            <w:tcW w:w="7840" w:type="dxa"/>
            <w:tcMar>
              <w:top w:w="100" w:type="dxa"/>
              <w:left w:w="100" w:type="dxa"/>
              <w:bottom w:w="100" w:type="dxa"/>
              <w:right w:w="100" w:type="dxa"/>
            </w:tcMar>
          </w:tcPr>
          <w:p w14:paraId="200DBF7E" w14:textId="21DAF26A" w:rsidR="005D3B06" w:rsidRPr="008C24D3" w:rsidRDefault="004C755E" w:rsidP="005D3B06">
            <w:pPr>
              <w:rPr>
                <w:sz w:val="20"/>
                <w:szCs w:val="20"/>
              </w:rPr>
            </w:pPr>
            <w:r w:rsidRPr="007B3A4B">
              <w:t>conj</w:t>
            </w:r>
            <w:r w:rsidR="005D3B06" w:rsidRPr="007B3A4B">
              <w:t>unto de acciones orientadas a identificar, analizar y gestionar situaciones que pueden afectar los resultados en salud.</w:t>
            </w:r>
          </w:p>
        </w:tc>
      </w:tr>
      <w:tr w:rsidR="005D3B06" w:rsidRPr="008C24D3" w14:paraId="5A29A671" w14:textId="77777777" w:rsidTr="003310C6">
        <w:trPr>
          <w:trHeight w:val="253"/>
        </w:trPr>
        <w:tc>
          <w:tcPr>
            <w:tcW w:w="2122" w:type="dxa"/>
            <w:tcMar>
              <w:top w:w="100" w:type="dxa"/>
              <w:left w:w="100" w:type="dxa"/>
              <w:bottom w:w="100" w:type="dxa"/>
              <w:right w:w="100" w:type="dxa"/>
            </w:tcMar>
          </w:tcPr>
          <w:p w14:paraId="453CEDD8" w14:textId="61AEFBE6" w:rsidR="005D3B06" w:rsidRPr="008C24D3" w:rsidRDefault="005D3B06" w:rsidP="005D3B06">
            <w:pPr>
              <w:rPr>
                <w:sz w:val="20"/>
                <w:szCs w:val="20"/>
              </w:rPr>
            </w:pPr>
            <w:r w:rsidRPr="007B3A4B">
              <w:lastRenderedPageBreak/>
              <w:t>Habilitación:</w:t>
            </w:r>
          </w:p>
        </w:tc>
        <w:tc>
          <w:tcPr>
            <w:tcW w:w="7840" w:type="dxa"/>
            <w:tcMar>
              <w:top w:w="100" w:type="dxa"/>
              <w:left w:w="100" w:type="dxa"/>
              <w:bottom w:w="100" w:type="dxa"/>
              <w:right w:w="100" w:type="dxa"/>
            </w:tcMar>
          </w:tcPr>
          <w:p w14:paraId="4D7D476B" w14:textId="687B5B23" w:rsidR="005D3B06" w:rsidRPr="008C24D3" w:rsidRDefault="004C755E" w:rsidP="005D3B06">
            <w:pPr>
              <w:rPr>
                <w:sz w:val="20"/>
                <w:szCs w:val="20"/>
              </w:rPr>
            </w:pPr>
            <w:r w:rsidRPr="007B3A4B">
              <w:t>proc</w:t>
            </w:r>
            <w:r w:rsidR="005D3B06" w:rsidRPr="007B3A4B">
              <w:t>eso mediante el cual se verifican las condiciones que deben cumplir los prestadores para ofrecer servicios de salud.</w:t>
            </w:r>
          </w:p>
        </w:tc>
      </w:tr>
      <w:tr w:rsidR="005D3B06" w:rsidRPr="008C24D3" w14:paraId="0BF0444B" w14:textId="77777777" w:rsidTr="003310C6">
        <w:trPr>
          <w:trHeight w:val="253"/>
        </w:trPr>
        <w:tc>
          <w:tcPr>
            <w:tcW w:w="2122" w:type="dxa"/>
            <w:tcMar>
              <w:top w:w="100" w:type="dxa"/>
              <w:left w:w="100" w:type="dxa"/>
              <w:bottom w:w="100" w:type="dxa"/>
              <w:right w:w="100" w:type="dxa"/>
            </w:tcMar>
          </w:tcPr>
          <w:p w14:paraId="151DE86E" w14:textId="0DAE2E5C" w:rsidR="005D3B06" w:rsidRPr="008C24D3" w:rsidRDefault="005D3B06" w:rsidP="005D3B06">
            <w:pPr>
              <w:rPr>
                <w:sz w:val="20"/>
                <w:szCs w:val="20"/>
              </w:rPr>
            </w:pPr>
            <w:r w:rsidRPr="007B3A4B">
              <w:t>Manual tarifario:</w:t>
            </w:r>
          </w:p>
        </w:tc>
        <w:tc>
          <w:tcPr>
            <w:tcW w:w="7840" w:type="dxa"/>
            <w:tcMar>
              <w:top w:w="100" w:type="dxa"/>
              <w:left w:w="100" w:type="dxa"/>
              <w:bottom w:w="100" w:type="dxa"/>
              <w:right w:w="100" w:type="dxa"/>
            </w:tcMar>
          </w:tcPr>
          <w:p w14:paraId="376A8154" w14:textId="08BC29FF" w:rsidR="005D3B06" w:rsidRPr="008C24D3" w:rsidRDefault="004C755E" w:rsidP="005D3B06">
            <w:pPr>
              <w:rPr>
                <w:sz w:val="20"/>
                <w:szCs w:val="20"/>
              </w:rPr>
            </w:pPr>
            <w:r w:rsidRPr="007B3A4B">
              <w:t>refe</w:t>
            </w:r>
            <w:r w:rsidR="005D3B06" w:rsidRPr="007B3A4B">
              <w:t>rente que contiene valores o criterios para establecer tarifas aplicables a determinados servicios y tecnologías en salud.</w:t>
            </w:r>
          </w:p>
        </w:tc>
      </w:tr>
      <w:tr w:rsidR="005D3B06" w:rsidRPr="008C24D3" w14:paraId="4C59EB14" w14:textId="77777777" w:rsidTr="003310C6">
        <w:trPr>
          <w:trHeight w:val="253"/>
        </w:trPr>
        <w:tc>
          <w:tcPr>
            <w:tcW w:w="2122" w:type="dxa"/>
            <w:tcMar>
              <w:top w:w="100" w:type="dxa"/>
              <w:left w:w="100" w:type="dxa"/>
              <w:bottom w:w="100" w:type="dxa"/>
              <w:right w:w="100" w:type="dxa"/>
            </w:tcMar>
          </w:tcPr>
          <w:p w14:paraId="2F52E42D" w14:textId="62AA35E4" w:rsidR="005D3B06" w:rsidRPr="008C24D3" w:rsidRDefault="005D3B06" w:rsidP="005D3B06">
            <w:pPr>
              <w:rPr>
                <w:sz w:val="20"/>
                <w:szCs w:val="20"/>
              </w:rPr>
            </w:pPr>
            <w:r w:rsidRPr="007B3A4B">
              <w:t>Nota técnica:</w:t>
            </w:r>
          </w:p>
        </w:tc>
        <w:tc>
          <w:tcPr>
            <w:tcW w:w="7840" w:type="dxa"/>
            <w:tcMar>
              <w:top w:w="100" w:type="dxa"/>
              <w:left w:w="100" w:type="dxa"/>
              <w:bottom w:w="100" w:type="dxa"/>
              <w:right w:w="100" w:type="dxa"/>
            </w:tcMar>
          </w:tcPr>
          <w:p w14:paraId="1A0852B7" w14:textId="25DC6929" w:rsidR="005D3B06" w:rsidRPr="008C24D3" w:rsidRDefault="004C755E" w:rsidP="005D3B06">
            <w:pPr>
              <w:rPr>
                <w:sz w:val="20"/>
                <w:szCs w:val="20"/>
              </w:rPr>
            </w:pPr>
            <w:r w:rsidRPr="007B3A4B">
              <w:t>herr</w:t>
            </w:r>
            <w:r w:rsidR="005D3B06" w:rsidRPr="007B3A4B">
              <w:t>amienta que integra información sobre población, servicios, tecnologías, frecuencias de uso, costos y riesgos para sustentar técnicamente un acuerdo de voluntades.</w:t>
            </w:r>
          </w:p>
        </w:tc>
      </w:tr>
      <w:tr w:rsidR="005D3B06" w:rsidRPr="008C24D3" w14:paraId="3954DCBD" w14:textId="77777777" w:rsidTr="003310C6">
        <w:trPr>
          <w:trHeight w:val="253"/>
        </w:trPr>
        <w:tc>
          <w:tcPr>
            <w:tcW w:w="2122" w:type="dxa"/>
            <w:tcMar>
              <w:top w:w="100" w:type="dxa"/>
              <w:left w:w="100" w:type="dxa"/>
              <w:bottom w:w="100" w:type="dxa"/>
              <w:right w:w="100" w:type="dxa"/>
            </w:tcMar>
          </w:tcPr>
          <w:p w14:paraId="641AC47C" w14:textId="000D594A" w:rsidR="005D3B06" w:rsidRPr="008C24D3" w:rsidRDefault="005D3B06" w:rsidP="005D3B06">
            <w:pPr>
              <w:rPr>
                <w:sz w:val="20"/>
                <w:szCs w:val="20"/>
              </w:rPr>
            </w:pPr>
            <w:r w:rsidRPr="007B3A4B">
              <w:t>Oferta de servicios de salud:</w:t>
            </w:r>
          </w:p>
        </w:tc>
        <w:tc>
          <w:tcPr>
            <w:tcW w:w="7840" w:type="dxa"/>
            <w:tcMar>
              <w:top w:w="100" w:type="dxa"/>
              <w:left w:w="100" w:type="dxa"/>
              <w:bottom w:w="100" w:type="dxa"/>
              <w:right w:w="100" w:type="dxa"/>
            </w:tcMar>
          </w:tcPr>
          <w:p w14:paraId="71F0AE1F" w14:textId="660A81BA" w:rsidR="005D3B06" w:rsidRPr="008C24D3" w:rsidRDefault="004C755E" w:rsidP="005D3B06">
            <w:pPr>
              <w:rPr>
                <w:sz w:val="20"/>
                <w:szCs w:val="20"/>
              </w:rPr>
            </w:pPr>
            <w:r w:rsidRPr="007B3A4B">
              <w:t>cap</w:t>
            </w:r>
            <w:r w:rsidR="005D3B06" w:rsidRPr="007B3A4B">
              <w:t>acidad disponible para prestar servicios y tecnologías de salud, de acuerdo con los recursos y condiciones existentes.</w:t>
            </w:r>
          </w:p>
        </w:tc>
      </w:tr>
      <w:tr w:rsidR="005D3B06" w:rsidRPr="008C24D3" w14:paraId="100ECCB9" w14:textId="77777777" w:rsidTr="003310C6">
        <w:trPr>
          <w:trHeight w:val="253"/>
        </w:trPr>
        <w:tc>
          <w:tcPr>
            <w:tcW w:w="2122" w:type="dxa"/>
            <w:tcMar>
              <w:top w:w="100" w:type="dxa"/>
              <w:left w:w="100" w:type="dxa"/>
              <w:bottom w:w="100" w:type="dxa"/>
              <w:right w:w="100" w:type="dxa"/>
            </w:tcMar>
          </w:tcPr>
          <w:p w14:paraId="18B0E0A2" w14:textId="7B76E205" w:rsidR="005D3B06" w:rsidRPr="008F4495" w:rsidRDefault="005D3B06" w:rsidP="005D3B06">
            <w:pPr>
              <w:rPr>
                <w:sz w:val="20"/>
                <w:szCs w:val="20"/>
              </w:rPr>
            </w:pPr>
            <w:r w:rsidRPr="007B3A4B">
              <w:t>Población susceptible:</w:t>
            </w:r>
          </w:p>
        </w:tc>
        <w:tc>
          <w:tcPr>
            <w:tcW w:w="7840" w:type="dxa"/>
            <w:tcMar>
              <w:top w:w="100" w:type="dxa"/>
              <w:left w:w="100" w:type="dxa"/>
              <w:bottom w:w="100" w:type="dxa"/>
              <w:right w:w="100" w:type="dxa"/>
            </w:tcMar>
          </w:tcPr>
          <w:p w14:paraId="54A66F75" w14:textId="07DC7169" w:rsidR="005D3B06" w:rsidRPr="008F4495" w:rsidRDefault="004C755E" w:rsidP="005D3B06">
            <w:pPr>
              <w:rPr>
                <w:sz w:val="20"/>
                <w:szCs w:val="20"/>
              </w:rPr>
            </w:pPr>
            <w:r w:rsidRPr="007B3A4B">
              <w:t>gru</w:t>
            </w:r>
            <w:r w:rsidR="005D3B06" w:rsidRPr="007B3A4B">
              <w:t>po de personas dentro de la población objeto que puede requerir determinados servicios o tecnologías en salud.</w:t>
            </w:r>
          </w:p>
        </w:tc>
      </w:tr>
      <w:tr w:rsidR="005D3B06" w:rsidRPr="008C24D3" w14:paraId="2BBBE243" w14:textId="77777777" w:rsidTr="003310C6">
        <w:trPr>
          <w:trHeight w:val="253"/>
        </w:trPr>
        <w:tc>
          <w:tcPr>
            <w:tcW w:w="2122" w:type="dxa"/>
            <w:tcMar>
              <w:top w:w="100" w:type="dxa"/>
              <w:left w:w="100" w:type="dxa"/>
              <w:bottom w:w="100" w:type="dxa"/>
              <w:right w:w="100" w:type="dxa"/>
            </w:tcMar>
          </w:tcPr>
          <w:p w14:paraId="548DFC74" w14:textId="029AAC80" w:rsidR="005D3B06" w:rsidRPr="008F4495" w:rsidRDefault="005D3B06" w:rsidP="005D3B06">
            <w:pPr>
              <w:rPr>
                <w:sz w:val="20"/>
                <w:szCs w:val="20"/>
              </w:rPr>
            </w:pPr>
            <w:r w:rsidRPr="005D3B06">
              <w:rPr>
                <w:sz w:val="20"/>
                <w:szCs w:val="20"/>
              </w:rPr>
              <w:t>RIAS:</w:t>
            </w:r>
          </w:p>
        </w:tc>
        <w:tc>
          <w:tcPr>
            <w:tcW w:w="7840" w:type="dxa"/>
            <w:tcMar>
              <w:top w:w="100" w:type="dxa"/>
              <w:left w:w="100" w:type="dxa"/>
              <w:bottom w:w="100" w:type="dxa"/>
              <w:right w:w="100" w:type="dxa"/>
            </w:tcMar>
          </w:tcPr>
          <w:p w14:paraId="661AC31B" w14:textId="1D7F6AAD" w:rsidR="005D3B06" w:rsidRPr="008F4495" w:rsidRDefault="004C755E" w:rsidP="005D3B06">
            <w:pPr>
              <w:rPr>
                <w:sz w:val="20"/>
                <w:szCs w:val="20"/>
              </w:rPr>
            </w:pPr>
            <w:r w:rsidRPr="005D3B06">
              <w:rPr>
                <w:sz w:val="20"/>
                <w:szCs w:val="20"/>
              </w:rPr>
              <w:t>ruta</w:t>
            </w:r>
            <w:r w:rsidR="005D3B06" w:rsidRPr="005D3B06">
              <w:rPr>
                <w:sz w:val="20"/>
                <w:szCs w:val="20"/>
              </w:rPr>
              <w:t>s que organizan las intervenciones de atención en salud de acuerdo con las necesidades de las personas, familias y comunidades.</w:t>
            </w:r>
          </w:p>
        </w:tc>
      </w:tr>
      <w:tr w:rsidR="005D3B06" w:rsidRPr="008C24D3" w14:paraId="06C4CA08" w14:textId="77777777" w:rsidTr="003310C6">
        <w:trPr>
          <w:trHeight w:val="253"/>
        </w:trPr>
        <w:tc>
          <w:tcPr>
            <w:tcW w:w="2122" w:type="dxa"/>
            <w:tcMar>
              <w:top w:w="100" w:type="dxa"/>
              <w:left w:w="100" w:type="dxa"/>
              <w:bottom w:w="100" w:type="dxa"/>
              <w:right w:w="100" w:type="dxa"/>
            </w:tcMar>
          </w:tcPr>
          <w:p w14:paraId="07D4E32E" w14:textId="0DA6E03F" w:rsidR="005D3B06" w:rsidRPr="008F4495" w:rsidRDefault="005D3B06" w:rsidP="005D3B06">
            <w:pPr>
              <w:rPr>
                <w:sz w:val="20"/>
                <w:szCs w:val="20"/>
              </w:rPr>
            </w:pPr>
            <w:r w:rsidRPr="007B3A4B">
              <w:t>Riesgo primario:</w:t>
            </w:r>
          </w:p>
        </w:tc>
        <w:tc>
          <w:tcPr>
            <w:tcW w:w="7840" w:type="dxa"/>
            <w:tcMar>
              <w:top w:w="100" w:type="dxa"/>
              <w:left w:w="100" w:type="dxa"/>
              <w:bottom w:w="100" w:type="dxa"/>
              <w:right w:w="100" w:type="dxa"/>
            </w:tcMar>
          </w:tcPr>
          <w:p w14:paraId="0D1C03A7" w14:textId="6A633E09" w:rsidR="005D3B06" w:rsidRPr="008F4495" w:rsidRDefault="004C755E" w:rsidP="005D3B06">
            <w:pPr>
              <w:rPr>
                <w:sz w:val="20"/>
                <w:szCs w:val="20"/>
              </w:rPr>
            </w:pPr>
            <w:r w:rsidRPr="007B3A4B">
              <w:t>ries</w:t>
            </w:r>
            <w:r w:rsidR="005D3B06" w:rsidRPr="007B3A4B">
              <w:t>go relacionado con la ocurrencia de condiciones o eventos de salud que pueden generar la necesidad de atención.</w:t>
            </w:r>
          </w:p>
        </w:tc>
      </w:tr>
      <w:tr w:rsidR="005D3B06" w:rsidRPr="008C24D3" w14:paraId="732D38EA" w14:textId="77777777" w:rsidTr="003310C6">
        <w:trPr>
          <w:trHeight w:val="253"/>
        </w:trPr>
        <w:tc>
          <w:tcPr>
            <w:tcW w:w="2122" w:type="dxa"/>
            <w:tcMar>
              <w:top w:w="100" w:type="dxa"/>
              <w:left w:w="100" w:type="dxa"/>
              <w:bottom w:w="100" w:type="dxa"/>
              <w:right w:w="100" w:type="dxa"/>
            </w:tcMar>
          </w:tcPr>
          <w:p w14:paraId="7ABFBD49" w14:textId="0A43077F" w:rsidR="005D3B06" w:rsidRPr="008F4495" w:rsidRDefault="005D3B06" w:rsidP="005D3B06">
            <w:pPr>
              <w:rPr>
                <w:sz w:val="20"/>
                <w:szCs w:val="20"/>
              </w:rPr>
            </w:pPr>
            <w:r w:rsidRPr="007B3A4B">
              <w:t>Riesgo técnico:</w:t>
            </w:r>
          </w:p>
        </w:tc>
        <w:tc>
          <w:tcPr>
            <w:tcW w:w="7840" w:type="dxa"/>
            <w:tcMar>
              <w:top w:w="100" w:type="dxa"/>
              <w:left w:w="100" w:type="dxa"/>
              <w:bottom w:w="100" w:type="dxa"/>
              <w:right w:w="100" w:type="dxa"/>
            </w:tcMar>
          </w:tcPr>
          <w:p w14:paraId="28CD9DD8" w14:textId="670874D9" w:rsidR="005D3B06" w:rsidRPr="008F4495" w:rsidRDefault="004C755E" w:rsidP="005D3B06">
            <w:pPr>
              <w:rPr>
                <w:sz w:val="20"/>
                <w:szCs w:val="20"/>
              </w:rPr>
            </w:pPr>
            <w:r w:rsidRPr="007B3A4B">
              <w:t>ries</w:t>
            </w:r>
            <w:r w:rsidR="005D3B06" w:rsidRPr="007B3A4B">
              <w:t>go asociado con variaciones en la utilización de servicios y tecnologías o en los recursos requeridos para la atención.</w:t>
            </w:r>
          </w:p>
        </w:tc>
      </w:tr>
      <w:tr w:rsidR="005D3B06" w:rsidRPr="008C24D3" w14:paraId="6F423415" w14:textId="77777777" w:rsidTr="003310C6">
        <w:trPr>
          <w:trHeight w:val="253"/>
        </w:trPr>
        <w:tc>
          <w:tcPr>
            <w:tcW w:w="2122" w:type="dxa"/>
            <w:tcMar>
              <w:top w:w="100" w:type="dxa"/>
              <w:left w:w="100" w:type="dxa"/>
              <w:bottom w:w="100" w:type="dxa"/>
              <w:right w:w="100" w:type="dxa"/>
            </w:tcMar>
          </w:tcPr>
          <w:p w14:paraId="732F8194" w14:textId="71A8915E" w:rsidR="005D3B06" w:rsidRPr="00161D41" w:rsidRDefault="005D3B06" w:rsidP="005D3B06">
            <w:pPr>
              <w:rPr>
                <w:sz w:val="20"/>
                <w:szCs w:val="20"/>
              </w:rPr>
            </w:pPr>
            <w:r w:rsidRPr="007B3A4B">
              <w:t>RIPS:</w:t>
            </w:r>
          </w:p>
        </w:tc>
        <w:tc>
          <w:tcPr>
            <w:tcW w:w="7840" w:type="dxa"/>
            <w:tcMar>
              <w:top w:w="100" w:type="dxa"/>
              <w:left w:w="100" w:type="dxa"/>
              <w:bottom w:w="100" w:type="dxa"/>
              <w:right w:w="100" w:type="dxa"/>
            </w:tcMar>
          </w:tcPr>
          <w:p w14:paraId="008AFE16" w14:textId="7C56A68A" w:rsidR="005D3B06" w:rsidRDefault="004C755E" w:rsidP="005D3B06">
            <w:pPr>
              <w:rPr>
                <w:sz w:val="20"/>
                <w:szCs w:val="20"/>
              </w:rPr>
            </w:pPr>
            <w:r w:rsidRPr="007B3A4B">
              <w:t>reg</w:t>
            </w:r>
            <w:r w:rsidR="005D3B06" w:rsidRPr="007B3A4B">
              <w:t>istro que contiene información relacionada con la prestación de servicios y tecnologías en salud y que sirve como fuente para el análisis de su utilización.</w:t>
            </w:r>
          </w:p>
        </w:tc>
      </w:tr>
    </w:tbl>
    <w:p w14:paraId="1CC94206" w14:textId="77777777" w:rsidR="005D3B06" w:rsidRPr="009F4EA9" w:rsidRDefault="005D3B06" w:rsidP="005D3B06">
      <w:pPr>
        <w:rPr>
          <w:sz w:val="20"/>
          <w:szCs w:val="20"/>
        </w:rPr>
      </w:pPr>
    </w:p>
    <w:p w14:paraId="502FC181" w14:textId="77777777" w:rsidR="00E06A0D" w:rsidRPr="009F4EA9" w:rsidRDefault="00E06A0D" w:rsidP="009F4EA9">
      <w:pPr>
        <w:rPr>
          <w:sz w:val="20"/>
          <w:szCs w:val="20"/>
        </w:rPr>
      </w:pPr>
    </w:p>
    <w:p w14:paraId="000000AC" w14:textId="6DC8F594" w:rsidR="00AD17D4" w:rsidRDefault="00025888" w:rsidP="009F4EA9">
      <w:pPr>
        <w:pStyle w:val="Normal0"/>
        <w:numPr>
          <w:ilvl w:val="0"/>
          <w:numId w:val="1"/>
        </w:numPr>
        <w:ind w:left="284" w:hanging="284"/>
        <w:rPr>
          <w:b/>
          <w:color w:val="000000"/>
          <w:sz w:val="20"/>
          <w:szCs w:val="20"/>
        </w:rPr>
      </w:pPr>
      <w:r w:rsidRPr="009F4EA9">
        <w:rPr>
          <w:b/>
          <w:color w:val="000000"/>
          <w:sz w:val="20"/>
          <w:szCs w:val="20"/>
        </w:rPr>
        <w:t xml:space="preserve">REFERENCIAS BIBLIOGRÁFICAS: </w:t>
      </w:r>
    </w:p>
    <w:p w14:paraId="6F9BBDED" w14:textId="77777777" w:rsidR="00CB15DE" w:rsidRPr="00CB15DE" w:rsidRDefault="00CB15DE" w:rsidP="00CB15DE">
      <w:pPr>
        <w:pStyle w:val="Normal0"/>
        <w:ind w:left="720" w:hanging="720"/>
        <w:rPr>
          <w:color w:val="000000"/>
          <w:sz w:val="20"/>
          <w:szCs w:val="20"/>
        </w:rPr>
      </w:pPr>
    </w:p>
    <w:p w14:paraId="44D21519" w14:textId="69E8315F" w:rsidR="00CB15DE" w:rsidRDefault="00CB15DE" w:rsidP="00CB15DE">
      <w:pPr>
        <w:pStyle w:val="Normal0"/>
        <w:ind w:left="720" w:hanging="720"/>
        <w:rPr>
          <w:color w:val="000000"/>
          <w:sz w:val="20"/>
          <w:szCs w:val="20"/>
        </w:rPr>
      </w:pPr>
      <w:r w:rsidRPr="00CB15DE">
        <w:rPr>
          <w:color w:val="000000"/>
          <w:sz w:val="20"/>
          <w:szCs w:val="20"/>
        </w:rPr>
        <w:t xml:space="preserve">Administradora de los Recursos del Sistema General de Seguridad Social en Salud (ADRES). (2026). Consulta afiliados BDUA. </w:t>
      </w:r>
      <w:hyperlink r:id="rId57" w:history="1">
        <w:r w:rsidRPr="00A34FA6">
          <w:rPr>
            <w:rStyle w:val="Hipervnculo"/>
            <w:sz w:val="20"/>
            <w:szCs w:val="20"/>
          </w:rPr>
          <w:t>https://servicios.adres.gov.co/BDUA/Consulta-Afiliados-BDUA</w:t>
        </w:r>
      </w:hyperlink>
    </w:p>
    <w:p w14:paraId="0BBAF09E" w14:textId="77777777" w:rsidR="00CB15DE" w:rsidRPr="00CB15DE" w:rsidRDefault="00CB15DE" w:rsidP="00CB15DE">
      <w:pPr>
        <w:pStyle w:val="Normal0"/>
        <w:ind w:left="720" w:hanging="720"/>
        <w:rPr>
          <w:color w:val="000000"/>
          <w:sz w:val="20"/>
          <w:szCs w:val="20"/>
        </w:rPr>
      </w:pPr>
    </w:p>
    <w:p w14:paraId="4A803E6B" w14:textId="1DAD8E7B" w:rsidR="00CB15DE" w:rsidRDefault="00CB15DE" w:rsidP="00CB15DE">
      <w:pPr>
        <w:pStyle w:val="Normal0"/>
        <w:ind w:left="720" w:hanging="720"/>
        <w:rPr>
          <w:color w:val="000000"/>
          <w:sz w:val="20"/>
          <w:szCs w:val="20"/>
        </w:rPr>
      </w:pPr>
      <w:r w:rsidRPr="00CB15DE">
        <w:rPr>
          <w:color w:val="000000"/>
          <w:sz w:val="20"/>
          <w:szCs w:val="20"/>
        </w:rPr>
        <w:t xml:space="preserve">Administradora de los Recursos del Sistema General de Seguridad Social en Salud (ADRES). (s. f.). Base de Datos Única de Afiliados (BDUA). </w:t>
      </w:r>
      <w:hyperlink r:id="rId58" w:history="1">
        <w:r w:rsidRPr="00A34FA6">
          <w:rPr>
            <w:rStyle w:val="Hipervnculo"/>
            <w:sz w:val="20"/>
            <w:szCs w:val="20"/>
          </w:rPr>
          <w:t>https://www.adres.gov.co/eps/bdua/Paginas/afiliados-por-departamento-y-estado-de-afiliacion.aspx</w:t>
        </w:r>
      </w:hyperlink>
      <w:r>
        <w:rPr>
          <w:color w:val="000000"/>
          <w:sz w:val="20"/>
          <w:szCs w:val="20"/>
        </w:rPr>
        <w:t xml:space="preserve"> </w:t>
      </w:r>
    </w:p>
    <w:p w14:paraId="263FB730" w14:textId="77777777" w:rsidR="00CB15DE" w:rsidRPr="00CB15DE" w:rsidRDefault="00CB15DE" w:rsidP="00CB15DE">
      <w:pPr>
        <w:pStyle w:val="Normal0"/>
        <w:ind w:left="720" w:hanging="720"/>
        <w:rPr>
          <w:color w:val="000000"/>
          <w:sz w:val="20"/>
          <w:szCs w:val="20"/>
        </w:rPr>
      </w:pPr>
    </w:p>
    <w:p w14:paraId="34E75CA6" w14:textId="77777777" w:rsidR="00CB15DE" w:rsidRPr="00CB15DE" w:rsidRDefault="00CB15DE" w:rsidP="00CB15DE">
      <w:pPr>
        <w:pStyle w:val="Normal0"/>
        <w:ind w:left="720" w:hanging="720"/>
        <w:rPr>
          <w:color w:val="000000"/>
          <w:sz w:val="20"/>
          <w:szCs w:val="20"/>
        </w:rPr>
      </w:pPr>
      <w:r w:rsidRPr="00CB15DE">
        <w:rPr>
          <w:color w:val="000000"/>
          <w:sz w:val="20"/>
          <w:szCs w:val="20"/>
        </w:rPr>
        <w:t>Cuenta de Alto Costo. (s. f.). Cuenta de Alto Costo.</w:t>
      </w:r>
      <w:r>
        <w:rPr>
          <w:color w:val="000000"/>
          <w:sz w:val="20"/>
          <w:szCs w:val="20"/>
        </w:rPr>
        <w:t xml:space="preserve"> </w:t>
      </w:r>
      <w:hyperlink r:id="rId59" w:history="1">
        <w:r w:rsidRPr="00A34FA6">
          <w:rPr>
            <w:rStyle w:val="Hipervnculo"/>
            <w:sz w:val="20"/>
            <w:szCs w:val="20"/>
          </w:rPr>
          <w:t>https://cuentadealtocosto.org/</w:t>
        </w:r>
      </w:hyperlink>
      <w:r>
        <w:rPr>
          <w:color w:val="000000"/>
          <w:sz w:val="20"/>
          <w:szCs w:val="20"/>
        </w:rPr>
        <w:t xml:space="preserve"> </w:t>
      </w:r>
    </w:p>
    <w:p w14:paraId="02D6097E" w14:textId="77777777" w:rsidR="00CB15DE" w:rsidRDefault="00CB15DE" w:rsidP="00CB15DE">
      <w:pPr>
        <w:pStyle w:val="Normal0"/>
        <w:ind w:left="720" w:hanging="720"/>
        <w:rPr>
          <w:color w:val="000000"/>
          <w:sz w:val="20"/>
          <w:szCs w:val="20"/>
        </w:rPr>
      </w:pPr>
    </w:p>
    <w:p w14:paraId="0B558961" w14:textId="63ED70E5" w:rsidR="00CB15DE" w:rsidRDefault="00CB15DE" w:rsidP="00CB15DE">
      <w:pPr>
        <w:pStyle w:val="Normal0"/>
        <w:ind w:left="720" w:hanging="720"/>
        <w:rPr>
          <w:color w:val="000000"/>
          <w:sz w:val="20"/>
          <w:szCs w:val="20"/>
        </w:rPr>
      </w:pPr>
      <w:r w:rsidRPr="00CB15DE">
        <w:rPr>
          <w:color w:val="000000"/>
          <w:sz w:val="20"/>
          <w:szCs w:val="20"/>
        </w:rPr>
        <w:t xml:space="preserve">Instituto Nacional de Salud. (2026). SIVIGILA: Sistema Nacional de Vigilancia en Salud Pública. </w:t>
      </w:r>
      <w:hyperlink r:id="rId60" w:history="1">
        <w:r w:rsidRPr="00A34FA6">
          <w:rPr>
            <w:rStyle w:val="Hipervnculo"/>
            <w:sz w:val="20"/>
            <w:szCs w:val="20"/>
          </w:rPr>
          <w:t>https://portalsivigila.ins.gov.co/</w:t>
        </w:r>
      </w:hyperlink>
    </w:p>
    <w:p w14:paraId="4A5F0A8A" w14:textId="77777777" w:rsidR="00CB15DE" w:rsidRPr="00CB15DE" w:rsidRDefault="00CB15DE" w:rsidP="00CB15DE">
      <w:pPr>
        <w:pStyle w:val="Normal0"/>
        <w:ind w:left="720" w:hanging="720"/>
        <w:rPr>
          <w:color w:val="000000"/>
          <w:sz w:val="20"/>
          <w:szCs w:val="20"/>
        </w:rPr>
      </w:pPr>
    </w:p>
    <w:p w14:paraId="6B840682" w14:textId="2710E047" w:rsidR="00CB15DE" w:rsidRDefault="00CB15DE" w:rsidP="00CB15DE">
      <w:pPr>
        <w:pStyle w:val="Normal0"/>
        <w:ind w:left="720" w:hanging="720"/>
        <w:rPr>
          <w:color w:val="000000"/>
          <w:sz w:val="20"/>
          <w:szCs w:val="20"/>
        </w:rPr>
      </w:pPr>
      <w:r w:rsidRPr="00CB15DE">
        <w:rPr>
          <w:color w:val="000000"/>
          <w:sz w:val="20"/>
          <w:szCs w:val="20"/>
        </w:rPr>
        <w:t>Ministerio de Salud y Protección Social. (2017). Clasificación Única de Procedimientos en Salud (CUPS).</w:t>
      </w:r>
    </w:p>
    <w:p w14:paraId="1315B0F4" w14:textId="42323C0F" w:rsidR="00CB15DE" w:rsidRPr="00CB15DE" w:rsidRDefault="00CB15DE" w:rsidP="00CB15DE">
      <w:pPr>
        <w:pStyle w:val="Normal0"/>
        <w:ind w:left="720" w:hanging="720"/>
        <w:rPr>
          <w:color w:val="000000"/>
          <w:sz w:val="20"/>
          <w:szCs w:val="20"/>
        </w:rPr>
      </w:pPr>
    </w:p>
    <w:p w14:paraId="42FA92E0" w14:textId="1C36E6DD" w:rsidR="00CB15DE" w:rsidRDefault="00CB15DE" w:rsidP="00CB15DE">
      <w:pPr>
        <w:pStyle w:val="Normal0"/>
        <w:ind w:left="720" w:hanging="720"/>
        <w:rPr>
          <w:color w:val="000000"/>
          <w:sz w:val="20"/>
          <w:szCs w:val="20"/>
        </w:rPr>
      </w:pPr>
      <w:r w:rsidRPr="00CB15DE">
        <w:rPr>
          <w:color w:val="000000"/>
          <w:sz w:val="20"/>
          <w:szCs w:val="20"/>
        </w:rPr>
        <w:t>Ministerio de Salud y Protección Social. (2018). Resolución 3280 de 2018.</w:t>
      </w:r>
    </w:p>
    <w:p w14:paraId="014376D8" w14:textId="77777777" w:rsidR="00CB15DE" w:rsidRPr="00CB15DE" w:rsidRDefault="00CB15DE" w:rsidP="00CB15DE">
      <w:pPr>
        <w:pStyle w:val="Normal0"/>
        <w:ind w:left="720" w:hanging="720"/>
        <w:rPr>
          <w:color w:val="000000"/>
          <w:sz w:val="20"/>
          <w:szCs w:val="20"/>
        </w:rPr>
      </w:pPr>
    </w:p>
    <w:p w14:paraId="21E179B6" w14:textId="1432E5AF" w:rsidR="00CB15DE" w:rsidRDefault="00CB15DE" w:rsidP="00CB15DE">
      <w:pPr>
        <w:pStyle w:val="Normal0"/>
        <w:ind w:left="720" w:hanging="720"/>
        <w:rPr>
          <w:color w:val="000000"/>
          <w:sz w:val="20"/>
          <w:szCs w:val="20"/>
        </w:rPr>
      </w:pPr>
      <w:r w:rsidRPr="00CB15DE">
        <w:rPr>
          <w:color w:val="000000"/>
          <w:sz w:val="20"/>
          <w:szCs w:val="20"/>
        </w:rPr>
        <w:t>Ministerio de Salud y Protección Social. (2018). Rutas Integrales de Atención en Salud (RIAS).</w:t>
      </w:r>
    </w:p>
    <w:p w14:paraId="7FA21A4D" w14:textId="77777777" w:rsidR="00CB15DE" w:rsidRPr="00CB15DE" w:rsidRDefault="00CB15DE" w:rsidP="00CB15DE">
      <w:pPr>
        <w:pStyle w:val="Normal0"/>
        <w:ind w:left="720" w:hanging="720"/>
        <w:rPr>
          <w:color w:val="000000"/>
          <w:sz w:val="20"/>
          <w:szCs w:val="20"/>
        </w:rPr>
      </w:pPr>
    </w:p>
    <w:p w14:paraId="620708E4" w14:textId="1855B06E" w:rsidR="00CB15DE" w:rsidRDefault="00CB15DE" w:rsidP="00CB15DE">
      <w:pPr>
        <w:pStyle w:val="Normal0"/>
        <w:ind w:left="720" w:hanging="720"/>
        <w:rPr>
          <w:color w:val="000000"/>
          <w:sz w:val="20"/>
          <w:szCs w:val="20"/>
        </w:rPr>
      </w:pPr>
      <w:r w:rsidRPr="00CB15DE">
        <w:rPr>
          <w:color w:val="000000"/>
          <w:sz w:val="20"/>
          <w:szCs w:val="20"/>
        </w:rPr>
        <w:t xml:space="preserve">Ministerio de Salud y Protección Social. (2022). Decreto 441 de 2022. </w:t>
      </w:r>
      <w:hyperlink r:id="rId61" w:history="1">
        <w:r w:rsidRPr="00A34FA6">
          <w:rPr>
            <w:rStyle w:val="Hipervnculo"/>
            <w:sz w:val="20"/>
            <w:szCs w:val="20"/>
          </w:rPr>
          <w:t>https://www.minsalud.gov.co/Normatividad_Nuevo/Decreto%20No.%20441%20de%202022.pdf</w:t>
        </w:r>
      </w:hyperlink>
    </w:p>
    <w:p w14:paraId="33E14DEF" w14:textId="77777777" w:rsidR="00CB15DE" w:rsidRPr="00CB15DE" w:rsidRDefault="00CB15DE" w:rsidP="00CB15DE">
      <w:pPr>
        <w:pStyle w:val="Normal0"/>
        <w:ind w:left="720" w:hanging="720"/>
        <w:rPr>
          <w:color w:val="000000"/>
          <w:sz w:val="20"/>
          <w:szCs w:val="20"/>
        </w:rPr>
      </w:pPr>
    </w:p>
    <w:p w14:paraId="42ED017F" w14:textId="2A5E1DF1" w:rsidR="00CB15DE" w:rsidRDefault="00CB15DE" w:rsidP="00CB15DE">
      <w:pPr>
        <w:pStyle w:val="Normal0"/>
        <w:ind w:left="720" w:hanging="720"/>
        <w:rPr>
          <w:color w:val="000000"/>
          <w:sz w:val="20"/>
          <w:szCs w:val="20"/>
        </w:rPr>
      </w:pPr>
      <w:r w:rsidRPr="00CB15DE">
        <w:rPr>
          <w:color w:val="000000"/>
          <w:sz w:val="20"/>
          <w:szCs w:val="20"/>
        </w:rPr>
        <w:t>Ministerio de Salud y Protección Social. (2023). Resolución 2275 de 2023.</w:t>
      </w:r>
    </w:p>
    <w:p w14:paraId="77AF5FF1" w14:textId="77777777" w:rsidR="00CB15DE" w:rsidRPr="00CB15DE" w:rsidRDefault="00CB15DE" w:rsidP="00CB15DE">
      <w:pPr>
        <w:pStyle w:val="Normal0"/>
        <w:ind w:left="720" w:hanging="720"/>
        <w:rPr>
          <w:color w:val="000000"/>
          <w:sz w:val="20"/>
          <w:szCs w:val="20"/>
        </w:rPr>
      </w:pPr>
    </w:p>
    <w:p w14:paraId="195F49D8" w14:textId="16E59624" w:rsidR="00CB15DE" w:rsidRDefault="00CB15DE" w:rsidP="00CB15DE">
      <w:pPr>
        <w:pStyle w:val="Normal0"/>
        <w:ind w:left="720" w:hanging="720"/>
        <w:rPr>
          <w:color w:val="000000"/>
          <w:sz w:val="20"/>
          <w:szCs w:val="20"/>
        </w:rPr>
      </w:pPr>
      <w:r w:rsidRPr="00CB15DE">
        <w:rPr>
          <w:color w:val="000000"/>
          <w:sz w:val="20"/>
          <w:szCs w:val="20"/>
        </w:rPr>
        <w:t>Ministerio de Salud y Protección Social. (2023). Resolución 2284 de 2023.</w:t>
      </w:r>
    </w:p>
    <w:p w14:paraId="00BD9B47" w14:textId="04FAAF1D" w:rsidR="00D7262C" w:rsidRDefault="00D7262C" w:rsidP="00CB15DE">
      <w:pPr>
        <w:pStyle w:val="Normal0"/>
        <w:ind w:left="720" w:hanging="720"/>
        <w:rPr>
          <w:color w:val="000000"/>
          <w:sz w:val="20"/>
          <w:szCs w:val="20"/>
        </w:rPr>
      </w:pPr>
    </w:p>
    <w:p w14:paraId="0651E4A6" w14:textId="77777777" w:rsidR="00D7262C" w:rsidRDefault="00D7262C" w:rsidP="00D7262C">
      <w:pPr>
        <w:pStyle w:val="Normal0"/>
        <w:ind w:left="720" w:hanging="720"/>
        <w:rPr>
          <w:color w:val="000000"/>
          <w:sz w:val="20"/>
          <w:szCs w:val="20"/>
        </w:rPr>
      </w:pPr>
      <w:r w:rsidRPr="00D7262C">
        <w:rPr>
          <w:color w:val="000000"/>
          <w:sz w:val="20"/>
          <w:szCs w:val="20"/>
        </w:rPr>
        <w:t>Ministerio de Salud y Protección Social. (2025). Resolución 2706 de 2025.</w:t>
      </w:r>
    </w:p>
    <w:p w14:paraId="19ED14CF" w14:textId="77777777" w:rsidR="00CB15DE" w:rsidRPr="00CB15DE" w:rsidRDefault="00CB15DE" w:rsidP="00CB15DE">
      <w:pPr>
        <w:pStyle w:val="Normal0"/>
        <w:ind w:left="720" w:hanging="720"/>
        <w:rPr>
          <w:color w:val="000000"/>
          <w:sz w:val="20"/>
          <w:szCs w:val="20"/>
        </w:rPr>
      </w:pPr>
    </w:p>
    <w:p w14:paraId="77A09BBD" w14:textId="374415A0" w:rsidR="00CB15DE" w:rsidRDefault="00CB15DE" w:rsidP="00CB15DE">
      <w:pPr>
        <w:pStyle w:val="Normal0"/>
        <w:ind w:left="720" w:hanging="720"/>
        <w:rPr>
          <w:color w:val="000000"/>
          <w:sz w:val="20"/>
          <w:szCs w:val="20"/>
        </w:rPr>
      </w:pPr>
      <w:r w:rsidRPr="00CB15DE">
        <w:rPr>
          <w:color w:val="000000"/>
          <w:sz w:val="20"/>
          <w:szCs w:val="20"/>
        </w:rPr>
        <w:t>Ministerio de Salud y Protección Social. (2024). Resolución 100 de 2024.</w:t>
      </w:r>
    </w:p>
    <w:p w14:paraId="49FE7F74" w14:textId="77777777" w:rsidR="00CB15DE" w:rsidRPr="00CB15DE" w:rsidRDefault="00CB15DE" w:rsidP="00CB15DE">
      <w:pPr>
        <w:pStyle w:val="Normal0"/>
        <w:ind w:left="720" w:hanging="720"/>
        <w:rPr>
          <w:color w:val="000000"/>
          <w:sz w:val="20"/>
          <w:szCs w:val="20"/>
        </w:rPr>
      </w:pPr>
    </w:p>
    <w:p w14:paraId="67838B4F" w14:textId="436C674C" w:rsidR="00CB15DE" w:rsidRDefault="00CB15DE" w:rsidP="00CB15DE">
      <w:pPr>
        <w:pStyle w:val="Normal0"/>
        <w:ind w:left="720" w:hanging="720"/>
        <w:rPr>
          <w:color w:val="000000"/>
          <w:sz w:val="20"/>
          <w:szCs w:val="20"/>
        </w:rPr>
      </w:pPr>
      <w:r w:rsidRPr="00CB15DE">
        <w:rPr>
          <w:color w:val="000000"/>
          <w:sz w:val="20"/>
          <w:szCs w:val="20"/>
        </w:rPr>
        <w:t>Ministerio de Salud y Protección Social. (2024). Resolución 1885 de 2024.</w:t>
      </w:r>
    </w:p>
    <w:p w14:paraId="30C3A680" w14:textId="77777777" w:rsidR="00CB15DE" w:rsidRPr="00CB15DE" w:rsidRDefault="00CB15DE" w:rsidP="00CB15DE">
      <w:pPr>
        <w:pStyle w:val="Normal0"/>
        <w:ind w:left="720" w:hanging="720"/>
        <w:rPr>
          <w:color w:val="000000"/>
          <w:sz w:val="20"/>
          <w:szCs w:val="20"/>
        </w:rPr>
      </w:pPr>
    </w:p>
    <w:p w14:paraId="3C843409" w14:textId="19A48D6F" w:rsidR="00CB15DE" w:rsidRDefault="00CB15DE" w:rsidP="00CB15DE">
      <w:pPr>
        <w:pStyle w:val="Normal0"/>
        <w:ind w:left="720" w:hanging="720"/>
        <w:rPr>
          <w:color w:val="000000"/>
          <w:sz w:val="20"/>
          <w:szCs w:val="20"/>
        </w:rPr>
      </w:pPr>
      <w:r w:rsidRPr="00CB15DE">
        <w:rPr>
          <w:color w:val="000000"/>
          <w:sz w:val="20"/>
          <w:szCs w:val="20"/>
        </w:rPr>
        <w:t xml:space="preserve">Ministerio de Salud y Protección Social. (2026). Facturación electrónica de venta en salud y Registro Individual de Prestación de Servicios de Salud (RIPS). </w:t>
      </w:r>
      <w:hyperlink r:id="rId62" w:history="1">
        <w:r w:rsidRPr="00A34FA6">
          <w:rPr>
            <w:rStyle w:val="Hipervnculo"/>
            <w:sz w:val="20"/>
            <w:szCs w:val="20"/>
          </w:rPr>
          <w:t>https://www.sispro.gov.co/central-financiamiento/Pages/facturacion-electronica.aspx</w:t>
        </w:r>
      </w:hyperlink>
    </w:p>
    <w:p w14:paraId="0C6139FE" w14:textId="77777777" w:rsidR="00CB15DE" w:rsidRPr="00CB15DE" w:rsidRDefault="00CB15DE" w:rsidP="00CB15DE">
      <w:pPr>
        <w:pStyle w:val="Normal0"/>
        <w:ind w:left="720" w:hanging="720"/>
        <w:rPr>
          <w:color w:val="000000"/>
          <w:sz w:val="20"/>
          <w:szCs w:val="20"/>
        </w:rPr>
      </w:pPr>
    </w:p>
    <w:p w14:paraId="36CD0B0C" w14:textId="38273FFF" w:rsidR="00CB15DE" w:rsidRDefault="00CB15DE" w:rsidP="00CB15DE">
      <w:pPr>
        <w:pStyle w:val="Normal0"/>
        <w:ind w:left="720" w:hanging="720"/>
        <w:rPr>
          <w:color w:val="000000"/>
          <w:sz w:val="20"/>
          <w:szCs w:val="20"/>
        </w:rPr>
      </w:pPr>
      <w:r w:rsidRPr="00CB15DE">
        <w:rPr>
          <w:color w:val="000000"/>
          <w:sz w:val="20"/>
          <w:szCs w:val="20"/>
        </w:rPr>
        <w:t xml:space="preserve">Ministerio de Salud y Protección Social. (s. f.). Análisis de Situación de Salud (ASIS). </w:t>
      </w:r>
      <w:hyperlink r:id="rId63" w:history="1">
        <w:r w:rsidRPr="00A34FA6">
          <w:rPr>
            <w:rStyle w:val="Hipervnculo"/>
            <w:sz w:val="20"/>
            <w:szCs w:val="20"/>
          </w:rPr>
          <w:t>https://www.minsalud.gov.co/salud/epidemiologia-demografia/Paginas/analisis-de-situacion-de-salud.aspx</w:t>
        </w:r>
      </w:hyperlink>
    </w:p>
    <w:p w14:paraId="4A5B3418" w14:textId="77777777" w:rsidR="00CB15DE" w:rsidRPr="00CB15DE" w:rsidRDefault="00CB15DE" w:rsidP="00CB15DE">
      <w:pPr>
        <w:pStyle w:val="Normal0"/>
        <w:ind w:left="720" w:hanging="720"/>
        <w:rPr>
          <w:color w:val="000000"/>
          <w:sz w:val="20"/>
          <w:szCs w:val="20"/>
        </w:rPr>
      </w:pPr>
    </w:p>
    <w:p w14:paraId="732D93AA" w14:textId="54CEF619" w:rsidR="00CB15DE" w:rsidRDefault="00CB15DE" w:rsidP="00CB15DE">
      <w:pPr>
        <w:pStyle w:val="Normal0"/>
        <w:ind w:left="720" w:hanging="720"/>
        <w:rPr>
          <w:color w:val="000000"/>
          <w:sz w:val="20"/>
          <w:szCs w:val="20"/>
        </w:rPr>
      </w:pPr>
      <w:r w:rsidRPr="00CB15DE">
        <w:rPr>
          <w:color w:val="000000"/>
          <w:sz w:val="20"/>
          <w:szCs w:val="20"/>
        </w:rPr>
        <w:t>Ministerio de Salud y Protección Social. (s. f.). Sistema de Información para la Calidad.</w:t>
      </w:r>
    </w:p>
    <w:p w14:paraId="22C3FC78" w14:textId="77777777" w:rsidR="00CB15DE" w:rsidRDefault="00CB15DE" w:rsidP="00CB15DE">
      <w:pPr>
        <w:pStyle w:val="Normal0"/>
        <w:ind w:left="720" w:hanging="720"/>
        <w:rPr>
          <w:color w:val="000000"/>
          <w:sz w:val="20"/>
          <w:szCs w:val="20"/>
        </w:rPr>
      </w:pPr>
    </w:p>
    <w:p w14:paraId="3686C576" w14:textId="01162B54" w:rsidR="00CB15DE" w:rsidRDefault="00CB15DE" w:rsidP="00CB15DE">
      <w:pPr>
        <w:pStyle w:val="Normal0"/>
        <w:ind w:left="720" w:hanging="720"/>
        <w:rPr>
          <w:color w:val="000000"/>
          <w:sz w:val="20"/>
          <w:szCs w:val="20"/>
        </w:rPr>
      </w:pPr>
      <w:r w:rsidRPr="00CB15DE">
        <w:rPr>
          <w:color w:val="000000"/>
          <w:sz w:val="20"/>
          <w:szCs w:val="20"/>
        </w:rPr>
        <w:t xml:space="preserve">Ministerio de Salud y Protección Social. (s. f.). Sistema Integrado de Información de la Protección Social (SISPRO). </w:t>
      </w:r>
      <w:hyperlink r:id="rId64" w:history="1">
        <w:r w:rsidRPr="00A34FA6">
          <w:rPr>
            <w:rStyle w:val="Hipervnculo"/>
            <w:sz w:val="20"/>
            <w:szCs w:val="20"/>
          </w:rPr>
          <w:t>https://www.sispro.gov.co/Pages/Home.aspx</w:t>
        </w:r>
      </w:hyperlink>
    </w:p>
    <w:p w14:paraId="38A81AAD" w14:textId="77777777" w:rsidR="00CB15DE" w:rsidRPr="00CB15DE" w:rsidRDefault="00CB15DE" w:rsidP="00CB15DE">
      <w:pPr>
        <w:pStyle w:val="Normal0"/>
        <w:ind w:left="720" w:hanging="720"/>
        <w:rPr>
          <w:color w:val="000000"/>
          <w:sz w:val="20"/>
          <w:szCs w:val="20"/>
        </w:rPr>
      </w:pPr>
    </w:p>
    <w:p w14:paraId="6B521E80" w14:textId="4A88E279" w:rsidR="00CB15DE" w:rsidRDefault="00CB15DE" w:rsidP="00CB15DE">
      <w:pPr>
        <w:pStyle w:val="Normal0"/>
        <w:ind w:left="720" w:hanging="720"/>
        <w:rPr>
          <w:color w:val="000000"/>
          <w:sz w:val="20"/>
          <w:szCs w:val="20"/>
        </w:rPr>
      </w:pPr>
      <w:r w:rsidRPr="00CB15DE">
        <w:rPr>
          <w:color w:val="000000"/>
          <w:sz w:val="20"/>
          <w:szCs w:val="20"/>
        </w:rPr>
        <w:t>Ministerio de Salud y Protección Social. (s. f.). Sistema Obligatorio de Garantía de Calidad de la Atención de Salud (SOGCS).</w:t>
      </w:r>
    </w:p>
    <w:p w14:paraId="27ABFDDC" w14:textId="63F3B14C" w:rsidR="00D7262C" w:rsidRDefault="00D7262C" w:rsidP="00D7262C">
      <w:pPr>
        <w:pStyle w:val="Normal0"/>
        <w:rPr>
          <w:color w:val="000000"/>
          <w:sz w:val="20"/>
          <w:szCs w:val="20"/>
        </w:rPr>
      </w:pPr>
    </w:p>
    <w:p w14:paraId="2DFCACAB" w14:textId="0C36B7C4" w:rsidR="00D7262C" w:rsidRDefault="00D7262C" w:rsidP="00CB15DE">
      <w:pPr>
        <w:pStyle w:val="Normal0"/>
        <w:ind w:left="720" w:hanging="720"/>
        <w:rPr>
          <w:color w:val="000000"/>
          <w:sz w:val="20"/>
          <w:szCs w:val="20"/>
        </w:rPr>
      </w:pPr>
      <w:r w:rsidRPr="00CB15DE">
        <w:rPr>
          <w:color w:val="000000"/>
          <w:sz w:val="20"/>
          <w:szCs w:val="20"/>
        </w:rPr>
        <w:t>Ministerio de Salud y Protección Social. (s. f.). Sistema Único de Habilitación.</w:t>
      </w:r>
    </w:p>
    <w:p w14:paraId="2A34A1B0" w14:textId="77777777" w:rsidR="00D7262C" w:rsidRDefault="00D7262C" w:rsidP="00CB15DE">
      <w:pPr>
        <w:pStyle w:val="Normal0"/>
        <w:ind w:left="720" w:hanging="720"/>
        <w:rPr>
          <w:color w:val="000000"/>
          <w:sz w:val="20"/>
          <w:szCs w:val="20"/>
        </w:rPr>
      </w:pPr>
    </w:p>
    <w:p w14:paraId="5178F057" w14:textId="77777777" w:rsidR="00D7262C" w:rsidRDefault="00D7262C" w:rsidP="00CB15DE">
      <w:pPr>
        <w:pStyle w:val="Normal0"/>
        <w:ind w:left="720" w:hanging="720"/>
        <w:rPr>
          <w:color w:val="000000"/>
          <w:sz w:val="20"/>
          <w:szCs w:val="20"/>
        </w:rPr>
      </w:pPr>
      <w:r w:rsidRPr="00CB15DE">
        <w:rPr>
          <w:color w:val="000000"/>
          <w:sz w:val="20"/>
          <w:szCs w:val="20"/>
        </w:rPr>
        <w:t>Ministerio de Salud y Protección Social. (s. f.). Sistema Único de Acreditación.</w:t>
      </w:r>
    </w:p>
    <w:p w14:paraId="27A919BE" w14:textId="77777777" w:rsidR="00D7262C" w:rsidRDefault="00D7262C" w:rsidP="00CB15DE">
      <w:pPr>
        <w:pStyle w:val="Normal0"/>
        <w:ind w:left="720" w:hanging="720"/>
        <w:rPr>
          <w:color w:val="000000"/>
          <w:sz w:val="20"/>
          <w:szCs w:val="20"/>
        </w:rPr>
      </w:pPr>
      <w:r w:rsidRPr="00CB15DE">
        <w:rPr>
          <w:color w:val="000000"/>
          <w:sz w:val="20"/>
          <w:szCs w:val="20"/>
        </w:rPr>
        <w:t>Ministerio de Tecnologías de la Información y las Comunicaciones. (2026). Código Único de Medicamentos (CUM).</w:t>
      </w:r>
    </w:p>
    <w:p w14:paraId="20180B8D" w14:textId="77777777" w:rsidR="00CB15DE" w:rsidRPr="00CB15DE" w:rsidRDefault="00CB15DE" w:rsidP="00CB15DE">
      <w:pPr>
        <w:pStyle w:val="Normal0"/>
        <w:ind w:left="720" w:hanging="720"/>
        <w:rPr>
          <w:color w:val="000000"/>
          <w:sz w:val="20"/>
          <w:szCs w:val="20"/>
        </w:rPr>
      </w:pPr>
    </w:p>
    <w:p w14:paraId="1173C7BC" w14:textId="6E9C2D9B" w:rsidR="00CB15DE" w:rsidRDefault="00CB15DE" w:rsidP="00CB15DE">
      <w:pPr>
        <w:pStyle w:val="Normal0"/>
        <w:ind w:left="720" w:hanging="720"/>
        <w:rPr>
          <w:color w:val="000000"/>
          <w:sz w:val="20"/>
          <w:szCs w:val="20"/>
        </w:rPr>
      </w:pPr>
      <w:r w:rsidRPr="00CB15DE">
        <w:rPr>
          <w:color w:val="000000"/>
          <w:sz w:val="20"/>
          <w:szCs w:val="20"/>
        </w:rPr>
        <w:t>Politécnico de Colombia. (2026). Guía paso a paso: qué es el PAMEC en salud y cómo implementarlo en Colombia.</w:t>
      </w:r>
    </w:p>
    <w:p w14:paraId="788E8725" w14:textId="77777777" w:rsidR="00CB15DE" w:rsidRPr="00CB15DE" w:rsidRDefault="00CB15DE" w:rsidP="00CB15DE">
      <w:pPr>
        <w:pStyle w:val="Normal0"/>
        <w:ind w:left="720" w:hanging="720"/>
        <w:rPr>
          <w:color w:val="000000"/>
          <w:sz w:val="20"/>
          <w:szCs w:val="20"/>
        </w:rPr>
      </w:pPr>
    </w:p>
    <w:p w14:paraId="4CC381EE" w14:textId="08E003A8" w:rsidR="00CB15DE" w:rsidRDefault="00CB15DE" w:rsidP="00CB15DE">
      <w:pPr>
        <w:pStyle w:val="Normal0"/>
        <w:ind w:left="720" w:hanging="720"/>
        <w:rPr>
          <w:color w:val="000000"/>
          <w:sz w:val="20"/>
          <w:szCs w:val="20"/>
        </w:rPr>
      </w:pPr>
      <w:r w:rsidRPr="00CB15DE">
        <w:rPr>
          <w:color w:val="000000"/>
          <w:sz w:val="20"/>
          <w:szCs w:val="20"/>
        </w:rPr>
        <w:t xml:space="preserve">Presidencia de la República de Colombia. (1996). Decreto 2423 de 1996. Función Pública. </w:t>
      </w:r>
      <w:hyperlink r:id="rId65" w:history="1">
        <w:r w:rsidRPr="00A34FA6">
          <w:rPr>
            <w:rStyle w:val="Hipervnculo"/>
            <w:sz w:val="20"/>
            <w:szCs w:val="20"/>
          </w:rPr>
          <w:t>https://www.funcionpublica.gov.co/eva/gestornormativo/norma.php?i=76014</w:t>
        </w:r>
      </w:hyperlink>
    </w:p>
    <w:p w14:paraId="21C22754" w14:textId="0EE39B25" w:rsidR="00CB15DE" w:rsidRPr="00CB15DE" w:rsidRDefault="00CB15DE" w:rsidP="00CB15DE">
      <w:pPr>
        <w:pStyle w:val="Normal0"/>
        <w:ind w:left="720" w:hanging="720"/>
        <w:rPr>
          <w:color w:val="000000"/>
          <w:sz w:val="20"/>
          <w:szCs w:val="20"/>
        </w:rPr>
      </w:pPr>
      <w:r w:rsidRPr="00CB15DE">
        <w:rPr>
          <w:color w:val="000000"/>
          <w:sz w:val="20"/>
          <w:szCs w:val="20"/>
        </w:rPr>
        <w:t xml:space="preserve"> </w:t>
      </w:r>
    </w:p>
    <w:p w14:paraId="306B858D" w14:textId="09577DD3" w:rsidR="00CB15DE" w:rsidRDefault="00CB15DE" w:rsidP="00CB15DE">
      <w:pPr>
        <w:pStyle w:val="Normal0"/>
        <w:ind w:left="720" w:hanging="720"/>
        <w:rPr>
          <w:color w:val="000000"/>
          <w:sz w:val="20"/>
          <w:szCs w:val="20"/>
        </w:rPr>
      </w:pPr>
      <w:r w:rsidRPr="00CB15DE">
        <w:rPr>
          <w:color w:val="000000"/>
          <w:sz w:val="20"/>
          <w:szCs w:val="20"/>
        </w:rPr>
        <w:t xml:space="preserve">Presidencia de la República de Colombia. (2016). Decreto 780 de 2016. Función Pública. </w:t>
      </w:r>
      <w:hyperlink r:id="rId66" w:history="1">
        <w:r w:rsidRPr="00A34FA6">
          <w:rPr>
            <w:rStyle w:val="Hipervnculo"/>
            <w:sz w:val="20"/>
            <w:szCs w:val="20"/>
          </w:rPr>
          <w:t>https://www.funcionpublica.gov.co/eva/gestornormativo/norma.php?i=77813</w:t>
        </w:r>
      </w:hyperlink>
      <w:r w:rsidRPr="00CB15DE">
        <w:rPr>
          <w:color w:val="000000"/>
          <w:sz w:val="20"/>
          <w:szCs w:val="20"/>
        </w:rPr>
        <w:t xml:space="preserve"> </w:t>
      </w:r>
    </w:p>
    <w:p w14:paraId="2C871B8F" w14:textId="77777777" w:rsidR="00CB15DE" w:rsidRPr="00CB15DE" w:rsidRDefault="00CB15DE" w:rsidP="00CB15DE">
      <w:pPr>
        <w:pStyle w:val="Normal0"/>
        <w:ind w:left="720" w:hanging="720"/>
        <w:rPr>
          <w:color w:val="000000"/>
          <w:sz w:val="20"/>
          <w:szCs w:val="20"/>
        </w:rPr>
      </w:pPr>
    </w:p>
    <w:p w14:paraId="5C904F10" w14:textId="7C82ADA3" w:rsidR="00CB15DE" w:rsidRDefault="00CB15DE" w:rsidP="00CB15DE">
      <w:pPr>
        <w:pStyle w:val="Normal0"/>
        <w:ind w:left="720" w:hanging="720"/>
        <w:rPr>
          <w:color w:val="000000"/>
          <w:sz w:val="20"/>
          <w:szCs w:val="20"/>
        </w:rPr>
      </w:pPr>
    </w:p>
    <w:p w14:paraId="3C4C49F0" w14:textId="55BD629D" w:rsidR="00CB15DE" w:rsidRDefault="00CB15DE" w:rsidP="00CB15DE">
      <w:pPr>
        <w:pStyle w:val="Normal0"/>
        <w:ind w:left="720" w:hanging="720"/>
        <w:rPr>
          <w:color w:val="000000"/>
          <w:sz w:val="20"/>
          <w:szCs w:val="20"/>
        </w:rPr>
      </w:pPr>
    </w:p>
    <w:p w14:paraId="5D7D067D" w14:textId="206EC101" w:rsidR="00CB15DE" w:rsidRDefault="00CB15DE" w:rsidP="00CB15DE">
      <w:pPr>
        <w:pStyle w:val="Normal0"/>
        <w:ind w:left="720" w:hanging="720"/>
        <w:rPr>
          <w:color w:val="000000"/>
          <w:sz w:val="20"/>
          <w:szCs w:val="20"/>
        </w:rPr>
      </w:pPr>
    </w:p>
    <w:p w14:paraId="53EF03CD" w14:textId="77777777" w:rsidR="00CB15DE" w:rsidRPr="005C1E06" w:rsidRDefault="00CB15DE" w:rsidP="00CB15DE">
      <w:pPr>
        <w:pStyle w:val="Normal0"/>
        <w:ind w:left="720" w:hanging="720"/>
        <w:rPr>
          <w:color w:val="000000"/>
          <w:sz w:val="20"/>
          <w:szCs w:val="20"/>
        </w:rPr>
      </w:pPr>
    </w:p>
    <w:p w14:paraId="000000B0" w14:textId="0EBD6905" w:rsidR="00AD17D4" w:rsidRPr="009B49E3" w:rsidRDefault="005C1E06" w:rsidP="00D7262C">
      <w:pPr>
        <w:pStyle w:val="Normal0"/>
        <w:rPr>
          <w:b/>
          <w:color w:val="000000"/>
          <w:sz w:val="20"/>
          <w:szCs w:val="20"/>
        </w:rPr>
      </w:pPr>
      <w:r>
        <w:rPr>
          <w:b/>
          <w:color w:val="000000"/>
          <w:sz w:val="20"/>
          <w:szCs w:val="20"/>
        </w:rPr>
        <w:lastRenderedPageBreak/>
        <w:t xml:space="preserve"> </w:t>
      </w:r>
      <w:bookmarkStart w:id="1" w:name="_GoBack"/>
      <w:bookmarkEnd w:id="1"/>
      <w:r w:rsidR="00025888" w:rsidRPr="009B49E3">
        <w:rPr>
          <w:b/>
          <w:color w:val="000000"/>
          <w:sz w:val="20"/>
          <w:szCs w:val="20"/>
        </w:rPr>
        <w:t>CONTROL DEL DOCUMENTO</w:t>
      </w:r>
    </w:p>
    <w:p w14:paraId="000000B1" w14:textId="77777777" w:rsidR="00AD17D4" w:rsidRPr="009B49E3" w:rsidRDefault="00AD17D4" w:rsidP="009F4EA9">
      <w:pPr>
        <w:pStyle w:val="Normal0"/>
        <w:rPr>
          <w:b/>
          <w:sz w:val="20"/>
          <w:szCs w:val="20"/>
        </w:rPr>
      </w:pPr>
    </w:p>
    <w:tbl>
      <w:tblPr>
        <w:tblStyle w:val="Style73"/>
        <w:tblW w:w="996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272"/>
        <w:gridCol w:w="1991"/>
        <w:gridCol w:w="1559"/>
        <w:gridCol w:w="3257"/>
        <w:gridCol w:w="1888"/>
      </w:tblGrid>
      <w:tr w:rsidR="00AD17D4" w:rsidRPr="009B49E3" w14:paraId="27B3F990" w14:textId="77777777" w:rsidTr="0057321F">
        <w:tc>
          <w:tcPr>
            <w:tcW w:w="1272" w:type="dxa"/>
            <w:tcBorders>
              <w:top w:val="nil"/>
              <w:left w:val="nil"/>
            </w:tcBorders>
            <w:shd w:val="clear" w:color="auto" w:fill="auto"/>
          </w:tcPr>
          <w:p w14:paraId="000000B2" w14:textId="77777777" w:rsidR="00AD17D4" w:rsidRPr="009B49E3" w:rsidRDefault="00AD17D4" w:rsidP="009F4EA9">
            <w:pPr>
              <w:pStyle w:val="Normal0"/>
              <w:rPr>
                <w:sz w:val="20"/>
                <w:szCs w:val="20"/>
              </w:rPr>
            </w:pPr>
          </w:p>
        </w:tc>
        <w:tc>
          <w:tcPr>
            <w:tcW w:w="1991" w:type="dxa"/>
            <w:shd w:val="clear" w:color="auto" w:fill="auto"/>
            <w:vAlign w:val="center"/>
          </w:tcPr>
          <w:p w14:paraId="000000B3" w14:textId="77777777" w:rsidR="00AD17D4" w:rsidRPr="009B49E3" w:rsidRDefault="00025888" w:rsidP="009F4EA9">
            <w:pPr>
              <w:pStyle w:val="Normal0"/>
              <w:rPr>
                <w:sz w:val="20"/>
                <w:szCs w:val="20"/>
              </w:rPr>
            </w:pPr>
            <w:r w:rsidRPr="009B49E3">
              <w:rPr>
                <w:sz w:val="20"/>
                <w:szCs w:val="20"/>
              </w:rPr>
              <w:t>Nombre</w:t>
            </w:r>
          </w:p>
        </w:tc>
        <w:tc>
          <w:tcPr>
            <w:tcW w:w="1559" w:type="dxa"/>
            <w:shd w:val="clear" w:color="auto" w:fill="auto"/>
            <w:vAlign w:val="center"/>
          </w:tcPr>
          <w:p w14:paraId="000000B4" w14:textId="77777777" w:rsidR="00AD17D4" w:rsidRPr="009B49E3" w:rsidRDefault="00025888" w:rsidP="009F4EA9">
            <w:pPr>
              <w:pStyle w:val="Normal0"/>
              <w:rPr>
                <w:sz w:val="20"/>
                <w:szCs w:val="20"/>
              </w:rPr>
            </w:pPr>
            <w:r w:rsidRPr="009B49E3">
              <w:rPr>
                <w:sz w:val="20"/>
                <w:szCs w:val="20"/>
              </w:rPr>
              <w:t>Cargo</w:t>
            </w:r>
          </w:p>
        </w:tc>
        <w:tc>
          <w:tcPr>
            <w:tcW w:w="3257" w:type="dxa"/>
            <w:shd w:val="clear" w:color="auto" w:fill="auto"/>
            <w:vAlign w:val="center"/>
          </w:tcPr>
          <w:p w14:paraId="000000B6" w14:textId="77777777" w:rsidR="00AD17D4" w:rsidRPr="009B49E3" w:rsidRDefault="00025888" w:rsidP="009F4EA9">
            <w:pPr>
              <w:pStyle w:val="Normal0"/>
              <w:rPr>
                <w:sz w:val="20"/>
                <w:szCs w:val="20"/>
              </w:rPr>
            </w:pPr>
            <w:r w:rsidRPr="009B49E3">
              <w:rPr>
                <w:sz w:val="20"/>
                <w:szCs w:val="20"/>
              </w:rPr>
              <w:t>Dependencia</w:t>
            </w:r>
          </w:p>
        </w:tc>
        <w:tc>
          <w:tcPr>
            <w:tcW w:w="1888" w:type="dxa"/>
            <w:shd w:val="clear" w:color="auto" w:fill="auto"/>
            <w:vAlign w:val="center"/>
          </w:tcPr>
          <w:p w14:paraId="000000B7" w14:textId="77777777" w:rsidR="00AD17D4" w:rsidRPr="009B49E3" w:rsidRDefault="00025888" w:rsidP="009F4EA9">
            <w:pPr>
              <w:pStyle w:val="Normal0"/>
              <w:rPr>
                <w:sz w:val="20"/>
                <w:szCs w:val="20"/>
              </w:rPr>
            </w:pPr>
            <w:r w:rsidRPr="009B49E3">
              <w:rPr>
                <w:sz w:val="20"/>
                <w:szCs w:val="20"/>
              </w:rPr>
              <w:t>Fecha</w:t>
            </w:r>
          </w:p>
        </w:tc>
      </w:tr>
      <w:tr w:rsidR="00AD17D4" w:rsidRPr="009B49E3" w14:paraId="2FF467CA" w14:textId="77777777" w:rsidTr="0057321F">
        <w:trPr>
          <w:trHeight w:val="340"/>
        </w:trPr>
        <w:tc>
          <w:tcPr>
            <w:tcW w:w="1272" w:type="dxa"/>
            <w:shd w:val="clear" w:color="auto" w:fill="auto"/>
          </w:tcPr>
          <w:p w14:paraId="000000B8" w14:textId="77777777" w:rsidR="00AD17D4" w:rsidRPr="009B49E3" w:rsidRDefault="00025888" w:rsidP="009F4EA9">
            <w:pPr>
              <w:pStyle w:val="Normal0"/>
              <w:rPr>
                <w:sz w:val="20"/>
                <w:szCs w:val="20"/>
              </w:rPr>
            </w:pPr>
            <w:r w:rsidRPr="009B49E3">
              <w:rPr>
                <w:sz w:val="20"/>
                <w:szCs w:val="20"/>
              </w:rPr>
              <w:t>Autor</w:t>
            </w:r>
          </w:p>
        </w:tc>
        <w:tc>
          <w:tcPr>
            <w:tcW w:w="1991" w:type="dxa"/>
            <w:shd w:val="clear" w:color="auto" w:fill="auto"/>
          </w:tcPr>
          <w:p w14:paraId="000000B9" w14:textId="5C4FC415" w:rsidR="00AD17D4" w:rsidRPr="009B49E3" w:rsidRDefault="00CB15DE" w:rsidP="009F4EA9">
            <w:pPr>
              <w:pStyle w:val="Normal0"/>
              <w:rPr>
                <w:b w:val="0"/>
                <w:sz w:val="20"/>
                <w:szCs w:val="20"/>
              </w:rPr>
            </w:pPr>
            <w:r w:rsidRPr="00CB15DE">
              <w:rPr>
                <w:b w:val="0"/>
                <w:sz w:val="20"/>
                <w:szCs w:val="20"/>
              </w:rPr>
              <w:t xml:space="preserve">Sandra Milena Enríquez </w:t>
            </w:r>
            <w:proofErr w:type="spellStart"/>
            <w:r w:rsidRPr="00CB15DE">
              <w:rPr>
                <w:b w:val="0"/>
                <w:sz w:val="20"/>
                <w:szCs w:val="20"/>
              </w:rPr>
              <w:t>Tróchez</w:t>
            </w:r>
            <w:proofErr w:type="spellEnd"/>
          </w:p>
        </w:tc>
        <w:tc>
          <w:tcPr>
            <w:tcW w:w="1559" w:type="dxa"/>
            <w:shd w:val="clear" w:color="auto" w:fill="auto"/>
          </w:tcPr>
          <w:p w14:paraId="000000BA" w14:textId="3A2997D7" w:rsidR="00AD17D4" w:rsidRPr="009B49E3" w:rsidRDefault="00CB15DE" w:rsidP="009F4EA9">
            <w:pPr>
              <w:pStyle w:val="Normal0"/>
              <w:rPr>
                <w:b w:val="0"/>
                <w:sz w:val="20"/>
                <w:szCs w:val="20"/>
              </w:rPr>
            </w:pPr>
            <w:r>
              <w:rPr>
                <w:b w:val="0"/>
                <w:bCs/>
                <w:sz w:val="20"/>
                <w:szCs w:val="20"/>
              </w:rPr>
              <w:t>Instructora Experta</w:t>
            </w:r>
          </w:p>
        </w:tc>
        <w:tc>
          <w:tcPr>
            <w:tcW w:w="3257" w:type="dxa"/>
            <w:shd w:val="clear" w:color="auto" w:fill="auto"/>
          </w:tcPr>
          <w:p w14:paraId="000000BB" w14:textId="3BE86BDD" w:rsidR="00AD17D4" w:rsidRPr="009B49E3" w:rsidRDefault="00D63E5A" w:rsidP="00D63E5A">
            <w:pPr>
              <w:pStyle w:val="Normal0"/>
              <w:rPr>
                <w:b w:val="0"/>
                <w:sz w:val="20"/>
                <w:szCs w:val="20"/>
              </w:rPr>
            </w:pPr>
            <w:r>
              <w:rPr>
                <w:b w:val="0"/>
                <w:bCs/>
                <w:sz w:val="20"/>
                <w:szCs w:val="20"/>
              </w:rPr>
              <w:t>Centro de Comerc</w:t>
            </w:r>
            <w:r w:rsidR="00B70F5D">
              <w:rPr>
                <w:b w:val="0"/>
                <w:bCs/>
                <w:sz w:val="20"/>
                <w:szCs w:val="20"/>
              </w:rPr>
              <w:t>io y Servicios - Regional Cauca</w:t>
            </w:r>
          </w:p>
        </w:tc>
        <w:tc>
          <w:tcPr>
            <w:tcW w:w="1888" w:type="dxa"/>
            <w:shd w:val="clear" w:color="auto" w:fill="auto"/>
          </w:tcPr>
          <w:p w14:paraId="000000BC" w14:textId="53E6C229" w:rsidR="00AD17D4" w:rsidRPr="009B49E3" w:rsidRDefault="00B70F5D" w:rsidP="006A62B9">
            <w:pPr>
              <w:pStyle w:val="Normal0"/>
              <w:rPr>
                <w:b w:val="0"/>
                <w:sz w:val="20"/>
                <w:szCs w:val="20"/>
              </w:rPr>
            </w:pPr>
            <w:r>
              <w:rPr>
                <w:b w:val="0"/>
                <w:sz w:val="20"/>
                <w:szCs w:val="20"/>
              </w:rPr>
              <w:t>Agosto</w:t>
            </w:r>
            <w:r w:rsidR="006A62B9">
              <w:rPr>
                <w:b w:val="0"/>
                <w:sz w:val="20"/>
                <w:szCs w:val="20"/>
              </w:rPr>
              <w:t xml:space="preserve"> de 2026</w:t>
            </w:r>
          </w:p>
        </w:tc>
      </w:tr>
      <w:tr w:rsidR="005C1E06" w:rsidRPr="009B49E3" w14:paraId="64ED74CD" w14:textId="77777777" w:rsidTr="0057321F">
        <w:trPr>
          <w:trHeight w:val="340"/>
        </w:trPr>
        <w:tc>
          <w:tcPr>
            <w:tcW w:w="1272" w:type="dxa"/>
            <w:shd w:val="clear" w:color="auto" w:fill="auto"/>
          </w:tcPr>
          <w:p w14:paraId="5098720B" w14:textId="7CE2006B" w:rsidR="005C1E06" w:rsidRPr="009B49E3" w:rsidRDefault="005C1E06" w:rsidP="005C1E06">
            <w:pPr>
              <w:pStyle w:val="Normal0"/>
              <w:rPr>
                <w:sz w:val="20"/>
                <w:szCs w:val="20"/>
              </w:rPr>
            </w:pPr>
            <w:r w:rsidRPr="009B49E3">
              <w:rPr>
                <w:sz w:val="20"/>
                <w:szCs w:val="20"/>
              </w:rPr>
              <w:t>Autor</w:t>
            </w:r>
          </w:p>
        </w:tc>
        <w:tc>
          <w:tcPr>
            <w:tcW w:w="1991" w:type="dxa"/>
            <w:shd w:val="clear" w:color="auto" w:fill="auto"/>
          </w:tcPr>
          <w:p w14:paraId="035BE678" w14:textId="26CE4214" w:rsidR="005C1E06" w:rsidRPr="000C6A06" w:rsidRDefault="005C1E06" w:rsidP="005C1E06">
            <w:pPr>
              <w:pStyle w:val="Normal0"/>
              <w:rPr>
                <w:b w:val="0"/>
                <w:bCs/>
                <w:sz w:val="20"/>
                <w:szCs w:val="20"/>
              </w:rPr>
            </w:pPr>
            <w:r w:rsidRPr="009B49E3">
              <w:rPr>
                <w:b w:val="0"/>
                <w:bCs/>
                <w:sz w:val="20"/>
                <w:szCs w:val="20"/>
              </w:rPr>
              <w:t>Viviana Herrera Quiñonez</w:t>
            </w:r>
          </w:p>
        </w:tc>
        <w:tc>
          <w:tcPr>
            <w:tcW w:w="1559" w:type="dxa"/>
            <w:shd w:val="clear" w:color="auto" w:fill="auto"/>
          </w:tcPr>
          <w:p w14:paraId="77A52E3B" w14:textId="429873D0" w:rsidR="005C1E06" w:rsidRPr="009B49E3" w:rsidRDefault="005C1E06" w:rsidP="005C1E06">
            <w:pPr>
              <w:pStyle w:val="Normal0"/>
              <w:rPr>
                <w:b w:val="0"/>
                <w:bCs/>
                <w:sz w:val="20"/>
                <w:szCs w:val="20"/>
              </w:rPr>
            </w:pPr>
            <w:r w:rsidRPr="009B49E3">
              <w:rPr>
                <w:b w:val="0"/>
                <w:bCs/>
                <w:sz w:val="20"/>
                <w:szCs w:val="20"/>
              </w:rPr>
              <w:t>Evaluadora instruccional</w:t>
            </w:r>
          </w:p>
        </w:tc>
        <w:tc>
          <w:tcPr>
            <w:tcW w:w="3257" w:type="dxa"/>
            <w:shd w:val="clear" w:color="auto" w:fill="auto"/>
          </w:tcPr>
          <w:p w14:paraId="16EB86D2" w14:textId="47526A43" w:rsidR="005C1E06" w:rsidRPr="000C6A06" w:rsidRDefault="00D63E5A" w:rsidP="005C1E06">
            <w:pPr>
              <w:pStyle w:val="Normal0"/>
              <w:rPr>
                <w:b w:val="0"/>
                <w:bCs/>
                <w:sz w:val="20"/>
                <w:szCs w:val="20"/>
              </w:rPr>
            </w:pPr>
            <w:r>
              <w:rPr>
                <w:b w:val="0"/>
                <w:bCs/>
                <w:sz w:val="20"/>
                <w:szCs w:val="20"/>
              </w:rPr>
              <w:t>Centro de Comercio y Servicios - Regional Tolima</w:t>
            </w:r>
          </w:p>
        </w:tc>
        <w:tc>
          <w:tcPr>
            <w:tcW w:w="1888" w:type="dxa"/>
            <w:shd w:val="clear" w:color="auto" w:fill="auto"/>
          </w:tcPr>
          <w:p w14:paraId="649FE3A7" w14:textId="57AF6C57" w:rsidR="005C1E06" w:rsidRDefault="006A62B9" w:rsidP="005C1E06">
            <w:pPr>
              <w:pStyle w:val="Normal0"/>
              <w:rPr>
                <w:b w:val="0"/>
                <w:sz w:val="20"/>
                <w:szCs w:val="20"/>
              </w:rPr>
            </w:pPr>
            <w:r>
              <w:rPr>
                <w:b w:val="0"/>
                <w:sz w:val="20"/>
                <w:szCs w:val="20"/>
              </w:rPr>
              <w:t>Septiembre</w:t>
            </w:r>
            <w:r w:rsidR="005C1E06">
              <w:rPr>
                <w:b w:val="0"/>
                <w:sz w:val="20"/>
                <w:szCs w:val="20"/>
              </w:rPr>
              <w:t xml:space="preserve"> de 2026</w:t>
            </w:r>
          </w:p>
        </w:tc>
      </w:tr>
    </w:tbl>
    <w:p w14:paraId="000000C2" w14:textId="77777777" w:rsidR="00AD17D4" w:rsidRPr="009B49E3" w:rsidRDefault="00AD17D4" w:rsidP="009F4EA9">
      <w:pPr>
        <w:pStyle w:val="Normal0"/>
        <w:rPr>
          <w:sz w:val="20"/>
          <w:szCs w:val="20"/>
        </w:rPr>
      </w:pPr>
    </w:p>
    <w:p w14:paraId="40E90CE6" w14:textId="77777777" w:rsidR="00AD17D4" w:rsidRPr="009B49E3" w:rsidRDefault="00AD17D4" w:rsidP="009F4EA9">
      <w:pPr>
        <w:pStyle w:val="Normal0"/>
        <w:rPr>
          <w:sz w:val="20"/>
          <w:szCs w:val="20"/>
        </w:rPr>
      </w:pPr>
    </w:p>
    <w:p w14:paraId="000000C5" w14:textId="77777777" w:rsidR="00AD17D4" w:rsidRPr="009B49E3" w:rsidRDefault="00025888" w:rsidP="009F4EA9">
      <w:pPr>
        <w:pStyle w:val="Normal0"/>
        <w:numPr>
          <w:ilvl w:val="0"/>
          <w:numId w:val="1"/>
        </w:numPr>
        <w:ind w:left="284" w:hanging="284"/>
        <w:rPr>
          <w:b/>
          <w:color w:val="808080"/>
          <w:sz w:val="20"/>
          <w:szCs w:val="20"/>
        </w:rPr>
      </w:pPr>
      <w:r w:rsidRPr="009B49E3">
        <w:rPr>
          <w:b/>
          <w:color w:val="000000"/>
          <w:sz w:val="20"/>
          <w:szCs w:val="20"/>
        </w:rPr>
        <w:t xml:space="preserve">CONTROL DE CAMBIOS </w:t>
      </w:r>
      <w:r w:rsidRPr="009B49E3">
        <w:rPr>
          <w:b/>
          <w:color w:val="808080"/>
          <w:sz w:val="20"/>
          <w:szCs w:val="20"/>
        </w:rPr>
        <w:t>(Diligenciar únicamente si realiza ajustes a la Unidad Temática)</w:t>
      </w:r>
    </w:p>
    <w:p w14:paraId="000000C6" w14:textId="77777777" w:rsidR="00AD17D4" w:rsidRPr="009B49E3" w:rsidRDefault="00AD17D4" w:rsidP="009F4EA9">
      <w:pPr>
        <w:pStyle w:val="Normal0"/>
        <w:rPr>
          <w:sz w:val="20"/>
          <w:szCs w:val="20"/>
        </w:rPr>
      </w:pPr>
    </w:p>
    <w:tbl>
      <w:tblPr>
        <w:tblStyle w:val="Style74"/>
        <w:tblW w:w="991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264"/>
        <w:gridCol w:w="1855"/>
        <w:gridCol w:w="1701"/>
        <w:gridCol w:w="1843"/>
        <w:gridCol w:w="1275"/>
        <w:gridCol w:w="1977"/>
      </w:tblGrid>
      <w:tr w:rsidR="00AD17D4" w:rsidRPr="009B49E3" w14:paraId="31F82D5C" w14:textId="77777777" w:rsidTr="005E505A">
        <w:tc>
          <w:tcPr>
            <w:tcW w:w="1264" w:type="dxa"/>
            <w:tcBorders>
              <w:top w:val="nil"/>
              <w:left w:val="nil"/>
            </w:tcBorders>
            <w:shd w:val="clear" w:color="auto" w:fill="auto"/>
          </w:tcPr>
          <w:p w14:paraId="000000C7" w14:textId="77777777" w:rsidR="00AD17D4" w:rsidRPr="009B49E3" w:rsidRDefault="00AD17D4" w:rsidP="009F4EA9">
            <w:pPr>
              <w:pStyle w:val="Normal0"/>
              <w:rPr>
                <w:sz w:val="20"/>
                <w:szCs w:val="20"/>
              </w:rPr>
            </w:pPr>
          </w:p>
        </w:tc>
        <w:tc>
          <w:tcPr>
            <w:tcW w:w="1855" w:type="dxa"/>
            <w:shd w:val="clear" w:color="auto" w:fill="auto"/>
          </w:tcPr>
          <w:p w14:paraId="000000C8" w14:textId="77777777" w:rsidR="00AD17D4" w:rsidRPr="009B49E3" w:rsidRDefault="00025888" w:rsidP="009F4EA9">
            <w:pPr>
              <w:pStyle w:val="Normal0"/>
              <w:rPr>
                <w:sz w:val="20"/>
                <w:szCs w:val="20"/>
              </w:rPr>
            </w:pPr>
            <w:r w:rsidRPr="009B49E3">
              <w:rPr>
                <w:sz w:val="20"/>
                <w:szCs w:val="20"/>
              </w:rPr>
              <w:t>Nombre</w:t>
            </w:r>
          </w:p>
        </w:tc>
        <w:tc>
          <w:tcPr>
            <w:tcW w:w="1701" w:type="dxa"/>
            <w:shd w:val="clear" w:color="auto" w:fill="auto"/>
          </w:tcPr>
          <w:p w14:paraId="000000C9" w14:textId="77777777" w:rsidR="00AD17D4" w:rsidRPr="009B49E3" w:rsidRDefault="00025888" w:rsidP="009F4EA9">
            <w:pPr>
              <w:pStyle w:val="Normal0"/>
              <w:rPr>
                <w:sz w:val="20"/>
                <w:szCs w:val="20"/>
              </w:rPr>
            </w:pPr>
            <w:r w:rsidRPr="009B49E3">
              <w:rPr>
                <w:sz w:val="20"/>
                <w:szCs w:val="20"/>
              </w:rPr>
              <w:t>Cargo</w:t>
            </w:r>
          </w:p>
        </w:tc>
        <w:tc>
          <w:tcPr>
            <w:tcW w:w="1843" w:type="dxa"/>
            <w:shd w:val="clear" w:color="auto" w:fill="auto"/>
          </w:tcPr>
          <w:p w14:paraId="000000CA" w14:textId="77777777" w:rsidR="00AD17D4" w:rsidRPr="009B49E3" w:rsidRDefault="00025888" w:rsidP="009F4EA9">
            <w:pPr>
              <w:pStyle w:val="Normal0"/>
              <w:rPr>
                <w:sz w:val="20"/>
                <w:szCs w:val="20"/>
              </w:rPr>
            </w:pPr>
            <w:r w:rsidRPr="009B49E3">
              <w:rPr>
                <w:sz w:val="20"/>
                <w:szCs w:val="20"/>
              </w:rPr>
              <w:t>Dependencia</w:t>
            </w:r>
          </w:p>
        </w:tc>
        <w:tc>
          <w:tcPr>
            <w:tcW w:w="1275" w:type="dxa"/>
            <w:shd w:val="clear" w:color="auto" w:fill="auto"/>
          </w:tcPr>
          <w:p w14:paraId="000000CB" w14:textId="77777777" w:rsidR="00AD17D4" w:rsidRPr="009B49E3" w:rsidRDefault="00025888" w:rsidP="009F4EA9">
            <w:pPr>
              <w:pStyle w:val="Normal0"/>
              <w:rPr>
                <w:sz w:val="20"/>
                <w:szCs w:val="20"/>
              </w:rPr>
            </w:pPr>
            <w:r w:rsidRPr="009B49E3">
              <w:rPr>
                <w:sz w:val="20"/>
                <w:szCs w:val="20"/>
              </w:rPr>
              <w:t>Fecha</w:t>
            </w:r>
          </w:p>
        </w:tc>
        <w:tc>
          <w:tcPr>
            <w:tcW w:w="1977" w:type="dxa"/>
            <w:shd w:val="clear" w:color="auto" w:fill="auto"/>
          </w:tcPr>
          <w:p w14:paraId="000000CC" w14:textId="77777777" w:rsidR="00AD17D4" w:rsidRPr="009B49E3" w:rsidRDefault="00025888" w:rsidP="009F4EA9">
            <w:pPr>
              <w:pStyle w:val="Normal0"/>
              <w:rPr>
                <w:sz w:val="20"/>
                <w:szCs w:val="20"/>
              </w:rPr>
            </w:pPr>
            <w:r w:rsidRPr="009B49E3">
              <w:rPr>
                <w:sz w:val="20"/>
                <w:szCs w:val="20"/>
              </w:rPr>
              <w:t>Razón del Cambio</w:t>
            </w:r>
          </w:p>
        </w:tc>
      </w:tr>
      <w:tr w:rsidR="004A0024" w:rsidRPr="009B49E3" w14:paraId="5565E3ED" w14:textId="77777777" w:rsidTr="005E505A">
        <w:tc>
          <w:tcPr>
            <w:tcW w:w="1264" w:type="dxa"/>
            <w:shd w:val="clear" w:color="auto" w:fill="auto"/>
          </w:tcPr>
          <w:p w14:paraId="000000CD" w14:textId="17AC3ED8" w:rsidR="004A0024" w:rsidRPr="009B49E3" w:rsidRDefault="004A0024" w:rsidP="009F4EA9">
            <w:pPr>
              <w:pStyle w:val="Normal0"/>
              <w:rPr>
                <w:sz w:val="20"/>
                <w:szCs w:val="20"/>
              </w:rPr>
            </w:pPr>
          </w:p>
        </w:tc>
        <w:tc>
          <w:tcPr>
            <w:tcW w:w="1855" w:type="dxa"/>
            <w:shd w:val="clear" w:color="auto" w:fill="auto"/>
          </w:tcPr>
          <w:p w14:paraId="000000CE" w14:textId="7985A8DE" w:rsidR="004A0024" w:rsidRPr="009B49E3" w:rsidRDefault="004A0024" w:rsidP="009F4EA9">
            <w:pPr>
              <w:pStyle w:val="Normal0"/>
              <w:rPr>
                <w:b w:val="0"/>
                <w:sz w:val="20"/>
                <w:szCs w:val="20"/>
              </w:rPr>
            </w:pPr>
          </w:p>
        </w:tc>
        <w:tc>
          <w:tcPr>
            <w:tcW w:w="1701" w:type="dxa"/>
            <w:shd w:val="clear" w:color="auto" w:fill="auto"/>
          </w:tcPr>
          <w:p w14:paraId="000000CF" w14:textId="0B98A1D9" w:rsidR="004A0024" w:rsidRPr="009B49E3" w:rsidRDefault="004A0024" w:rsidP="009F4EA9">
            <w:pPr>
              <w:pStyle w:val="Normal0"/>
              <w:rPr>
                <w:b w:val="0"/>
                <w:sz w:val="20"/>
                <w:szCs w:val="20"/>
              </w:rPr>
            </w:pPr>
          </w:p>
        </w:tc>
        <w:tc>
          <w:tcPr>
            <w:tcW w:w="1843" w:type="dxa"/>
            <w:shd w:val="clear" w:color="auto" w:fill="auto"/>
          </w:tcPr>
          <w:p w14:paraId="000000D0" w14:textId="28F9A0C0" w:rsidR="004A0024" w:rsidRPr="009B49E3" w:rsidRDefault="004A0024" w:rsidP="009F4EA9">
            <w:pPr>
              <w:pStyle w:val="Normal0"/>
              <w:rPr>
                <w:b w:val="0"/>
                <w:sz w:val="20"/>
                <w:szCs w:val="20"/>
              </w:rPr>
            </w:pPr>
          </w:p>
        </w:tc>
        <w:tc>
          <w:tcPr>
            <w:tcW w:w="1275" w:type="dxa"/>
            <w:shd w:val="clear" w:color="auto" w:fill="auto"/>
          </w:tcPr>
          <w:p w14:paraId="000000D1" w14:textId="09EB7524" w:rsidR="004A0024" w:rsidRPr="009B49E3" w:rsidRDefault="004A0024" w:rsidP="009F4EA9">
            <w:pPr>
              <w:pStyle w:val="Normal0"/>
              <w:rPr>
                <w:b w:val="0"/>
                <w:sz w:val="20"/>
                <w:szCs w:val="20"/>
              </w:rPr>
            </w:pPr>
          </w:p>
        </w:tc>
        <w:tc>
          <w:tcPr>
            <w:tcW w:w="1977" w:type="dxa"/>
            <w:shd w:val="clear" w:color="auto" w:fill="auto"/>
          </w:tcPr>
          <w:p w14:paraId="000000D2" w14:textId="6E533A2B" w:rsidR="004A0024" w:rsidRPr="009B49E3" w:rsidRDefault="004A0024" w:rsidP="009F4EA9">
            <w:pPr>
              <w:pStyle w:val="Normal0"/>
              <w:rPr>
                <w:b w:val="0"/>
                <w:sz w:val="20"/>
                <w:szCs w:val="20"/>
              </w:rPr>
            </w:pPr>
          </w:p>
        </w:tc>
      </w:tr>
      <w:tr w:rsidR="004A0024" w:rsidRPr="009B49E3" w14:paraId="56D81916" w14:textId="77777777" w:rsidTr="005E505A">
        <w:tc>
          <w:tcPr>
            <w:tcW w:w="1264" w:type="dxa"/>
            <w:shd w:val="clear" w:color="auto" w:fill="auto"/>
          </w:tcPr>
          <w:p w14:paraId="719F7413" w14:textId="37314CA7" w:rsidR="004A0024" w:rsidRPr="009B49E3" w:rsidRDefault="004A0024" w:rsidP="009F4EA9">
            <w:pPr>
              <w:pStyle w:val="Normal0"/>
              <w:rPr>
                <w:sz w:val="20"/>
                <w:szCs w:val="20"/>
              </w:rPr>
            </w:pPr>
          </w:p>
        </w:tc>
        <w:tc>
          <w:tcPr>
            <w:tcW w:w="1855" w:type="dxa"/>
            <w:shd w:val="clear" w:color="auto" w:fill="auto"/>
          </w:tcPr>
          <w:p w14:paraId="0D34E103" w14:textId="03C85353" w:rsidR="004A0024" w:rsidRPr="009B49E3" w:rsidRDefault="004A0024" w:rsidP="009F4EA9">
            <w:pPr>
              <w:pStyle w:val="Normal0"/>
              <w:rPr>
                <w:bCs/>
                <w:sz w:val="20"/>
                <w:szCs w:val="20"/>
              </w:rPr>
            </w:pPr>
          </w:p>
        </w:tc>
        <w:tc>
          <w:tcPr>
            <w:tcW w:w="1701" w:type="dxa"/>
            <w:shd w:val="clear" w:color="auto" w:fill="auto"/>
          </w:tcPr>
          <w:p w14:paraId="40A8D6FA" w14:textId="67AD70AC" w:rsidR="004A0024" w:rsidRPr="009B49E3" w:rsidRDefault="004A0024" w:rsidP="009F4EA9">
            <w:pPr>
              <w:pStyle w:val="Normal0"/>
              <w:rPr>
                <w:bCs/>
                <w:sz w:val="20"/>
                <w:szCs w:val="20"/>
              </w:rPr>
            </w:pPr>
          </w:p>
        </w:tc>
        <w:tc>
          <w:tcPr>
            <w:tcW w:w="1843" w:type="dxa"/>
            <w:shd w:val="clear" w:color="auto" w:fill="auto"/>
          </w:tcPr>
          <w:p w14:paraId="284C1913" w14:textId="0F8475F2" w:rsidR="004A0024" w:rsidRDefault="004A0024" w:rsidP="009F4EA9">
            <w:pPr>
              <w:pStyle w:val="Normal0"/>
              <w:rPr>
                <w:bCs/>
                <w:sz w:val="20"/>
                <w:szCs w:val="20"/>
              </w:rPr>
            </w:pPr>
          </w:p>
        </w:tc>
        <w:tc>
          <w:tcPr>
            <w:tcW w:w="1275" w:type="dxa"/>
            <w:shd w:val="clear" w:color="auto" w:fill="auto"/>
          </w:tcPr>
          <w:p w14:paraId="0A6AC918" w14:textId="2C107C7C" w:rsidR="004A0024" w:rsidRDefault="004A0024" w:rsidP="009F4EA9">
            <w:pPr>
              <w:pStyle w:val="Normal0"/>
              <w:rPr>
                <w:sz w:val="20"/>
                <w:szCs w:val="20"/>
              </w:rPr>
            </w:pPr>
          </w:p>
        </w:tc>
        <w:tc>
          <w:tcPr>
            <w:tcW w:w="1977" w:type="dxa"/>
            <w:shd w:val="clear" w:color="auto" w:fill="auto"/>
          </w:tcPr>
          <w:p w14:paraId="3DB1535E" w14:textId="45F3910D" w:rsidR="004A0024" w:rsidRPr="009B49E3" w:rsidRDefault="004A0024" w:rsidP="009F4EA9">
            <w:pPr>
              <w:pStyle w:val="Normal0"/>
              <w:rPr>
                <w:sz w:val="20"/>
                <w:szCs w:val="20"/>
              </w:rPr>
            </w:pPr>
          </w:p>
        </w:tc>
      </w:tr>
    </w:tbl>
    <w:p w14:paraId="000000D5" w14:textId="77777777" w:rsidR="00AD17D4" w:rsidRPr="009B49E3" w:rsidRDefault="00AD17D4" w:rsidP="00FB274C">
      <w:pPr>
        <w:pStyle w:val="Normal0"/>
        <w:rPr>
          <w:sz w:val="20"/>
          <w:szCs w:val="20"/>
        </w:rPr>
      </w:pPr>
    </w:p>
    <w:sectPr w:rsidR="00AD17D4" w:rsidRPr="009B49E3">
      <w:headerReference w:type="default" r:id="rId67"/>
      <w:footerReference w:type="default" r:id="rId68"/>
      <w:pgSz w:w="12240" w:h="15840"/>
      <w:pgMar w:top="1701" w:right="1134" w:bottom="1134" w:left="1134" w:header="720" w:footer="0" w:gutter="0"/>
      <w:pgNumType w:start="1"/>
      <w:cols w:space="720"/>
    </w:sectPr>
  </w:body>
</w:document>
</file>

<file path=word/comments.xml><?xml version="1.0" encoding="utf-8"?>
<w:comment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0" w:author="Viviana Herrera" w:date="2026-09-22T17:03:00Z" w:initials="VH">
    <w:p w14:paraId="387C673C" w14:textId="77777777" w:rsidR="001C36A2" w:rsidRDefault="001C36A2" w:rsidP="001C36A2">
      <w:pPr>
        <w:pStyle w:val="Textocomentario"/>
      </w:pPr>
      <w:r>
        <w:rPr>
          <w:rStyle w:val="Refdecomentario"/>
        </w:rPr>
        <w:annotationRef/>
      </w:r>
      <w:r>
        <w:t xml:space="preserve">Texto alternativo: </w:t>
      </w:r>
      <w:r w:rsidRPr="00470550">
        <w:rPr>
          <w:highlight w:val="green"/>
        </w:rPr>
        <w:t>En la síntesis se presentan los seis ejes temáticos: caracterización de la población, análisis de información en salud, contratación, calidad y atención, tarifas y glosas, y elementos generales de la nota técnica.</w:t>
      </w:r>
    </w:p>
  </w:comment>
</w:comments>
</file>

<file path=word/commentsExtended.xml><?xml version="1.0" encoding="utf-8"?>
<w15:commentsEx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387C673C" w15:done="0"/>
</w15:commentsEx>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2BF46912" w14:textId="77777777" w:rsidR="00733A64" w:rsidRDefault="00733A64">
      <w:pPr>
        <w:spacing w:line="240" w:lineRule="auto"/>
      </w:pPr>
      <w:r>
        <w:separator/>
      </w:r>
    </w:p>
  </w:endnote>
  <w:endnote w:type="continuationSeparator" w:id="0">
    <w:p w14:paraId="0828BC9B" w14:textId="77777777" w:rsidR="00733A64" w:rsidRDefault="00733A6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00000DA" w14:textId="77777777" w:rsidR="00877F3E" w:rsidRDefault="00877F3E">
    <w:pPr>
      <w:pStyle w:val="Normal0"/>
      <w:tabs>
        <w:tab w:val="center" w:pos="4419"/>
        <w:tab w:val="right" w:pos="8838"/>
        <w:tab w:val="left" w:pos="10255"/>
      </w:tabs>
      <w:spacing w:line="240" w:lineRule="auto"/>
      <w:jc w:val="right"/>
      <w:rPr>
        <w:i/>
        <w:color w:val="000000"/>
        <w:sz w:val="20"/>
        <w:szCs w:val="20"/>
      </w:rPr>
    </w:pPr>
  </w:p>
  <w:p w14:paraId="000000DB" w14:textId="77777777" w:rsidR="00877F3E" w:rsidRDefault="00877F3E">
    <w:pPr>
      <w:pStyle w:val="Normal0"/>
      <w:spacing w:line="240" w:lineRule="auto"/>
      <w:ind w:left="-2" w:hanging="2"/>
      <w:jc w:val="right"/>
      <w:rPr>
        <w:rFonts w:ascii="Times New Roman" w:eastAsia="Times New Roman" w:hAnsi="Times New Roman" w:cs="Times New Roman"/>
        <w:sz w:val="24"/>
        <w:szCs w:val="24"/>
      </w:rPr>
    </w:pPr>
  </w:p>
  <w:p w14:paraId="000000DC" w14:textId="77777777" w:rsidR="00877F3E" w:rsidRDefault="00877F3E">
    <w:pPr>
      <w:pStyle w:val="Normal0"/>
      <w:spacing w:line="240" w:lineRule="auto"/>
      <w:rPr>
        <w:rFonts w:ascii="Times New Roman" w:eastAsia="Times New Roman" w:hAnsi="Times New Roman" w:cs="Times New Roman"/>
        <w:sz w:val="24"/>
        <w:szCs w:val="24"/>
      </w:rPr>
    </w:pPr>
  </w:p>
  <w:p w14:paraId="000000DD" w14:textId="77777777" w:rsidR="00877F3E" w:rsidRDefault="00877F3E">
    <w:pPr>
      <w:pStyle w:val="Normal0"/>
      <w:tabs>
        <w:tab w:val="center" w:pos="4419"/>
        <w:tab w:val="right" w:pos="8838"/>
        <w:tab w:val="left" w:pos="10255"/>
      </w:tabs>
      <w:spacing w:line="240" w:lineRule="auto"/>
      <w:jc w:val="right"/>
      <w:rPr>
        <w:i/>
        <w:color w:val="000000"/>
        <w:sz w:val="16"/>
        <w:szCs w:val="16"/>
      </w:rPr>
    </w:pPr>
  </w:p>
  <w:p w14:paraId="000000DE" w14:textId="77777777" w:rsidR="00877F3E" w:rsidRDefault="00877F3E">
    <w:pPr>
      <w:pStyle w:val="Normal0"/>
      <w:tabs>
        <w:tab w:val="center" w:pos="4419"/>
        <w:tab w:val="right" w:pos="8838"/>
        <w:tab w:val="left" w:pos="10255"/>
      </w:tabs>
      <w:spacing w:line="240" w:lineRule="auto"/>
      <w:jc w:val="right"/>
      <w:rPr>
        <w:i/>
        <w:color w:val="000000"/>
        <w:sz w:val="16"/>
        <w:szCs w:val="16"/>
      </w:rP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3C2642FD" w14:textId="77777777" w:rsidR="00733A64" w:rsidRDefault="00733A64">
      <w:r>
        <w:separator/>
      </w:r>
    </w:p>
  </w:footnote>
  <w:footnote w:type="continuationSeparator" w:id="0">
    <w:p w14:paraId="3CCBDADD" w14:textId="77777777" w:rsidR="00733A64" w:rsidRDefault="00733A64">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00000D8" w14:textId="6CD15F02" w:rsidR="00877F3E" w:rsidRDefault="00877F3E">
    <w:pPr>
      <w:pStyle w:val="Normal0"/>
      <w:tabs>
        <w:tab w:val="center" w:pos="4419"/>
        <w:tab w:val="right" w:pos="8838"/>
      </w:tabs>
      <w:spacing w:line="240" w:lineRule="auto"/>
      <w:jc w:val="center"/>
      <w:rPr>
        <w:color w:val="000000"/>
      </w:rPr>
    </w:pPr>
    <w:r w:rsidRPr="001A74F0">
      <w:rPr>
        <w:noProof/>
        <w:lang w:val="en-US" w:eastAsia="en-US"/>
      </w:rPr>
      <w:drawing>
        <wp:anchor distT="0" distB="0" distL="114300" distR="114300" simplePos="0" relativeHeight="251659264" behindDoc="0" locked="0" layoutInCell="1" allowOverlap="1" wp14:anchorId="3736BBB3" wp14:editId="07A664C3">
          <wp:simplePos x="0" y="0"/>
          <wp:positionH relativeFrom="column">
            <wp:posOffset>2733675</wp:posOffset>
          </wp:positionH>
          <wp:positionV relativeFrom="paragraph">
            <wp:posOffset>-95250</wp:posOffset>
          </wp:positionV>
          <wp:extent cx="592455" cy="561340"/>
          <wp:effectExtent l="0" t="0" r="4445" b="0"/>
          <wp:wrapSquare wrapText="bothSides"/>
          <wp:docPr id="138875671" name="Imagen 138875671">
            <a:extLst xmlns:a="http://schemas.openxmlformats.org/drawingml/2006/main">
              <a:ext uri="{C183D7F6-B498-43B3-948B-1728B52AA6E4}">
                <adec:decorative xmlns=""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oel="http://schemas.microsoft.com/office/2019/extlst" xmlns:v="urn:schemas-microsoft-com:vml" xmlns:w10="urn:schemas-microsoft-com:office:word" xmlns:w="http://schemas.openxmlformats.org/wordprocessingml/2006/main"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adec="http://schemas.microsoft.com/office/drawing/2017/decorative" xmlns:arto="http://schemas.microsoft.com/office/word/2006/arto"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a:extLst>
                      <a:ext uri="{C183D7F6-B498-43B3-948B-1728B52AA6E4}">
                        <adec:decorative xmlns=""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oel="http://schemas.microsoft.com/office/2019/extlst" xmlns:v="urn:schemas-microsoft-com:vml" xmlns:w10="urn:schemas-microsoft-com:office:word" xmlns:w="http://schemas.openxmlformats.org/wordprocessingml/2006/main"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adec="http://schemas.microsoft.com/office/drawing/2017/decorative" xmlns:arto="http://schemas.microsoft.com/office/word/2006/arto" val="1"/>
                      </a:ext>
                    </a:extLst>
                  </pic:cNvPr>
                  <pic:cNvPicPr/>
                </pic:nvPicPr>
                <pic:blipFill>
                  <a:blip r:embed="rId1">
                    <a:extLst>
                      <a:ext uri="{28A0092B-C50C-407E-A947-70E740481C1C}">
                        <a14:useLocalDpi xmlns:a14="http://schemas.microsoft.com/office/drawing/2010/main" val="0"/>
                      </a:ext>
                    </a:extLst>
                  </a:blip>
                  <a:stretch>
                    <a:fillRect/>
                  </a:stretch>
                </pic:blipFill>
                <pic:spPr>
                  <a:xfrm>
                    <a:off x="0" y="0"/>
                    <a:ext cx="592455" cy="561340"/>
                  </a:xfrm>
                  <a:prstGeom prst="rect">
                    <a:avLst/>
                  </a:prstGeom>
                </pic:spPr>
              </pic:pic>
            </a:graphicData>
          </a:graphic>
          <wp14:sizeRelH relativeFrom="page">
            <wp14:pctWidth>0</wp14:pctWidth>
          </wp14:sizeRelH>
          <wp14:sizeRelV relativeFrom="page">
            <wp14:pctHeight>0</wp14:pctHeight>
          </wp14:sizeRelV>
        </wp:anchor>
      </w:drawing>
    </w:r>
  </w:p>
  <w:p w14:paraId="000000D9" w14:textId="77777777" w:rsidR="00877F3E" w:rsidRDefault="00877F3E">
    <w:pPr>
      <w:pStyle w:val="Normal0"/>
      <w:tabs>
        <w:tab w:val="center" w:pos="4419"/>
        <w:tab w:val="right" w:pos="8838"/>
      </w:tabs>
      <w:spacing w:line="240" w:lineRule="auto"/>
      <w:rPr>
        <w:color w:val="000000"/>
      </w:rP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955206B"/>
    <w:multiLevelType w:val="hybridMultilevel"/>
    <w:tmpl w:val="D5DC05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C5D75B7"/>
    <w:multiLevelType w:val="hybridMultilevel"/>
    <w:tmpl w:val="9586DA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C63435"/>
    <w:multiLevelType w:val="hybridMultilevel"/>
    <w:tmpl w:val="3572AD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4400B15"/>
    <w:multiLevelType w:val="hybridMultilevel"/>
    <w:tmpl w:val="8BC463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CEA777E"/>
    <w:multiLevelType w:val="hybridMultilevel"/>
    <w:tmpl w:val="E5FA59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F6C3B1F"/>
    <w:multiLevelType w:val="hybridMultilevel"/>
    <w:tmpl w:val="B1189D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80C02FC"/>
    <w:multiLevelType w:val="hybridMultilevel"/>
    <w:tmpl w:val="6B7291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1AF4B16"/>
    <w:multiLevelType w:val="multilevel"/>
    <w:tmpl w:val="6DB0719C"/>
    <w:lvl w:ilvl="0">
      <w:start w:val="1"/>
      <w:numFmt w:val="decimal"/>
      <w:lvlText w:val="%1."/>
      <w:lvlJc w:val="left"/>
      <w:pPr>
        <w:ind w:left="360" w:hanging="360"/>
      </w:pPr>
    </w:lvl>
    <w:lvl w:ilvl="1">
      <w:start w:val="1"/>
      <w:numFmt w:val="decimal"/>
      <w:lvlText w:val="%1.%2."/>
      <w:lvlJc w:val="left"/>
      <w:pPr>
        <w:ind w:left="792" w:hanging="432"/>
      </w:pPr>
      <w:rPr>
        <w:b w: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36CA2F1A"/>
    <w:multiLevelType w:val="hybridMultilevel"/>
    <w:tmpl w:val="6FA20D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89A35E2"/>
    <w:multiLevelType w:val="hybridMultilevel"/>
    <w:tmpl w:val="A2C044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9066095"/>
    <w:multiLevelType w:val="hybridMultilevel"/>
    <w:tmpl w:val="0E8C4E7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3E904853"/>
    <w:multiLevelType w:val="hybridMultilevel"/>
    <w:tmpl w:val="A954AE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0412BFB"/>
    <w:multiLevelType w:val="hybridMultilevel"/>
    <w:tmpl w:val="C9A8AB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24C1F4C"/>
    <w:multiLevelType w:val="hybridMultilevel"/>
    <w:tmpl w:val="AE268D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76A60B4"/>
    <w:multiLevelType w:val="hybridMultilevel"/>
    <w:tmpl w:val="6BD8B0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7874660"/>
    <w:multiLevelType w:val="hybridMultilevel"/>
    <w:tmpl w:val="2AAA3C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4FC201C"/>
    <w:multiLevelType w:val="hybridMultilevel"/>
    <w:tmpl w:val="2CF896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040395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617D0445"/>
    <w:multiLevelType w:val="multilevel"/>
    <w:tmpl w:val="617D0445"/>
    <w:lvl w:ilvl="0">
      <w:start w:val="1"/>
      <w:numFmt w:val="upperLetter"/>
      <w:lvlText w:val="%1."/>
      <w:lvlJc w:val="left"/>
      <w:pPr>
        <w:ind w:left="720" w:hanging="360"/>
      </w:pPr>
      <w:rPr>
        <w:color w:val="auto"/>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9" w15:restartNumberingAfterBreak="0">
    <w:nsid w:val="6A47775B"/>
    <w:multiLevelType w:val="hybridMultilevel"/>
    <w:tmpl w:val="50E48B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AE21FE6"/>
    <w:multiLevelType w:val="hybridMultilevel"/>
    <w:tmpl w:val="0AB8A6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CE6715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742C085C"/>
    <w:multiLevelType w:val="hybridMultilevel"/>
    <w:tmpl w:val="B678AA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7C59349B"/>
    <w:multiLevelType w:val="hybridMultilevel"/>
    <w:tmpl w:val="C52E31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7D143E9F"/>
    <w:multiLevelType w:val="hybridMultilevel"/>
    <w:tmpl w:val="32D45382"/>
    <w:lvl w:ilvl="0" w:tplc="08F62652">
      <w:start w:val="1"/>
      <w:numFmt w:val="lowerLetter"/>
      <w:lvlText w:val="%1)"/>
      <w:lvlJc w:val="left"/>
      <w:pPr>
        <w:ind w:left="720" w:hanging="360"/>
      </w:pPr>
      <w:rPr>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7E93200A"/>
    <w:multiLevelType w:val="hybridMultilevel"/>
    <w:tmpl w:val="D66A2FA2"/>
    <w:lvl w:ilvl="0" w:tplc="E4D207AC">
      <w:start w:val="1"/>
      <w:numFmt w:val="lowerLetter"/>
      <w:lvlText w:val="%1)"/>
      <w:lvlJc w:val="left"/>
      <w:pPr>
        <w:ind w:left="720" w:hanging="360"/>
      </w:pPr>
      <w:rPr>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7F012643"/>
    <w:multiLevelType w:val="hybridMultilevel"/>
    <w:tmpl w:val="3D0684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8"/>
  </w:num>
  <w:num w:numId="2">
    <w:abstractNumId w:val="7"/>
  </w:num>
  <w:num w:numId="3">
    <w:abstractNumId w:val="17"/>
  </w:num>
  <w:num w:numId="4">
    <w:abstractNumId w:val="9"/>
  </w:num>
  <w:num w:numId="5">
    <w:abstractNumId w:val="23"/>
  </w:num>
  <w:num w:numId="6">
    <w:abstractNumId w:val="19"/>
  </w:num>
  <w:num w:numId="7">
    <w:abstractNumId w:val="3"/>
  </w:num>
  <w:num w:numId="8">
    <w:abstractNumId w:val="22"/>
  </w:num>
  <w:num w:numId="9">
    <w:abstractNumId w:val="16"/>
  </w:num>
  <w:num w:numId="10">
    <w:abstractNumId w:val="1"/>
  </w:num>
  <w:num w:numId="11">
    <w:abstractNumId w:val="25"/>
  </w:num>
  <w:num w:numId="12">
    <w:abstractNumId w:val="10"/>
  </w:num>
  <w:num w:numId="13">
    <w:abstractNumId w:val="4"/>
  </w:num>
  <w:num w:numId="14">
    <w:abstractNumId w:val="15"/>
  </w:num>
  <w:num w:numId="15">
    <w:abstractNumId w:val="8"/>
  </w:num>
  <w:num w:numId="16">
    <w:abstractNumId w:val="24"/>
  </w:num>
  <w:num w:numId="17">
    <w:abstractNumId w:val="14"/>
  </w:num>
  <w:num w:numId="18">
    <w:abstractNumId w:val="13"/>
  </w:num>
  <w:num w:numId="19">
    <w:abstractNumId w:val="2"/>
  </w:num>
  <w:num w:numId="20">
    <w:abstractNumId w:val="12"/>
  </w:num>
  <w:num w:numId="21">
    <w:abstractNumId w:val="0"/>
  </w:num>
  <w:num w:numId="22">
    <w:abstractNumId w:val="5"/>
  </w:num>
  <w:num w:numId="23">
    <w:abstractNumId w:val="26"/>
  </w:num>
  <w:num w:numId="24">
    <w:abstractNumId w:val="20"/>
  </w:num>
  <w:num w:numId="25">
    <w:abstractNumId w:val="6"/>
  </w:num>
  <w:num w:numId="26">
    <w:abstractNumId w:val="11"/>
  </w:num>
  <w:num w:numId="27">
    <w:abstractNumId w:val="21"/>
  </w:num>
  <w:numIdMacAtCleanup w:val="19"/>
</w:numbering>
</file>

<file path=word/people.xml><?xml version="1.0" encoding="utf-8"?>
<w15:people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Viviana Herrera">
    <w15:presenceInfo w15:providerId="Windows Live" w15:userId="0b9d80a4d799ac8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72A27"/>
    <w:rsid w:val="00001B87"/>
    <w:rsid w:val="0000291B"/>
    <w:rsid w:val="00004E20"/>
    <w:rsid w:val="00007066"/>
    <w:rsid w:val="00011C67"/>
    <w:rsid w:val="00011F29"/>
    <w:rsid w:val="000216E8"/>
    <w:rsid w:val="00023D65"/>
    <w:rsid w:val="000240B7"/>
    <w:rsid w:val="000241D8"/>
    <w:rsid w:val="0002511A"/>
    <w:rsid w:val="00025888"/>
    <w:rsid w:val="000275C2"/>
    <w:rsid w:val="000316A5"/>
    <w:rsid w:val="00033308"/>
    <w:rsid w:val="00036086"/>
    <w:rsid w:val="00037C98"/>
    <w:rsid w:val="000443BD"/>
    <w:rsid w:val="0004591F"/>
    <w:rsid w:val="00046AE9"/>
    <w:rsid w:val="00051EE1"/>
    <w:rsid w:val="00052F14"/>
    <w:rsid w:val="00054B9F"/>
    <w:rsid w:val="00061FA9"/>
    <w:rsid w:val="0006211A"/>
    <w:rsid w:val="00064130"/>
    <w:rsid w:val="00067F77"/>
    <w:rsid w:val="000744B5"/>
    <w:rsid w:val="000773BA"/>
    <w:rsid w:val="00077A47"/>
    <w:rsid w:val="000866F0"/>
    <w:rsid w:val="000915CE"/>
    <w:rsid w:val="0009656D"/>
    <w:rsid w:val="00096FA2"/>
    <w:rsid w:val="00097B40"/>
    <w:rsid w:val="000A5318"/>
    <w:rsid w:val="000A64F3"/>
    <w:rsid w:val="000B0D00"/>
    <w:rsid w:val="000C6A06"/>
    <w:rsid w:val="000D04CD"/>
    <w:rsid w:val="000D0AC3"/>
    <w:rsid w:val="000E18B4"/>
    <w:rsid w:val="000E31FA"/>
    <w:rsid w:val="000E5030"/>
    <w:rsid w:val="000E5127"/>
    <w:rsid w:val="000E7312"/>
    <w:rsid w:val="000F189D"/>
    <w:rsid w:val="000F38C3"/>
    <w:rsid w:val="000F3F23"/>
    <w:rsid w:val="000F5813"/>
    <w:rsid w:val="00103A0C"/>
    <w:rsid w:val="00104EAC"/>
    <w:rsid w:val="001059EA"/>
    <w:rsid w:val="0010612D"/>
    <w:rsid w:val="0011312D"/>
    <w:rsid w:val="00114F9C"/>
    <w:rsid w:val="00116656"/>
    <w:rsid w:val="00121B38"/>
    <w:rsid w:val="00122169"/>
    <w:rsid w:val="00126258"/>
    <w:rsid w:val="00126870"/>
    <w:rsid w:val="00126F3A"/>
    <w:rsid w:val="001322FB"/>
    <w:rsid w:val="00132578"/>
    <w:rsid w:val="001379C7"/>
    <w:rsid w:val="0014488D"/>
    <w:rsid w:val="00145C84"/>
    <w:rsid w:val="00151018"/>
    <w:rsid w:val="0015569D"/>
    <w:rsid w:val="00160AF5"/>
    <w:rsid w:val="00161D41"/>
    <w:rsid w:val="001624D8"/>
    <w:rsid w:val="00162AAC"/>
    <w:rsid w:val="001640A5"/>
    <w:rsid w:val="001674E1"/>
    <w:rsid w:val="00167710"/>
    <w:rsid w:val="001725F9"/>
    <w:rsid w:val="00172A27"/>
    <w:rsid w:val="00172CA1"/>
    <w:rsid w:val="00173F7A"/>
    <w:rsid w:val="00174F4D"/>
    <w:rsid w:val="00177B62"/>
    <w:rsid w:val="00177F7C"/>
    <w:rsid w:val="00183649"/>
    <w:rsid w:val="0018462D"/>
    <w:rsid w:val="001908E6"/>
    <w:rsid w:val="0019129F"/>
    <w:rsid w:val="00191ABB"/>
    <w:rsid w:val="00192A5D"/>
    <w:rsid w:val="001A5EED"/>
    <w:rsid w:val="001A7C1D"/>
    <w:rsid w:val="001A7C5B"/>
    <w:rsid w:val="001A7F6B"/>
    <w:rsid w:val="001B238C"/>
    <w:rsid w:val="001B3CB7"/>
    <w:rsid w:val="001B43B7"/>
    <w:rsid w:val="001B569F"/>
    <w:rsid w:val="001B5F0C"/>
    <w:rsid w:val="001B6AD5"/>
    <w:rsid w:val="001B7E7E"/>
    <w:rsid w:val="001C00EF"/>
    <w:rsid w:val="001C1C17"/>
    <w:rsid w:val="001C36A2"/>
    <w:rsid w:val="001C464C"/>
    <w:rsid w:val="001C7D39"/>
    <w:rsid w:val="001D18BE"/>
    <w:rsid w:val="001D685E"/>
    <w:rsid w:val="001D75AB"/>
    <w:rsid w:val="001E47BA"/>
    <w:rsid w:val="001E63C1"/>
    <w:rsid w:val="001E7AE5"/>
    <w:rsid w:val="001F1A3A"/>
    <w:rsid w:val="001F1ADF"/>
    <w:rsid w:val="00200386"/>
    <w:rsid w:val="00201685"/>
    <w:rsid w:val="00202660"/>
    <w:rsid w:val="0020360B"/>
    <w:rsid w:val="00204DCD"/>
    <w:rsid w:val="00206F88"/>
    <w:rsid w:val="00210055"/>
    <w:rsid w:val="002104BD"/>
    <w:rsid w:val="00211029"/>
    <w:rsid w:val="0021702D"/>
    <w:rsid w:val="0022061F"/>
    <w:rsid w:val="002211E2"/>
    <w:rsid w:val="00225065"/>
    <w:rsid w:val="002318F4"/>
    <w:rsid w:val="002325E6"/>
    <w:rsid w:val="0023332F"/>
    <w:rsid w:val="00233461"/>
    <w:rsid w:val="00234756"/>
    <w:rsid w:val="0023663A"/>
    <w:rsid w:val="00241FF5"/>
    <w:rsid w:val="002429D4"/>
    <w:rsid w:val="00245092"/>
    <w:rsid w:val="002504DB"/>
    <w:rsid w:val="0025269A"/>
    <w:rsid w:val="00253FF0"/>
    <w:rsid w:val="00254C60"/>
    <w:rsid w:val="0026567B"/>
    <w:rsid w:val="00267798"/>
    <w:rsid w:val="00270929"/>
    <w:rsid w:val="002754AF"/>
    <w:rsid w:val="00275915"/>
    <w:rsid w:val="00275BED"/>
    <w:rsid w:val="00276DEE"/>
    <w:rsid w:val="00276F24"/>
    <w:rsid w:val="0028298B"/>
    <w:rsid w:val="00291F16"/>
    <w:rsid w:val="002942D4"/>
    <w:rsid w:val="002948BE"/>
    <w:rsid w:val="00294B86"/>
    <w:rsid w:val="002954CF"/>
    <w:rsid w:val="00296420"/>
    <w:rsid w:val="002A2499"/>
    <w:rsid w:val="002A2D62"/>
    <w:rsid w:val="002A39C7"/>
    <w:rsid w:val="002A4EC7"/>
    <w:rsid w:val="002A5E47"/>
    <w:rsid w:val="002B0065"/>
    <w:rsid w:val="002B1115"/>
    <w:rsid w:val="002B1CE1"/>
    <w:rsid w:val="002B2FA3"/>
    <w:rsid w:val="002B2FEE"/>
    <w:rsid w:val="002B4C89"/>
    <w:rsid w:val="002B56E7"/>
    <w:rsid w:val="002C09CE"/>
    <w:rsid w:val="002C0E06"/>
    <w:rsid w:val="002C14A7"/>
    <w:rsid w:val="002C1942"/>
    <w:rsid w:val="002C1F7A"/>
    <w:rsid w:val="002C2450"/>
    <w:rsid w:val="002C3B96"/>
    <w:rsid w:val="002C3CD8"/>
    <w:rsid w:val="002D258E"/>
    <w:rsid w:val="002D4C6E"/>
    <w:rsid w:val="002E2479"/>
    <w:rsid w:val="002E30E8"/>
    <w:rsid w:val="002E4074"/>
    <w:rsid w:val="002E4DAA"/>
    <w:rsid w:val="002F559A"/>
    <w:rsid w:val="002F7049"/>
    <w:rsid w:val="002F73A9"/>
    <w:rsid w:val="00300EA1"/>
    <w:rsid w:val="003035B3"/>
    <w:rsid w:val="00303B68"/>
    <w:rsid w:val="00306468"/>
    <w:rsid w:val="0030720D"/>
    <w:rsid w:val="00314C04"/>
    <w:rsid w:val="00315D68"/>
    <w:rsid w:val="00317E61"/>
    <w:rsid w:val="00320FCA"/>
    <w:rsid w:val="003227F1"/>
    <w:rsid w:val="003236EA"/>
    <w:rsid w:val="00323B68"/>
    <w:rsid w:val="00325A56"/>
    <w:rsid w:val="00326D8C"/>
    <w:rsid w:val="00330021"/>
    <w:rsid w:val="003300B6"/>
    <w:rsid w:val="00330A93"/>
    <w:rsid w:val="003310C6"/>
    <w:rsid w:val="00331340"/>
    <w:rsid w:val="00331ED3"/>
    <w:rsid w:val="00337760"/>
    <w:rsid w:val="00345B63"/>
    <w:rsid w:val="00345EA6"/>
    <w:rsid w:val="003501F7"/>
    <w:rsid w:val="00351A8C"/>
    <w:rsid w:val="00353A37"/>
    <w:rsid w:val="00353D0B"/>
    <w:rsid w:val="00354943"/>
    <w:rsid w:val="00354B8A"/>
    <w:rsid w:val="003559FB"/>
    <w:rsid w:val="00361F38"/>
    <w:rsid w:val="0036254D"/>
    <w:rsid w:val="00366B94"/>
    <w:rsid w:val="00366E22"/>
    <w:rsid w:val="00367E58"/>
    <w:rsid w:val="003725E1"/>
    <w:rsid w:val="003726BD"/>
    <w:rsid w:val="00377E83"/>
    <w:rsid w:val="00381988"/>
    <w:rsid w:val="00382E37"/>
    <w:rsid w:val="00382FCC"/>
    <w:rsid w:val="00383A55"/>
    <w:rsid w:val="00390D9F"/>
    <w:rsid w:val="003946CE"/>
    <w:rsid w:val="00394E48"/>
    <w:rsid w:val="00396FA1"/>
    <w:rsid w:val="003A0920"/>
    <w:rsid w:val="003A357A"/>
    <w:rsid w:val="003A5691"/>
    <w:rsid w:val="003A7AA3"/>
    <w:rsid w:val="003B1151"/>
    <w:rsid w:val="003B1659"/>
    <w:rsid w:val="003B3970"/>
    <w:rsid w:val="003B4B69"/>
    <w:rsid w:val="003D472E"/>
    <w:rsid w:val="003D52F2"/>
    <w:rsid w:val="003D5C69"/>
    <w:rsid w:val="003D72D5"/>
    <w:rsid w:val="003E0884"/>
    <w:rsid w:val="003E1BF0"/>
    <w:rsid w:val="003F0755"/>
    <w:rsid w:val="003F5AEC"/>
    <w:rsid w:val="003F6DDE"/>
    <w:rsid w:val="003F6EB6"/>
    <w:rsid w:val="004000B5"/>
    <w:rsid w:val="00404532"/>
    <w:rsid w:val="00404815"/>
    <w:rsid w:val="004077BB"/>
    <w:rsid w:val="0041075B"/>
    <w:rsid w:val="004111CD"/>
    <w:rsid w:val="00412667"/>
    <w:rsid w:val="0041303E"/>
    <w:rsid w:val="00415318"/>
    <w:rsid w:val="00415FB2"/>
    <w:rsid w:val="0041757E"/>
    <w:rsid w:val="00425F50"/>
    <w:rsid w:val="004270A1"/>
    <w:rsid w:val="004322B6"/>
    <w:rsid w:val="00437C33"/>
    <w:rsid w:val="00441C00"/>
    <w:rsid w:val="0044210A"/>
    <w:rsid w:val="00445F80"/>
    <w:rsid w:val="00450408"/>
    <w:rsid w:val="0045064F"/>
    <w:rsid w:val="00451895"/>
    <w:rsid w:val="00454411"/>
    <w:rsid w:val="00454819"/>
    <w:rsid w:val="00456EC1"/>
    <w:rsid w:val="00460C90"/>
    <w:rsid w:val="00460DE7"/>
    <w:rsid w:val="00472C8F"/>
    <w:rsid w:val="0047328B"/>
    <w:rsid w:val="00473AB4"/>
    <w:rsid w:val="00473C52"/>
    <w:rsid w:val="0047618F"/>
    <w:rsid w:val="0047737F"/>
    <w:rsid w:val="00477FF2"/>
    <w:rsid w:val="004834E3"/>
    <w:rsid w:val="004859CD"/>
    <w:rsid w:val="00490DFD"/>
    <w:rsid w:val="00491DA2"/>
    <w:rsid w:val="00494437"/>
    <w:rsid w:val="00496A59"/>
    <w:rsid w:val="004A0024"/>
    <w:rsid w:val="004A0B32"/>
    <w:rsid w:val="004A500A"/>
    <w:rsid w:val="004A5C6E"/>
    <w:rsid w:val="004B73A7"/>
    <w:rsid w:val="004C39C9"/>
    <w:rsid w:val="004C400F"/>
    <w:rsid w:val="004C4233"/>
    <w:rsid w:val="004C4B91"/>
    <w:rsid w:val="004C755E"/>
    <w:rsid w:val="004D0022"/>
    <w:rsid w:val="004D1EBF"/>
    <w:rsid w:val="004D26BE"/>
    <w:rsid w:val="004D3F1F"/>
    <w:rsid w:val="004D4605"/>
    <w:rsid w:val="004D6FDD"/>
    <w:rsid w:val="004D71C3"/>
    <w:rsid w:val="004E33FC"/>
    <w:rsid w:val="004E43F2"/>
    <w:rsid w:val="004E5C76"/>
    <w:rsid w:val="004E6EB7"/>
    <w:rsid w:val="004E7906"/>
    <w:rsid w:val="004F507B"/>
    <w:rsid w:val="004F5838"/>
    <w:rsid w:val="004F67F1"/>
    <w:rsid w:val="005018C0"/>
    <w:rsid w:val="0050379E"/>
    <w:rsid w:val="00503977"/>
    <w:rsid w:val="00503D01"/>
    <w:rsid w:val="00507479"/>
    <w:rsid w:val="00511D45"/>
    <w:rsid w:val="00512D26"/>
    <w:rsid w:val="0051568F"/>
    <w:rsid w:val="00521F07"/>
    <w:rsid w:val="00522D0A"/>
    <w:rsid w:val="00522E91"/>
    <w:rsid w:val="00523AEA"/>
    <w:rsid w:val="00523D3A"/>
    <w:rsid w:val="00524C75"/>
    <w:rsid w:val="00524EC6"/>
    <w:rsid w:val="005267DA"/>
    <w:rsid w:val="00527513"/>
    <w:rsid w:val="00532F0B"/>
    <w:rsid w:val="00537425"/>
    <w:rsid w:val="00537970"/>
    <w:rsid w:val="00543FD2"/>
    <w:rsid w:val="005579F6"/>
    <w:rsid w:val="00561673"/>
    <w:rsid w:val="00562285"/>
    <w:rsid w:val="0056442B"/>
    <w:rsid w:val="00564512"/>
    <w:rsid w:val="005665EE"/>
    <w:rsid w:val="005666B6"/>
    <w:rsid w:val="0057321F"/>
    <w:rsid w:val="00573E71"/>
    <w:rsid w:val="0057407C"/>
    <w:rsid w:val="00575007"/>
    <w:rsid w:val="0057529E"/>
    <w:rsid w:val="00576014"/>
    <w:rsid w:val="005776D6"/>
    <w:rsid w:val="00584210"/>
    <w:rsid w:val="005877A6"/>
    <w:rsid w:val="00587C1C"/>
    <w:rsid w:val="00590513"/>
    <w:rsid w:val="005906F3"/>
    <w:rsid w:val="00593FCE"/>
    <w:rsid w:val="00596A75"/>
    <w:rsid w:val="005A088E"/>
    <w:rsid w:val="005A2275"/>
    <w:rsid w:val="005A2990"/>
    <w:rsid w:val="005A2B5D"/>
    <w:rsid w:val="005A3DC4"/>
    <w:rsid w:val="005B0597"/>
    <w:rsid w:val="005B48FF"/>
    <w:rsid w:val="005C0763"/>
    <w:rsid w:val="005C1E06"/>
    <w:rsid w:val="005C1EA7"/>
    <w:rsid w:val="005C27BB"/>
    <w:rsid w:val="005C7AE5"/>
    <w:rsid w:val="005D0402"/>
    <w:rsid w:val="005D0582"/>
    <w:rsid w:val="005D1DA5"/>
    <w:rsid w:val="005D33ED"/>
    <w:rsid w:val="005D3B06"/>
    <w:rsid w:val="005D6C49"/>
    <w:rsid w:val="005D6DF1"/>
    <w:rsid w:val="005D7956"/>
    <w:rsid w:val="005D7DCE"/>
    <w:rsid w:val="005E505A"/>
    <w:rsid w:val="005E7AC0"/>
    <w:rsid w:val="005F07D5"/>
    <w:rsid w:val="005F14C4"/>
    <w:rsid w:val="005F1897"/>
    <w:rsid w:val="00600402"/>
    <w:rsid w:val="00605836"/>
    <w:rsid w:val="006067DA"/>
    <w:rsid w:val="006069DD"/>
    <w:rsid w:val="006105B8"/>
    <w:rsid w:val="00613480"/>
    <w:rsid w:val="006146D8"/>
    <w:rsid w:val="0061714D"/>
    <w:rsid w:val="00621940"/>
    <w:rsid w:val="00621D58"/>
    <w:rsid w:val="00625CB3"/>
    <w:rsid w:val="00626093"/>
    <w:rsid w:val="00627332"/>
    <w:rsid w:val="00630318"/>
    <w:rsid w:val="00632A85"/>
    <w:rsid w:val="00634426"/>
    <w:rsid w:val="006347AF"/>
    <w:rsid w:val="00644764"/>
    <w:rsid w:val="006463AE"/>
    <w:rsid w:val="006464B5"/>
    <w:rsid w:val="006467B1"/>
    <w:rsid w:val="006478B1"/>
    <w:rsid w:val="00651FEC"/>
    <w:rsid w:val="0065371F"/>
    <w:rsid w:val="00654907"/>
    <w:rsid w:val="00657A8E"/>
    <w:rsid w:val="00661407"/>
    <w:rsid w:val="00665A32"/>
    <w:rsid w:val="0067262D"/>
    <w:rsid w:val="00674B13"/>
    <w:rsid w:val="0068606D"/>
    <w:rsid w:val="00686A7B"/>
    <w:rsid w:val="0069261F"/>
    <w:rsid w:val="00694255"/>
    <w:rsid w:val="00694CDD"/>
    <w:rsid w:val="00697E9A"/>
    <w:rsid w:val="006A62B9"/>
    <w:rsid w:val="006B115A"/>
    <w:rsid w:val="006B2F0D"/>
    <w:rsid w:val="006B489A"/>
    <w:rsid w:val="006B4904"/>
    <w:rsid w:val="006B703D"/>
    <w:rsid w:val="006B796E"/>
    <w:rsid w:val="006B7F6E"/>
    <w:rsid w:val="006C1FED"/>
    <w:rsid w:val="006C6262"/>
    <w:rsid w:val="006D23B9"/>
    <w:rsid w:val="006D5DB1"/>
    <w:rsid w:val="006D65C2"/>
    <w:rsid w:val="006D6C92"/>
    <w:rsid w:val="006E3772"/>
    <w:rsid w:val="006F0A16"/>
    <w:rsid w:val="006F1666"/>
    <w:rsid w:val="006F454B"/>
    <w:rsid w:val="006F6991"/>
    <w:rsid w:val="006F7034"/>
    <w:rsid w:val="00700095"/>
    <w:rsid w:val="00705B01"/>
    <w:rsid w:val="00710A29"/>
    <w:rsid w:val="00710C77"/>
    <w:rsid w:val="0071129D"/>
    <w:rsid w:val="0071697E"/>
    <w:rsid w:val="00716DEA"/>
    <w:rsid w:val="007232E7"/>
    <w:rsid w:val="007237AA"/>
    <w:rsid w:val="0072587C"/>
    <w:rsid w:val="0072654B"/>
    <w:rsid w:val="007313F6"/>
    <w:rsid w:val="007314B8"/>
    <w:rsid w:val="00732BF6"/>
    <w:rsid w:val="00732EF2"/>
    <w:rsid w:val="007330F2"/>
    <w:rsid w:val="00733A64"/>
    <w:rsid w:val="007371FC"/>
    <w:rsid w:val="00737BE4"/>
    <w:rsid w:val="00742120"/>
    <w:rsid w:val="007437D2"/>
    <w:rsid w:val="00745FC9"/>
    <w:rsid w:val="007611BD"/>
    <w:rsid w:val="00761D0D"/>
    <w:rsid w:val="00765F83"/>
    <w:rsid w:val="00766896"/>
    <w:rsid w:val="00766FC9"/>
    <w:rsid w:val="00767123"/>
    <w:rsid w:val="00770417"/>
    <w:rsid w:val="007739EB"/>
    <w:rsid w:val="007743B3"/>
    <w:rsid w:val="0077609E"/>
    <w:rsid w:val="007806C3"/>
    <w:rsid w:val="007818E8"/>
    <w:rsid w:val="00785A6D"/>
    <w:rsid w:val="00791A48"/>
    <w:rsid w:val="0079272D"/>
    <w:rsid w:val="007929CC"/>
    <w:rsid w:val="00795959"/>
    <w:rsid w:val="00796FEE"/>
    <w:rsid w:val="007A5C2D"/>
    <w:rsid w:val="007A709A"/>
    <w:rsid w:val="007A7D8B"/>
    <w:rsid w:val="007B1AD3"/>
    <w:rsid w:val="007B3914"/>
    <w:rsid w:val="007B3F8F"/>
    <w:rsid w:val="007B687C"/>
    <w:rsid w:val="007B745E"/>
    <w:rsid w:val="007C0121"/>
    <w:rsid w:val="007C4D02"/>
    <w:rsid w:val="007C64A5"/>
    <w:rsid w:val="007C6EAD"/>
    <w:rsid w:val="007D4DC6"/>
    <w:rsid w:val="007D727F"/>
    <w:rsid w:val="007D7AD1"/>
    <w:rsid w:val="007E42C7"/>
    <w:rsid w:val="007E53C4"/>
    <w:rsid w:val="007E73EF"/>
    <w:rsid w:val="007E7D19"/>
    <w:rsid w:val="007F28EB"/>
    <w:rsid w:val="007F697A"/>
    <w:rsid w:val="007F7657"/>
    <w:rsid w:val="007F7E5F"/>
    <w:rsid w:val="008005C6"/>
    <w:rsid w:val="00801C5D"/>
    <w:rsid w:val="008025AD"/>
    <w:rsid w:val="008027A7"/>
    <w:rsid w:val="008067B6"/>
    <w:rsid w:val="00807A53"/>
    <w:rsid w:val="00810689"/>
    <w:rsid w:val="00810AC1"/>
    <w:rsid w:val="00810D03"/>
    <w:rsid w:val="00812B7B"/>
    <w:rsid w:val="008138DD"/>
    <w:rsid w:val="00813ACF"/>
    <w:rsid w:val="00814C0B"/>
    <w:rsid w:val="008159E2"/>
    <w:rsid w:val="00824F82"/>
    <w:rsid w:val="00827CA9"/>
    <w:rsid w:val="008312E9"/>
    <w:rsid w:val="0083265A"/>
    <w:rsid w:val="008371D9"/>
    <w:rsid w:val="00837B11"/>
    <w:rsid w:val="00842A51"/>
    <w:rsid w:val="00844FEA"/>
    <w:rsid w:val="00846BBF"/>
    <w:rsid w:val="00846D88"/>
    <w:rsid w:val="00847E82"/>
    <w:rsid w:val="008522D2"/>
    <w:rsid w:val="00854D2C"/>
    <w:rsid w:val="00863D5C"/>
    <w:rsid w:val="0086737C"/>
    <w:rsid w:val="008721D9"/>
    <w:rsid w:val="00872F24"/>
    <w:rsid w:val="00874B83"/>
    <w:rsid w:val="00877F3E"/>
    <w:rsid w:val="00883C80"/>
    <w:rsid w:val="008840E1"/>
    <w:rsid w:val="00885649"/>
    <w:rsid w:val="008858D4"/>
    <w:rsid w:val="00890A9D"/>
    <w:rsid w:val="0089159A"/>
    <w:rsid w:val="00893271"/>
    <w:rsid w:val="00893448"/>
    <w:rsid w:val="008961F1"/>
    <w:rsid w:val="008A18B1"/>
    <w:rsid w:val="008A1DC2"/>
    <w:rsid w:val="008A1F25"/>
    <w:rsid w:val="008A2DF0"/>
    <w:rsid w:val="008A4C4C"/>
    <w:rsid w:val="008A6C7A"/>
    <w:rsid w:val="008A75BE"/>
    <w:rsid w:val="008B2BF8"/>
    <w:rsid w:val="008B3FE7"/>
    <w:rsid w:val="008C24D3"/>
    <w:rsid w:val="008C32A0"/>
    <w:rsid w:val="008C6EC5"/>
    <w:rsid w:val="008D01B9"/>
    <w:rsid w:val="008D038B"/>
    <w:rsid w:val="008D0B0F"/>
    <w:rsid w:val="008D167C"/>
    <w:rsid w:val="008D1F14"/>
    <w:rsid w:val="008D20F9"/>
    <w:rsid w:val="008D526B"/>
    <w:rsid w:val="008D568B"/>
    <w:rsid w:val="008D5B02"/>
    <w:rsid w:val="008D5C08"/>
    <w:rsid w:val="008E0716"/>
    <w:rsid w:val="008E1842"/>
    <w:rsid w:val="008E268E"/>
    <w:rsid w:val="008E3604"/>
    <w:rsid w:val="008E4401"/>
    <w:rsid w:val="008E5A15"/>
    <w:rsid w:val="008E6DCB"/>
    <w:rsid w:val="008F016E"/>
    <w:rsid w:val="008F4495"/>
    <w:rsid w:val="00902A5B"/>
    <w:rsid w:val="00902CCD"/>
    <w:rsid w:val="00902DB1"/>
    <w:rsid w:val="00906E0F"/>
    <w:rsid w:val="00907613"/>
    <w:rsid w:val="00912631"/>
    <w:rsid w:val="009155C9"/>
    <w:rsid w:val="00916412"/>
    <w:rsid w:val="0092194C"/>
    <w:rsid w:val="00922D73"/>
    <w:rsid w:val="00923E9F"/>
    <w:rsid w:val="009263BC"/>
    <w:rsid w:val="00927773"/>
    <w:rsid w:val="00927FD4"/>
    <w:rsid w:val="009304DB"/>
    <w:rsid w:val="00931E07"/>
    <w:rsid w:val="009327E3"/>
    <w:rsid w:val="0093618C"/>
    <w:rsid w:val="00946F39"/>
    <w:rsid w:val="00947D9E"/>
    <w:rsid w:val="00947E5B"/>
    <w:rsid w:val="00956C7A"/>
    <w:rsid w:val="00970D52"/>
    <w:rsid w:val="009719E0"/>
    <w:rsid w:val="009723E7"/>
    <w:rsid w:val="0097386B"/>
    <w:rsid w:val="00975048"/>
    <w:rsid w:val="00980A07"/>
    <w:rsid w:val="009847CE"/>
    <w:rsid w:val="00992B6B"/>
    <w:rsid w:val="00994757"/>
    <w:rsid w:val="009A30EE"/>
    <w:rsid w:val="009A51AF"/>
    <w:rsid w:val="009A6DBD"/>
    <w:rsid w:val="009A6FF4"/>
    <w:rsid w:val="009B1481"/>
    <w:rsid w:val="009B1E3F"/>
    <w:rsid w:val="009B49E3"/>
    <w:rsid w:val="009B53CF"/>
    <w:rsid w:val="009C1359"/>
    <w:rsid w:val="009C1D0C"/>
    <w:rsid w:val="009C5BD3"/>
    <w:rsid w:val="009C67EE"/>
    <w:rsid w:val="009D3509"/>
    <w:rsid w:val="009D39F1"/>
    <w:rsid w:val="009D4EC2"/>
    <w:rsid w:val="009D6854"/>
    <w:rsid w:val="009E0B3C"/>
    <w:rsid w:val="009E175C"/>
    <w:rsid w:val="009E4771"/>
    <w:rsid w:val="009F4EA9"/>
    <w:rsid w:val="009F6F7F"/>
    <w:rsid w:val="00A024AE"/>
    <w:rsid w:val="00A05295"/>
    <w:rsid w:val="00A05B00"/>
    <w:rsid w:val="00A069B3"/>
    <w:rsid w:val="00A11EF6"/>
    <w:rsid w:val="00A12113"/>
    <w:rsid w:val="00A13EB6"/>
    <w:rsid w:val="00A13F1C"/>
    <w:rsid w:val="00A1538F"/>
    <w:rsid w:val="00A246A1"/>
    <w:rsid w:val="00A30043"/>
    <w:rsid w:val="00A322B6"/>
    <w:rsid w:val="00A333BD"/>
    <w:rsid w:val="00A34F34"/>
    <w:rsid w:val="00A36A6C"/>
    <w:rsid w:val="00A36E63"/>
    <w:rsid w:val="00A415DC"/>
    <w:rsid w:val="00A423DB"/>
    <w:rsid w:val="00A4352F"/>
    <w:rsid w:val="00A44708"/>
    <w:rsid w:val="00A45943"/>
    <w:rsid w:val="00A51020"/>
    <w:rsid w:val="00A5377D"/>
    <w:rsid w:val="00A55BD2"/>
    <w:rsid w:val="00A56171"/>
    <w:rsid w:val="00A56F0C"/>
    <w:rsid w:val="00A61679"/>
    <w:rsid w:val="00A61907"/>
    <w:rsid w:val="00A82162"/>
    <w:rsid w:val="00A9240A"/>
    <w:rsid w:val="00A95489"/>
    <w:rsid w:val="00AA2511"/>
    <w:rsid w:val="00AA45A3"/>
    <w:rsid w:val="00AB2621"/>
    <w:rsid w:val="00AB2CA9"/>
    <w:rsid w:val="00AB3F8B"/>
    <w:rsid w:val="00AC0132"/>
    <w:rsid w:val="00AC1989"/>
    <w:rsid w:val="00AC4257"/>
    <w:rsid w:val="00AC4A8E"/>
    <w:rsid w:val="00AC4E80"/>
    <w:rsid w:val="00AD17D4"/>
    <w:rsid w:val="00AD48C5"/>
    <w:rsid w:val="00AD590A"/>
    <w:rsid w:val="00AD7770"/>
    <w:rsid w:val="00AE00C0"/>
    <w:rsid w:val="00AE0E3C"/>
    <w:rsid w:val="00AE1E45"/>
    <w:rsid w:val="00AE3E4F"/>
    <w:rsid w:val="00AE77F7"/>
    <w:rsid w:val="00AE7F45"/>
    <w:rsid w:val="00AF2B21"/>
    <w:rsid w:val="00AF7072"/>
    <w:rsid w:val="00AF70A8"/>
    <w:rsid w:val="00B000E4"/>
    <w:rsid w:val="00B02BFA"/>
    <w:rsid w:val="00B04CA4"/>
    <w:rsid w:val="00B05998"/>
    <w:rsid w:val="00B05A25"/>
    <w:rsid w:val="00B05DEF"/>
    <w:rsid w:val="00B06CCD"/>
    <w:rsid w:val="00B06E5E"/>
    <w:rsid w:val="00B101EB"/>
    <w:rsid w:val="00B11466"/>
    <w:rsid w:val="00B13E64"/>
    <w:rsid w:val="00B1604F"/>
    <w:rsid w:val="00B16340"/>
    <w:rsid w:val="00B17B67"/>
    <w:rsid w:val="00B2014E"/>
    <w:rsid w:val="00B2214D"/>
    <w:rsid w:val="00B303A1"/>
    <w:rsid w:val="00B3122A"/>
    <w:rsid w:val="00B32096"/>
    <w:rsid w:val="00B341BF"/>
    <w:rsid w:val="00B35773"/>
    <w:rsid w:val="00B36989"/>
    <w:rsid w:val="00B409AF"/>
    <w:rsid w:val="00B4469A"/>
    <w:rsid w:val="00B45DD1"/>
    <w:rsid w:val="00B47F1F"/>
    <w:rsid w:val="00B501B6"/>
    <w:rsid w:val="00B53BC7"/>
    <w:rsid w:val="00B54D85"/>
    <w:rsid w:val="00B55EC5"/>
    <w:rsid w:val="00B56BB1"/>
    <w:rsid w:val="00B6092E"/>
    <w:rsid w:val="00B61E7F"/>
    <w:rsid w:val="00B631A2"/>
    <w:rsid w:val="00B66A04"/>
    <w:rsid w:val="00B67F32"/>
    <w:rsid w:val="00B70F5D"/>
    <w:rsid w:val="00B72025"/>
    <w:rsid w:val="00B76082"/>
    <w:rsid w:val="00B81129"/>
    <w:rsid w:val="00B838DD"/>
    <w:rsid w:val="00B8733B"/>
    <w:rsid w:val="00B90583"/>
    <w:rsid w:val="00B91FBD"/>
    <w:rsid w:val="00B9246B"/>
    <w:rsid w:val="00B92771"/>
    <w:rsid w:val="00B935D2"/>
    <w:rsid w:val="00B97526"/>
    <w:rsid w:val="00BB1997"/>
    <w:rsid w:val="00BB2FB2"/>
    <w:rsid w:val="00BB535C"/>
    <w:rsid w:val="00BB6D7E"/>
    <w:rsid w:val="00BB6FEE"/>
    <w:rsid w:val="00BC1D73"/>
    <w:rsid w:val="00BC2651"/>
    <w:rsid w:val="00BC4B2C"/>
    <w:rsid w:val="00BC5DE8"/>
    <w:rsid w:val="00BD008D"/>
    <w:rsid w:val="00BD0C5D"/>
    <w:rsid w:val="00BD1F95"/>
    <w:rsid w:val="00BD2BDD"/>
    <w:rsid w:val="00BD5CE4"/>
    <w:rsid w:val="00BE75C1"/>
    <w:rsid w:val="00BE7871"/>
    <w:rsid w:val="00BF006B"/>
    <w:rsid w:val="00BF109F"/>
    <w:rsid w:val="00BF1E30"/>
    <w:rsid w:val="00BF40D5"/>
    <w:rsid w:val="00BF4968"/>
    <w:rsid w:val="00BF5FBF"/>
    <w:rsid w:val="00C03D36"/>
    <w:rsid w:val="00C040AE"/>
    <w:rsid w:val="00C04F8C"/>
    <w:rsid w:val="00C100CE"/>
    <w:rsid w:val="00C11FAD"/>
    <w:rsid w:val="00C221B2"/>
    <w:rsid w:val="00C3044E"/>
    <w:rsid w:val="00C32274"/>
    <w:rsid w:val="00C32ACD"/>
    <w:rsid w:val="00C348DE"/>
    <w:rsid w:val="00C42D8E"/>
    <w:rsid w:val="00C45016"/>
    <w:rsid w:val="00C45A3B"/>
    <w:rsid w:val="00C4635E"/>
    <w:rsid w:val="00C545D5"/>
    <w:rsid w:val="00C55557"/>
    <w:rsid w:val="00C570DD"/>
    <w:rsid w:val="00C64873"/>
    <w:rsid w:val="00C661E1"/>
    <w:rsid w:val="00C700A6"/>
    <w:rsid w:val="00C71DDA"/>
    <w:rsid w:val="00C77BB3"/>
    <w:rsid w:val="00C77C18"/>
    <w:rsid w:val="00C809E6"/>
    <w:rsid w:val="00C827EF"/>
    <w:rsid w:val="00C84D17"/>
    <w:rsid w:val="00C8580B"/>
    <w:rsid w:val="00C9332B"/>
    <w:rsid w:val="00C94A11"/>
    <w:rsid w:val="00C94A5A"/>
    <w:rsid w:val="00C964F1"/>
    <w:rsid w:val="00C96637"/>
    <w:rsid w:val="00C97430"/>
    <w:rsid w:val="00C97CD3"/>
    <w:rsid w:val="00CA2225"/>
    <w:rsid w:val="00CA2BD8"/>
    <w:rsid w:val="00CA3C31"/>
    <w:rsid w:val="00CA41AD"/>
    <w:rsid w:val="00CB15DE"/>
    <w:rsid w:val="00CB383B"/>
    <w:rsid w:val="00CB4AD0"/>
    <w:rsid w:val="00CB513F"/>
    <w:rsid w:val="00CB52D1"/>
    <w:rsid w:val="00CC16DB"/>
    <w:rsid w:val="00CC31A2"/>
    <w:rsid w:val="00CC4A68"/>
    <w:rsid w:val="00CD014B"/>
    <w:rsid w:val="00CD144A"/>
    <w:rsid w:val="00CD2423"/>
    <w:rsid w:val="00CD32DA"/>
    <w:rsid w:val="00CD4AB0"/>
    <w:rsid w:val="00CD5B23"/>
    <w:rsid w:val="00CD5C37"/>
    <w:rsid w:val="00CD690B"/>
    <w:rsid w:val="00CE3DFE"/>
    <w:rsid w:val="00CE4FF3"/>
    <w:rsid w:val="00CE6A88"/>
    <w:rsid w:val="00CF072D"/>
    <w:rsid w:val="00CF3BA7"/>
    <w:rsid w:val="00CF43C6"/>
    <w:rsid w:val="00D03D24"/>
    <w:rsid w:val="00D072A1"/>
    <w:rsid w:val="00D07940"/>
    <w:rsid w:val="00D146E9"/>
    <w:rsid w:val="00D14784"/>
    <w:rsid w:val="00D17C1F"/>
    <w:rsid w:val="00D17EDE"/>
    <w:rsid w:val="00D20382"/>
    <w:rsid w:val="00D23772"/>
    <w:rsid w:val="00D26F7F"/>
    <w:rsid w:val="00D31D83"/>
    <w:rsid w:val="00D3229D"/>
    <w:rsid w:val="00D36165"/>
    <w:rsid w:val="00D376E1"/>
    <w:rsid w:val="00D403AB"/>
    <w:rsid w:val="00D41572"/>
    <w:rsid w:val="00D43F42"/>
    <w:rsid w:val="00D527EF"/>
    <w:rsid w:val="00D53549"/>
    <w:rsid w:val="00D56832"/>
    <w:rsid w:val="00D56921"/>
    <w:rsid w:val="00D56950"/>
    <w:rsid w:val="00D60361"/>
    <w:rsid w:val="00D603D4"/>
    <w:rsid w:val="00D62AE9"/>
    <w:rsid w:val="00D63E5A"/>
    <w:rsid w:val="00D66240"/>
    <w:rsid w:val="00D67CD7"/>
    <w:rsid w:val="00D70200"/>
    <w:rsid w:val="00D720C1"/>
    <w:rsid w:val="00D7262C"/>
    <w:rsid w:val="00D72F07"/>
    <w:rsid w:val="00D814B0"/>
    <w:rsid w:val="00D862A7"/>
    <w:rsid w:val="00D871ED"/>
    <w:rsid w:val="00D90012"/>
    <w:rsid w:val="00D94497"/>
    <w:rsid w:val="00D94C20"/>
    <w:rsid w:val="00D9751D"/>
    <w:rsid w:val="00DA1584"/>
    <w:rsid w:val="00DA5959"/>
    <w:rsid w:val="00DA62D4"/>
    <w:rsid w:val="00DA64A7"/>
    <w:rsid w:val="00DA6E2C"/>
    <w:rsid w:val="00DA72FB"/>
    <w:rsid w:val="00DB3A14"/>
    <w:rsid w:val="00DB6B55"/>
    <w:rsid w:val="00DC164D"/>
    <w:rsid w:val="00DC497E"/>
    <w:rsid w:val="00DD1B24"/>
    <w:rsid w:val="00DD5EF7"/>
    <w:rsid w:val="00DE177A"/>
    <w:rsid w:val="00DE2224"/>
    <w:rsid w:val="00DE22CC"/>
    <w:rsid w:val="00DE29A0"/>
    <w:rsid w:val="00DE4A57"/>
    <w:rsid w:val="00DF5A82"/>
    <w:rsid w:val="00DF69E7"/>
    <w:rsid w:val="00E002F9"/>
    <w:rsid w:val="00E00741"/>
    <w:rsid w:val="00E025D0"/>
    <w:rsid w:val="00E02DD8"/>
    <w:rsid w:val="00E04AD0"/>
    <w:rsid w:val="00E05C04"/>
    <w:rsid w:val="00E06A0D"/>
    <w:rsid w:val="00E10513"/>
    <w:rsid w:val="00E109B6"/>
    <w:rsid w:val="00E11A96"/>
    <w:rsid w:val="00E12732"/>
    <w:rsid w:val="00E15061"/>
    <w:rsid w:val="00E24CC1"/>
    <w:rsid w:val="00E27218"/>
    <w:rsid w:val="00E347E5"/>
    <w:rsid w:val="00E350E1"/>
    <w:rsid w:val="00E37FCC"/>
    <w:rsid w:val="00E44D36"/>
    <w:rsid w:val="00E45168"/>
    <w:rsid w:val="00E46A2B"/>
    <w:rsid w:val="00E517D6"/>
    <w:rsid w:val="00E51B5B"/>
    <w:rsid w:val="00E54573"/>
    <w:rsid w:val="00E5557B"/>
    <w:rsid w:val="00E5740C"/>
    <w:rsid w:val="00E6387C"/>
    <w:rsid w:val="00E714F8"/>
    <w:rsid w:val="00E77B65"/>
    <w:rsid w:val="00E8034C"/>
    <w:rsid w:val="00E812C0"/>
    <w:rsid w:val="00E84F9C"/>
    <w:rsid w:val="00E859CE"/>
    <w:rsid w:val="00E86E25"/>
    <w:rsid w:val="00E87BDC"/>
    <w:rsid w:val="00E9018B"/>
    <w:rsid w:val="00E9122D"/>
    <w:rsid w:val="00E9494F"/>
    <w:rsid w:val="00EA06A0"/>
    <w:rsid w:val="00EA3023"/>
    <w:rsid w:val="00EA3F10"/>
    <w:rsid w:val="00EA53EB"/>
    <w:rsid w:val="00EA7B33"/>
    <w:rsid w:val="00EB0597"/>
    <w:rsid w:val="00EB16F9"/>
    <w:rsid w:val="00EB2078"/>
    <w:rsid w:val="00EB43FC"/>
    <w:rsid w:val="00EB58F4"/>
    <w:rsid w:val="00EB67E9"/>
    <w:rsid w:val="00EB6C9A"/>
    <w:rsid w:val="00EB7A51"/>
    <w:rsid w:val="00EC1D0E"/>
    <w:rsid w:val="00EC1E9D"/>
    <w:rsid w:val="00EC4E97"/>
    <w:rsid w:val="00EC5CD6"/>
    <w:rsid w:val="00EC61CE"/>
    <w:rsid w:val="00EC79FE"/>
    <w:rsid w:val="00EC7EB0"/>
    <w:rsid w:val="00ED03A7"/>
    <w:rsid w:val="00ED24CE"/>
    <w:rsid w:val="00ED3A06"/>
    <w:rsid w:val="00ED4C73"/>
    <w:rsid w:val="00ED6CCE"/>
    <w:rsid w:val="00ED7283"/>
    <w:rsid w:val="00ED7962"/>
    <w:rsid w:val="00EE6356"/>
    <w:rsid w:val="00EE6D57"/>
    <w:rsid w:val="00EE7B63"/>
    <w:rsid w:val="00EF0751"/>
    <w:rsid w:val="00EF3853"/>
    <w:rsid w:val="00EF391B"/>
    <w:rsid w:val="00EF46F0"/>
    <w:rsid w:val="00EF6044"/>
    <w:rsid w:val="00EF61E5"/>
    <w:rsid w:val="00EF69A0"/>
    <w:rsid w:val="00F014EF"/>
    <w:rsid w:val="00F032DD"/>
    <w:rsid w:val="00F03602"/>
    <w:rsid w:val="00F0751B"/>
    <w:rsid w:val="00F10591"/>
    <w:rsid w:val="00F1154B"/>
    <w:rsid w:val="00F1171B"/>
    <w:rsid w:val="00F11B9D"/>
    <w:rsid w:val="00F1291A"/>
    <w:rsid w:val="00F14DEB"/>
    <w:rsid w:val="00F16CBF"/>
    <w:rsid w:val="00F242F6"/>
    <w:rsid w:val="00F24D8F"/>
    <w:rsid w:val="00F24EED"/>
    <w:rsid w:val="00F30551"/>
    <w:rsid w:val="00F41061"/>
    <w:rsid w:val="00F44C96"/>
    <w:rsid w:val="00F51312"/>
    <w:rsid w:val="00F54E3C"/>
    <w:rsid w:val="00F56D89"/>
    <w:rsid w:val="00F57344"/>
    <w:rsid w:val="00F576FE"/>
    <w:rsid w:val="00F61969"/>
    <w:rsid w:val="00F634DF"/>
    <w:rsid w:val="00F67E1C"/>
    <w:rsid w:val="00F71B20"/>
    <w:rsid w:val="00F802FC"/>
    <w:rsid w:val="00F814CC"/>
    <w:rsid w:val="00F85244"/>
    <w:rsid w:val="00F855FD"/>
    <w:rsid w:val="00F91114"/>
    <w:rsid w:val="00F91B66"/>
    <w:rsid w:val="00FA04EB"/>
    <w:rsid w:val="00FA1F11"/>
    <w:rsid w:val="00FA6CA1"/>
    <w:rsid w:val="00FA736F"/>
    <w:rsid w:val="00FA7584"/>
    <w:rsid w:val="00FB19B2"/>
    <w:rsid w:val="00FB274C"/>
    <w:rsid w:val="00FB538F"/>
    <w:rsid w:val="00FB5554"/>
    <w:rsid w:val="00FB5B11"/>
    <w:rsid w:val="00FC1E7F"/>
    <w:rsid w:val="00FC3304"/>
    <w:rsid w:val="00FD14AF"/>
    <w:rsid w:val="00FD2437"/>
    <w:rsid w:val="00FD7E7E"/>
    <w:rsid w:val="00FE38C5"/>
    <w:rsid w:val="00FF258C"/>
    <w:rsid w:val="00FF2675"/>
    <w:rsid w:val="00FF27A9"/>
    <w:rsid w:val="00FF2DE9"/>
    <w:rsid w:val="00FF3D71"/>
    <w:rsid w:val="00FF658C"/>
    <w:rsid w:val="069F2340"/>
    <w:rsid w:val="07E5C681"/>
    <w:rsid w:val="08F82A93"/>
    <w:rsid w:val="09383A70"/>
    <w:rsid w:val="0D36461C"/>
    <w:rsid w:val="0F4877E2"/>
    <w:rsid w:val="0FDD4F1D"/>
    <w:rsid w:val="111CE1CB"/>
    <w:rsid w:val="157B1DD0"/>
    <w:rsid w:val="173BEBC0"/>
    <w:rsid w:val="1AF84121"/>
    <w:rsid w:val="1CD12C3D"/>
    <w:rsid w:val="263E04E5"/>
    <w:rsid w:val="26A9C12F"/>
    <w:rsid w:val="27320803"/>
    <w:rsid w:val="297578F6"/>
    <w:rsid w:val="2B104EC5"/>
    <w:rsid w:val="302BD327"/>
    <w:rsid w:val="346C6C7A"/>
    <w:rsid w:val="37E63973"/>
    <w:rsid w:val="38D77691"/>
    <w:rsid w:val="38E7A1EB"/>
    <w:rsid w:val="3C466523"/>
    <w:rsid w:val="3C663C1A"/>
    <w:rsid w:val="3DC8EA8C"/>
    <w:rsid w:val="427A4242"/>
    <w:rsid w:val="493668C1"/>
    <w:rsid w:val="4C1C68A3"/>
    <w:rsid w:val="50F4B6E6"/>
    <w:rsid w:val="51918227"/>
    <w:rsid w:val="55530FDC"/>
    <w:rsid w:val="57978176"/>
    <w:rsid w:val="5C726EE8"/>
    <w:rsid w:val="5FF82039"/>
    <w:rsid w:val="607E8F23"/>
    <w:rsid w:val="64656A2A"/>
    <w:rsid w:val="6588FE05"/>
    <w:rsid w:val="65F9FCD2"/>
    <w:rsid w:val="690AD51B"/>
    <w:rsid w:val="6B138103"/>
    <w:rsid w:val="6BDD5338"/>
    <w:rsid w:val="6E4BF495"/>
    <w:rsid w:val="6FB55CFF"/>
    <w:rsid w:val="701BB868"/>
    <w:rsid w:val="7293C1ED"/>
    <w:rsid w:val="72F42720"/>
    <w:rsid w:val="73D28970"/>
    <w:rsid w:val="78E37C20"/>
    <w:rsid w:val="799FA5CA"/>
    <w:rsid w:val="7BC44E54"/>
    <w:rsid w:val="7EDBBFDD"/>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11464037"/>
  <w15:docId w15:val="{728E25F9-67E5-4B77-B89B-09B76667E3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Arial" w:eastAsia="Arial" w:hAnsi="Arial" w:cs="Arial"/>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qFormat="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39"/>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uiPriority="1"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uiPriority="34" w:qFormat="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spacing w:line="276" w:lineRule="auto"/>
    </w:pPr>
    <w:rPr>
      <w:sz w:val="22"/>
      <w:szCs w:val="22"/>
      <w:lang w:val="es-CO" w:eastAsia="ja-JP"/>
    </w:rPr>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semiHidden/>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link w:val="Ttulo4Car"/>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Refdecomentario">
    <w:name w:val="annotation reference"/>
    <w:basedOn w:val="Fuentedeprrafopredeter"/>
    <w:uiPriority w:val="99"/>
    <w:semiHidden/>
    <w:unhideWhenUsed/>
    <w:qFormat/>
    <w:rPr>
      <w:sz w:val="16"/>
      <w:szCs w:val="16"/>
    </w:rPr>
  </w:style>
  <w:style w:type="character" w:styleId="nfasis">
    <w:name w:val="Emphasis"/>
    <w:basedOn w:val="Fuentedeprrafopredeter"/>
    <w:uiPriority w:val="20"/>
    <w:qFormat/>
    <w:rPr>
      <w:i/>
      <w:iCs/>
    </w:rPr>
  </w:style>
  <w:style w:type="character" w:styleId="Hipervnculo">
    <w:name w:val="Hyperlink"/>
    <w:basedOn w:val="Fuentedeprrafopredeter"/>
    <w:uiPriority w:val="99"/>
    <w:unhideWhenUsed/>
    <w:qFormat/>
    <w:rPr>
      <w:color w:val="0000FF" w:themeColor="hyperlink"/>
      <w:u w:val="single"/>
    </w:rPr>
  </w:style>
  <w:style w:type="character" w:styleId="Hipervnculovisitado">
    <w:name w:val="FollowedHyperlink"/>
    <w:basedOn w:val="Fuentedeprrafopredeter"/>
    <w:uiPriority w:val="99"/>
    <w:semiHidden/>
    <w:unhideWhenUsed/>
    <w:qFormat/>
    <w:rPr>
      <w:color w:val="800080" w:themeColor="followedHyperlink"/>
      <w:u w:val="single"/>
    </w:rPr>
  </w:style>
  <w:style w:type="paragraph" w:styleId="Asuntodelcomentario">
    <w:name w:val="annotation subject"/>
    <w:basedOn w:val="Textocomentario"/>
    <w:next w:val="Textocomentario"/>
    <w:link w:val="AsuntodelcomentarioCar"/>
    <w:uiPriority w:val="99"/>
    <w:semiHidden/>
    <w:unhideWhenUsed/>
    <w:rPr>
      <w:b/>
      <w:bCs/>
    </w:rPr>
  </w:style>
  <w:style w:type="paragraph" w:styleId="Textocomentario">
    <w:name w:val="annotation text"/>
    <w:basedOn w:val="Normal0"/>
    <w:link w:val="TextocomentarioCar"/>
    <w:uiPriority w:val="99"/>
    <w:semiHidden/>
    <w:unhideWhenUsed/>
    <w:qFormat/>
    <w:pPr>
      <w:spacing w:line="240" w:lineRule="auto"/>
    </w:pPr>
    <w:rPr>
      <w:sz w:val="20"/>
      <w:szCs w:val="20"/>
    </w:rPr>
  </w:style>
  <w:style w:type="paragraph" w:customStyle="1" w:styleId="Normal0">
    <w:name w:val="Normal0"/>
    <w:qFormat/>
    <w:pPr>
      <w:spacing w:line="276" w:lineRule="auto"/>
    </w:pPr>
    <w:rPr>
      <w:sz w:val="22"/>
      <w:szCs w:val="22"/>
      <w:lang w:val="es-CO" w:eastAsia="ja-JP"/>
    </w:rPr>
  </w:style>
  <w:style w:type="paragraph" w:styleId="Textodeglobo">
    <w:name w:val="Balloon Text"/>
    <w:basedOn w:val="Normal0"/>
    <w:link w:val="TextodegloboCar"/>
    <w:uiPriority w:val="99"/>
    <w:semiHidden/>
    <w:unhideWhenUsed/>
    <w:qFormat/>
    <w:pPr>
      <w:spacing w:line="240" w:lineRule="auto"/>
    </w:pPr>
    <w:rPr>
      <w:rFonts w:ascii="Times New Roman" w:hAnsi="Times New Roman" w:cs="Times New Roman"/>
      <w:sz w:val="18"/>
      <w:szCs w:val="18"/>
    </w:rPr>
  </w:style>
  <w:style w:type="paragraph" w:styleId="Encabezado">
    <w:name w:val="header"/>
    <w:basedOn w:val="Normal0"/>
    <w:link w:val="EncabezadoCar"/>
    <w:uiPriority w:val="99"/>
    <w:unhideWhenUsed/>
    <w:qFormat/>
    <w:pPr>
      <w:tabs>
        <w:tab w:val="center" w:pos="4419"/>
        <w:tab w:val="right" w:pos="8838"/>
      </w:tabs>
      <w:spacing w:line="240" w:lineRule="auto"/>
    </w:pPr>
  </w:style>
  <w:style w:type="paragraph" w:styleId="NormalWeb">
    <w:name w:val="Normal (Web)"/>
    <w:basedOn w:val="Normal0"/>
    <w:uiPriority w:val="99"/>
    <w:unhideWhenUsed/>
    <w:qFormat/>
    <w:pPr>
      <w:spacing w:before="100" w:beforeAutospacing="1" w:after="100" w:afterAutospacing="1" w:line="240" w:lineRule="auto"/>
    </w:pPr>
    <w:rPr>
      <w:rFonts w:ascii="Times New Roman" w:eastAsia="Times New Roman" w:hAnsi="Times New Roman" w:cs="Times New Roman"/>
      <w:sz w:val="24"/>
      <w:szCs w:val="24"/>
    </w:rPr>
  </w:style>
  <w:style w:type="paragraph" w:styleId="Piedepgina">
    <w:name w:val="footer"/>
    <w:basedOn w:val="Normal0"/>
    <w:link w:val="PiedepginaCar"/>
    <w:uiPriority w:val="99"/>
    <w:unhideWhenUsed/>
    <w:qFormat/>
    <w:pPr>
      <w:tabs>
        <w:tab w:val="center" w:pos="4419"/>
        <w:tab w:val="right" w:pos="8838"/>
      </w:tabs>
      <w:spacing w:line="240" w:lineRule="auto"/>
    </w:pPr>
  </w:style>
  <w:style w:type="paragraph" w:styleId="Subttulo">
    <w:name w:val="Subtitle"/>
    <w:basedOn w:val="Normal0"/>
    <w:next w:val="Normal0"/>
    <w:uiPriority w:val="11"/>
    <w:qFormat/>
    <w:pPr>
      <w:keepNext/>
      <w:keepLines/>
      <w:spacing w:after="320"/>
    </w:pPr>
    <w:rPr>
      <w:color w:val="666666"/>
      <w:sz w:val="30"/>
      <w:szCs w:val="30"/>
    </w:rPr>
  </w:style>
  <w:style w:type="paragraph" w:styleId="Ttulo">
    <w:name w:val="Title"/>
    <w:basedOn w:val="Normal"/>
    <w:next w:val="Normal"/>
    <w:uiPriority w:val="10"/>
    <w:qFormat/>
    <w:pPr>
      <w:keepNext/>
      <w:keepLines/>
      <w:spacing w:after="60"/>
    </w:pPr>
    <w:rPr>
      <w:sz w:val="52"/>
      <w:szCs w:val="52"/>
    </w:rPr>
  </w:style>
  <w:style w:type="table" w:styleId="Tablaconcuadrcula">
    <w:name w:val="Table Grid"/>
    <w:basedOn w:val="NormalTable0"/>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NormalTable0">
    <w:name w:val="Normal Table0"/>
    <w:uiPriority w:val="99"/>
    <w:semiHidden/>
    <w:unhideWhenUsed/>
    <w:qFormat/>
    <w:tblPr>
      <w:tblCellMar>
        <w:top w:w="0" w:type="dxa"/>
        <w:left w:w="108" w:type="dxa"/>
        <w:bottom w:w="0" w:type="dxa"/>
        <w:right w:w="108" w:type="dxa"/>
      </w:tblCellMar>
    </w:tblPr>
  </w:style>
  <w:style w:type="paragraph" w:customStyle="1" w:styleId="heading10">
    <w:name w:val="heading 10"/>
    <w:basedOn w:val="Normal0"/>
    <w:next w:val="Normal0"/>
    <w:uiPriority w:val="9"/>
    <w:qFormat/>
    <w:pPr>
      <w:keepNext/>
      <w:keepLines/>
      <w:spacing w:before="400" w:after="120"/>
      <w:outlineLvl w:val="0"/>
    </w:pPr>
    <w:rPr>
      <w:sz w:val="40"/>
      <w:szCs w:val="40"/>
    </w:rPr>
  </w:style>
  <w:style w:type="paragraph" w:customStyle="1" w:styleId="heading20">
    <w:name w:val="heading 20"/>
    <w:basedOn w:val="Normal0"/>
    <w:next w:val="Normal0"/>
    <w:uiPriority w:val="9"/>
    <w:semiHidden/>
    <w:unhideWhenUsed/>
    <w:qFormat/>
    <w:pPr>
      <w:keepNext/>
      <w:keepLines/>
      <w:spacing w:before="360" w:after="120"/>
      <w:outlineLvl w:val="1"/>
    </w:pPr>
    <w:rPr>
      <w:sz w:val="32"/>
      <w:szCs w:val="32"/>
    </w:rPr>
  </w:style>
  <w:style w:type="paragraph" w:customStyle="1" w:styleId="heading30">
    <w:name w:val="heading 30"/>
    <w:basedOn w:val="Normal0"/>
    <w:next w:val="Normal0"/>
    <w:uiPriority w:val="9"/>
    <w:semiHidden/>
    <w:unhideWhenUsed/>
    <w:qFormat/>
    <w:pPr>
      <w:keepNext/>
      <w:keepLines/>
      <w:spacing w:before="320" w:after="80"/>
      <w:outlineLvl w:val="2"/>
    </w:pPr>
    <w:rPr>
      <w:color w:val="434343"/>
      <w:sz w:val="28"/>
      <w:szCs w:val="28"/>
    </w:rPr>
  </w:style>
  <w:style w:type="paragraph" w:customStyle="1" w:styleId="heading40">
    <w:name w:val="heading 40"/>
    <w:basedOn w:val="Normal0"/>
    <w:next w:val="Normal0"/>
    <w:uiPriority w:val="9"/>
    <w:semiHidden/>
    <w:unhideWhenUsed/>
    <w:qFormat/>
    <w:pPr>
      <w:keepNext/>
      <w:keepLines/>
      <w:spacing w:before="280" w:after="80"/>
      <w:outlineLvl w:val="3"/>
    </w:pPr>
    <w:rPr>
      <w:color w:val="666666"/>
      <w:sz w:val="24"/>
      <w:szCs w:val="24"/>
    </w:rPr>
  </w:style>
  <w:style w:type="paragraph" w:customStyle="1" w:styleId="heading50">
    <w:name w:val="heading 50"/>
    <w:basedOn w:val="Normal0"/>
    <w:next w:val="Normal0"/>
    <w:uiPriority w:val="9"/>
    <w:semiHidden/>
    <w:unhideWhenUsed/>
    <w:qFormat/>
    <w:pPr>
      <w:keepNext/>
      <w:keepLines/>
      <w:spacing w:before="240" w:after="80"/>
      <w:outlineLvl w:val="4"/>
    </w:pPr>
    <w:rPr>
      <w:color w:val="666666"/>
    </w:rPr>
  </w:style>
  <w:style w:type="paragraph" w:customStyle="1" w:styleId="heading60">
    <w:name w:val="heading 60"/>
    <w:basedOn w:val="Normal0"/>
    <w:next w:val="Normal0"/>
    <w:uiPriority w:val="9"/>
    <w:semiHidden/>
    <w:unhideWhenUsed/>
    <w:qFormat/>
    <w:pPr>
      <w:keepNext/>
      <w:keepLines/>
      <w:spacing w:before="240" w:after="80"/>
      <w:outlineLvl w:val="5"/>
    </w:pPr>
    <w:rPr>
      <w:i/>
      <w:color w:val="666666"/>
    </w:rPr>
  </w:style>
  <w:style w:type="table" w:customStyle="1" w:styleId="NormalTable1">
    <w:name w:val="Normal Table1"/>
    <w:qFormat/>
    <w:tblPr>
      <w:tblCellMar>
        <w:top w:w="0" w:type="dxa"/>
        <w:left w:w="0" w:type="dxa"/>
        <w:bottom w:w="0" w:type="dxa"/>
        <w:right w:w="0" w:type="dxa"/>
      </w:tblCellMar>
    </w:tblPr>
  </w:style>
  <w:style w:type="paragraph" w:customStyle="1" w:styleId="Title0">
    <w:name w:val="Title0"/>
    <w:basedOn w:val="Normal0"/>
    <w:next w:val="Normal0"/>
    <w:uiPriority w:val="10"/>
    <w:qFormat/>
    <w:pPr>
      <w:keepNext/>
      <w:keepLines/>
      <w:spacing w:after="60"/>
    </w:pPr>
    <w:rPr>
      <w:sz w:val="52"/>
      <w:szCs w:val="52"/>
    </w:rPr>
  </w:style>
  <w:style w:type="table" w:customStyle="1" w:styleId="TableNormal">
    <w:name w:val="Table Normal"/>
    <w:qFormat/>
    <w:tblPr>
      <w:tblCellMar>
        <w:top w:w="0" w:type="dxa"/>
        <w:left w:w="0" w:type="dxa"/>
        <w:bottom w:w="0" w:type="dxa"/>
        <w:right w:w="0" w:type="dxa"/>
      </w:tblCellMar>
    </w:tblPr>
  </w:style>
  <w:style w:type="table" w:customStyle="1" w:styleId="Style22">
    <w:name w:val="_Style 22"/>
    <w:basedOn w:val="NormalTable0"/>
    <w:qFormat/>
    <w:tblPr>
      <w:tblCellMar>
        <w:top w:w="100" w:type="dxa"/>
        <w:left w:w="100" w:type="dxa"/>
        <w:bottom w:w="100" w:type="dxa"/>
        <w:right w:w="100" w:type="dxa"/>
      </w:tblCellMar>
    </w:tblPr>
  </w:style>
  <w:style w:type="table" w:customStyle="1" w:styleId="Style23">
    <w:name w:val="_Style 23"/>
    <w:basedOn w:val="NormalTable0"/>
    <w:qFormat/>
    <w:tblPr>
      <w:tblCellMar>
        <w:top w:w="100" w:type="dxa"/>
        <w:left w:w="100" w:type="dxa"/>
        <w:bottom w:w="100" w:type="dxa"/>
        <w:right w:w="100" w:type="dxa"/>
      </w:tblCellMar>
    </w:tblPr>
  </w:style>
  <w:style w:type="table" w:customStyle="1" w:styleId="Style24">
    <w:name w:val="_Style 24"/>
    <w:basedOn w:val="NormalTable0"/>
    <w:qFormat/>
    <w:tblPr>
      <w:tblCellMar>
        <w:top w:w="100" w:type="dxa"/>
        <w:left w:w="100" w:type="dxa"/>
        <w:bottom w:w="100" w:type="dxa"/>
        <w:right w:w="100" w:type="dxa"/>
      </w:tblCellMar>
    </w:tblPr>
  </w:style>
  <w:style w:type="character" w:customStyle="1" w:styleId="EncabezadoCar">
    <w:name w:val="Encabezado Car"/>
    <w:basedOn w:val="Fuentedeprrafopredeter"/>
    <w:link w:val="Encabezado"/>
    <w:uiPriority w:val="99"/>
    <w:qFormat/>
  </w:style>
  <w:style w:type="character" w:customStyle="1" w:styleId="PiedepginaCar">
    <w:name w:val="Pie de página Car"/>
    <w:basedOn w:val="Fuentedeprrafopredeter"/>
    <w:link w:val="Piedepgina"/>
    <w:uiPriority w:val="99"/>
    <w:qFormat/>
  </w:style>
  <w:style w:type="character" w:customStyle="1" w:styleId="Listavistosa-nfasis1Car">
    <w:name w:val="Lista vistosa - Énfasis 1 Car"/>
    <w:uiPriority w:val="34"/>
    <w:qFormat/>
    <w:rPr>
      <w:rFonts w:ascii="Arial" w:hAnsi="Arial"/>
      <w:b/>
      <w:sz w:val="24"/>
      <w:szCs w:val="24"/>
      <w:lang w:eastAsia="es-ES"/>
    </w:rPr>
  </w:style>
  <w:style w:type="table" w:styleId="Listavistosa-nfasis1">
    <w:name w:val="Colorful List Accent 1"/>
    <w:basedOn w:val="NormalTable0"/>
    <w:uiPriority w:val="34"/>
    <w:semiHidden/>
    <w:unhideWhenUsed/>
    <w:qFormat/>
    <w:rPr>
      <w:b/>
      <w:sz w:val="24"/>
      <w:szCs w:val="24"/>
      <w:lang w:eastAsia="es-ES"/>
    </w:rPr>
    <w:tblPr/>
    <w:tcPr>
      <w:shd w:val="clear" w:color="auto" w:fill="EDF2F8" w:themeFill="accent1" w:themeFillTint="19"/>
    </w:tcPr>
    <w:tblStylePr w:type="firstRow">
      <w:tblPr/>
      <w:tcPr>
        <w:tcBorders>
          <w:bottom w:val="single" w:sz="12" w:space="0" w:color="FFFFFF" w:themeColor="background1"/>
        </w:tcBorders>
        <w:shd w:val="clear" w:color="auto" w:fill="9E3A38" w:themeFill="accent2" w:themeFillShade="CC"/>
      </w:tcPr>
    </w:tblStylePr>
    <w:tblStylePr w:type="lastRow">
      <w:tblPr/>
      <w:tcPr>
        <w:tcBorders>
          <w:top w:val="single" w:sz="12" w:space="0" w:color="000000" w:themeColor="text1"/>
        </w:tcBorders>
        <w:shd w:val="clear" w:color="auto" w:fill="FFFFFF" w:themeFill="background1"/>
      </w:tc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paragraph" w:styleId="Prrafodelista">
    <w:name w:val="List Paragraph"/>
    <w:basedOn w:val="Normal0"/>
    <w:uiPriority w:val="1"/>
    <w:qFormat/>
    <w:pPr>
      <w:ind w:left="720"/>
      <w:contextualSpacing/>
    </w:pPr>
  </w:style>
  <w:style w:type="character" w:customStyle="1" w:styleId="Mencinsinresolver1">
    <w:name w:val="Mención sin resolver1"/>
    <w:basedOn w:val="Fuentedeprrafopredeter"/>
    <w:uiPriority w:val="99"/>
    <w:semiHidden/>
    <w:unhideWhenUsed/>
    <w:qFormat/>
    <w:rPr>
      <w:color w:val="605E5C"/>
      <w:shd w:val="clear" w:color="auto" w:fill="E1DFDD"/>
    </w:rPr>
  </w:style>
  <w:style w:type="character" w:customStyle="1" w:styleId="TextodegloboCar">
    <w:name w:val="Texto de globo Car"/>
    <w:basedOn w:val="Fuentedeprrafopredeter"/>
    <w:link w:val="Textodeglobo"/>
    <w:uiPriority w:val="99"/>
    <w:semiHidden/>
    <w:rPr>
      <w:rFonts w:ascii="Times New Roman" w:hAnsi="Times New Roman" w:cs="Times New Roman"/>
      <w:sz w:val="18"/>
      <w:szCs w:val="18"/>
    </w:rPr>
  </w:style>
  <w:style w:type="character" w:customStyle="1" w:styleId="TextocomentarioCar">
    <w:name w:val="Texto comentario Car"/>
    <w:basedOn w:val="Fuentedeprrafopredeter"/>
    <w:link w:val="Textocomentario"/>
    <w:uiPriority w:val="99"/>
    <w:semiHidden/>
    <w:qFormat/>
    <w:rPr>
      <w:sz w:val="20"/>
      <w:szCs w:val="20"/>
    </w:rPr>
  </w:style>
  <w:style w:type="character" w:customStyle="1" w:styleId="AsuntodelcomentarioCar">
    <w:name w:val="Asunto del comentario Car"/>
    <w:basedOn w:val="TextocomentarioCar"/>
    <w:link w:val="Asuntodelcomentario"/>
    <w:uiPriority w:val="99"/>
    <w:semiHidden/>
    <w:qFormat/>
    <w:rPr>
      <w:b/>
      <w:bCs/>
      <w:sz w:val="20"/>
      <w:szCs w:val="20"/>
    </w:rPr>
  </w:style>
  <w:style w:type="table" w:customStyle="1" w:styleId="Style44">
    <w:name w:val="_Style 44"/>
    <w:basedOn w:val="TableNormal"/>
    <w:qFormat/>
    <w:rPr>
      <w:b/>
      <w:sz w:val="24"/>
      <w:szCs w:val="24"/>
    </w:rPr>
    <w:tblPr>
      <w:tblCellMar>
        <w:left w:w="115" w:type="dxa"/>
        <w:right w:w="115" w:type="dxa"/>
      </w:tblCellMar>
    </w:tblPr>
    <w:tcPr>
      <w:shd w:val="clear" w:color="auto" w:fill="EDF2F8"/>
    </w:tcPr>
  </w:style>
  <w:style w:type="table" w:customStyle="1" w:styleId="Style45">
    <w:name w:val="_Style 45"/>
    <w:basedOn w:val="TableNormal"/>
    <w:qFormat/>
    <w:rPr>
      <w:b/>
      <w:sz w:val="24"/>
      <w:szCs w:val="24"/>
    </w:rPr>
    <w:tblPr>
      <w:tblCellMar>
        <w:left w:w="115" w:type="dxa"/>
        <w:right w:w="115" w:type="dxa"/>
      </w:tblCellMar>
    </w:tblPr>
    <w:tcPr>
      <w:shd w:val="clear" w:color="auto" w:fill="EDF2F8"/>
    </w:tcPr>
  </w:style>
  <w:style w:type="table" w:customStyle="1" w:styleId="Style46">
    <w:name w:val="_Style 46"/>
    <w:basedOn w:val="TableNormal"/>
    <w:qFormat/>
    <w:rPr>
      <w:b/>
      <w:sz w:val="24"/>
      <w:szCs w:val="24"/>
    </w:rPr>
    <w:tblPr>
      <w:tblCellMar>
        <w:left w:w="115" w:type="dxa"/>
        <w:right w:w="115" w:type="dxa"/>
      </w:tblCellMar>
    </w:tblPr>
    <w:tcPr>
      <w:shd w:val="clear" w:color="auto" w:fill="EDF2F8"/>
    </w:tcPr>
  </w:style>
  <w:style w:type="table" w:customStyle="1" w:styleId="Style47">
    <w:name w:val="_Style 47"/>
    <w:basedOn w:val="TableNormal"/>
    <w:qFormat/>
    <w:rPr>
      <w:b/>
      <w:sz w:val="24"/>
      <w:szCs w:val="24"/>
    </w:rPr>
    <w:tblPr>
      <w:tblCellMar>
        <w:left w:w="115" w:type="dxa"/>
        <w:right w:w="115" w:type="dxa"/>
      </w:tblCellMar>
    </w:tblPr>
    <w:tcPr>
      <w:shd w:val="clear" w:color="auto" w:fill="EDF2F8"/>
    </w:tcPr>
  </w:style>
  <w:style w:type="table" w:customStyle="1" w:styleId="Style48">
    <w:name w:val="_Style 48"/>
    <w:basedOn w:val="TableNormal"/>
    <w:tblPr>
      <w:tblCellMar>
        <w:left w:w="70" w:type="dxa"/>
        <w:right w:w="70" w:type="dxa"/>
      </w:tblCellMar>
    </w:tblPr>
  </w:style>
  <w:style w:type="table" w:customStyle="1" w:styleId="Style49">
    <w:name w:val="_Style 49"/>
    <w:basedOn w:val="TableNormal"/>
    <w:qFormat/>
    <w:tblPr>
      <w:tblCellMar>
        <w:top w:w="15" w:type="dxa"/>
        <w:left w:w="15" w:type="dxa"/>
        <w:bottom w:w="15" w:type="dxa"/>
        <w:right w:w="15" w:type="dxa"/>
      </w:tblCellMar>
    </w:tblPr>
  </w:style>
  <w:style w:type="table" w:customStyle="1" w:styleId="Style50">
    <w:name w:val="_Style 50"/>
    <w:basedOn w:val="TableNormal"/>
    <w:qFormat/>
    <w:tblPr>
      <w:tblCellMar>
        <w:top w:w="15" w:type="dxa"/>
        <w:left w:w="15" w:type="dxa"/>
        <w:bottom w:w="15" w:type="dxa"/>
        <w:right w:w="15" w:type="dxa"/>
      </w:tblCellMar>
    </w:tblPr>
  </w:style>
  <w:style w:type="table" w:customStyle="1" w:styleId="Style51">
    <w:name w:val="_Style 51"/>
    <w:basedOn w:val="TableNormal"/>
    <w:qFormat/>
    <w:tblPr>
      <w:tblCellMar>
        <w:left w:w="115" w:type="dxa"/>
        <w:right w:w="115" w:type="dxa"/>
      </w:tblCellMar>
    </w:tblPr>
  </w:style>
  <w:style w:type="table" w:customStyle="1" w:styleId="Style52">
    <w:name w:val="_Style 52"/>
    <w:basedOn w:val="TableNormal"/>
    <w:qFormat/>
    <w:tblPr>
      <w:tblCellMar>
        <w:left w:w="115" w:type="dxa"/>
        <w:right w:w="115" w:type="dxa"/>
      </w:tblCellMar>
    </w:tblPr>
  </w:style>
  <w:style w:type="table" w:customStyle="1" w:styleId="Style53">
    <w:name w:val="_Style 53"/>
    <w:basedOn w:val="TableNormal"/>
    <w:qFormat/>
    <w:rPr>
      <w:b/>
      <w:sz w:val="24"/>
      <w:szCs w:val="24"/>
    </w:rPr>
    <w:tblPr>
      <w:tblCellMar>
        <w:left w:w="115" w:type="dxa"/>
        <w:right w:w="115" w:type="dxa"/>
      </w:tblCellMar>
    </w:tblPr>
    <w:tcPr>
      <w:shd w:val="clear" w:color="auto" w:fill="EDF2F8"/>
    </w:tcPr>
  </w:style>
  <w:style w:type="table" w:customStyle="1" w:styleId="Style54">
    <w:name w:val="_Style 54"/>
    <w:basedOn w:val="TableNormal"/>
    <w:qFormat/>
    <w:rPr>
      <w:b/>
      <w:sz w:val="24"/>
      <w:szCs w:val="24"/>
    </w:rPr>
    <w:tblPr>
      <w:tblCellMar>
        <w:left w:w="115" w:type="dxa"/>
        <w:right w:w="115" w:type="dxa"/>
      </w:tblCellMar>
    </w:tblPr>
    <w:tcPr>
      <w:shd w:val="clear" w:color="auto" w:fill="EDF2F8"/>
    </w:tcPr>
  </w:style>
  <w:style w:type="table" w:customStyle="1" w:styleId="Style55">
    <w:name w:val="_Style 55"/>
    <w:basedOn w:val="TableNormal"/>
    <w:qFormat/>
    <w:rPr>
      <w:b/>
      <w:sz w:val="24"/>
      <w:szCs w:val="24"/>
    </w:rPr>
    <w:tblPr>
      <w:tblCellMar>
        <w:left w:w="115" w:type="dxa"/>
        <w:right w:w="115" w:type="dxa"/>
      </w:tblCellMar>
    </w:tblPr>
    <w:tcPr>
      <w:shd w:val="clear" w:color="auto" w:fill="EDF2F8"/>
    </w:tcPr>
  </w:style>
  <w:style w:type="table" w:customStyle="1" w:styleId="Style56">
    <w:name w:val="_Style 56"/>
    <w:basedOn w:val="TableNormal"/>
    <w:qFormat/>
    <w:rPr>
      <w:b/>
      <w:sz w:val="24"/>
      <w:szCs w:val="24"/>
    </w:rPr>
    <w:tblPr>
      <w:tblCellMar>
        <w:left w:w="115" w:type="dxa"/>
        <w:right w:w="115" w:type="dxa"/>
      </w:tblCellMar>
    </w:tblPr>
    <w:tcPr>
      <w:shd w:val="clear" w:color="auto" w:fill="EDF2F8"/>
    </w:tcPr>
  </w:style>
  <w:style w:type="table" w:customStyle="1" w:styleId="Style57">
    <w:name w:val="_Style 57"/>
    <w:basedOn w:val="TableNormal"/>
    <w:qFormat/>
    <w:rPr>
      <w:b/>
      <w:sz w:val="24"/>
      <w:szCs w:val="24"/>
    </w:rPr>
    <w:tblPr>
      <w:tblCellMar>
        <w:left w:w="115" w:type="dxa"/>
        <w:right w:w="115" w:type="dxa"/>
      </w:tblCellMar>
    </w:tblPr>
    <w:tcPr>
      <w:shd w:val="clear" w:color="auto" w:fill="EDF2F8"/>
    </w:tcPr>
  </w:style>
  <w:style w:type="table" w:customStyle="1" w:styleId="Style58">
    <w:name w:val="_Style 58"/>
    <w:basedOn w:val="TableNormal"/>
    <w:qFormat/>
    <w:rPr>
      <w:b/>
      <w:sz w:val="24"/>
      <w:szCs w:val="24"/>
    </w:rPr>
    <w:tblPr>
      <w:tblCellMar>
        <w:left w:w="115" w:type="dxa"/>
        <w:right w:w="115" w:type="dxa"/>
      </w:tblCellMar>
    </w:tblPr>
    <w:tcPr>
      <w:shd w:val="clear" w:color="auto" w:fill="EDF2F8"/>
    </w:tcPr>
  </w:style>
  <w:style w:type="table" w:customStyle="1" w:styleId="Style59">
    <w:name w:val="_Style 59"/>
    <w:basedOn w:val="TableNormal"/>
    <w:qFormat/>
    <w:rPr>
      <w:b/>
      <w:sz w:val="24"/>
      <w:szCs w:val="24"/>
    </w:rPr>
    <w:tblPr>
      <w:tblCellMar>
        <w:left w:w="115" w:type="dxa"/>
        <w:right w:w="115" w:type="dxa"/>
      </w:tblCellMar>
    </w:tblPr>
    <w:tcPr>
      <w:shd w:val="clear" w:color="auto" w:fill="EDF2F8"/>
    </w:tcPr>
  </w:style>
  <w:style w:type="table" w:customStyle="1" w:styleId="Style60">
    <w:name w:val="_Style 60"/>
    <w:basedOn w:val="TableNormal"/>
    <w:qFormat/>
    <w:rPr>
      <w:b/>
      <w:sz w:val="24"/>
      <w:szCs w:val="24"/>
    </w:rPr>
    <w:tblPr>
      <w:tblCellMar>
        <w:left w:w="115" w:type="dxa"/>
        <w:right w:w="115" w:type="dxa"/>
      </w:tblCellMar>
    </w:tblPr>
    <w:tcPr>
      <w:shd w:val="clear" w:color="auto" w:fill="EDF2F8"/>
    </w:tcPr>
  </w:style>
  <w:style w:type="table" w:customStyle="1" w:styleId="Style61">
    <w:name w:val="_Style 61"/>
    <w:basedOn w:val="TableNormal"/>
    <w:qFormat/>
    <w:rPr>
      <w:b/>
      <w:sz w:val="24"/>
      <w:szCs w:val="24"/>
    </w:rPr>
    <w:tblPr>
      <w:tblCellMar>
        <w:left w:w="115" w:type="dxa"/>
        <w:right w:w="115" w:type="dxa"/>
      </w:tblCellMar>
    </w:tblPr>
    <w:tcPr>
      <w:shd w:val="clear" w:color="auto" w:fill="EDF2F8"/>
    </w:tcPr>
  </w:style>
  <w:style w:type="character" w:customStyle="1" w:styleId="Mencinsinresolver2">
    <w:name w:val="Mención sin resolver2"/>
    <w:basedOn w:val="Fuentedeprrafopredeter"/>
    <w:uiPriority w:val="99"/>
    <w:semiHidden/>
    <w:unhideWhenUsed/>
    <w:qFormat/>
    <w:rPr>
      <w:color w:val="605E5C"/>
      <w:shd w:val="clear" w:color="auto" w:fill="E1DFDD"/>
    </w:rPr>
  </w:style>
  <w:style w:type="paragraph" w:customStyle="1" w:styleId="Subtitle0">
    <w:name w:val="Subtitle0"/>
    <w:basedOn w:val="Normal0"/>
    <w:next w:val="Normal0"/>
    <w:qFormat/>
    <w:pPr>
      <w:keepNext/>
      <w:keepLines/>
      <w:spacing w:after="320"/>
    </w:pPr>
    <w:rPr>
      <w:color w:val="666666"/>
      <w:sz w:val="30"/>
      <w:szCs w:val="30"/>
    </w:rPr>
  </w:style>
  <w:style w:type="table" w:customStyle="1" w:styleId="Style64">
    <w:name w:val="_Style 64"/>
    <w:basedOn w:val="NormalTable1"/>
    <w:qFormat/>
    <w:rPr>
      <w:b/>
      <w:sz w:val="24"/>
      <w:szCs w:val="24"/>
    </w:rPr>
    <w:tblPr>
      <w:tblCellMar>
        <w:left w:w="115" w:type="dxa"/>
        <w:right w:w="115" w:type="dxa"/>
      </w:tblCellMar>
    </w:tblPr>
    <w:tcPr>
      <w:shd w:val="clear" w:color="auto" w:fill="EDF2F8"/>
    </w:tcPr>
  </w:style>
  <w:style w:type="table" w:customStyle="1" w:styleId="Style65">
    <w:name w:val="_Style 65"/>
    <w:basedOn w:val="NormalTable1"/>
    <w:qFormat/>
    <w:rPr>
      <w:b/>
      <w:sz w:val="24"/>
      <w:szCs w:val="24"/>
    </w:rPr>
    <w:tblPr>
      <w:tblCellMar>
        <w:left w:w="115" w:type="dxa"/>
        <w:right w:w="115" w:type="dxa"/>
      </w:tblCellMar>
    </w:tblPr>
    <w:tcPr>
      <w:shd w:val="clear" w:color="auto" w:fill="EDF2F8"/>
    </w:tcPr>
  </w:style>
  <w:style w:type="table" w:customStyle="1" w:styleId="Style66">
    <w:name w:val="_Style 66"/>
    <w:basedOn w:val="NormalTable1"/>
    <w:qFormat/>
    <w:rPr>
      <w:b/>
      <w:sz w:val="24"/>
      <w:szCs w:val="24"/>
    </w:rPr>
    <w:tblPr>
      <w:tblCellMar>
        <w:left w:w="115" w:type="dxa"/>
        <w:right w:w="115" w:type="dxa"/>
      </w:tblCellMar>
    </w:tblPr>
    <w:tcPr>
      <w:shd w:val="clear" w:color="auto" w:fill="EDF2F8"/>
    </w:tcPr>
  </w:style>
  <w:style w:type="table" w:customStyle="1" w:styleId="Style67">
    <w:name w:val="_Style 67"/>
    <w:basedOn w:val="NormalTable1"/>
    <w:qFormat/>
    <w:rPr>
      <w:b/>
      <w:sz w:val="24"/>
      <w:szCs w:val="24"/>
    </w:rPr>
    <w:tblPr>
      <w:tblCellMar>
        <w:left w:w="115" w:type="dxa"/>
        <w:right w:w="115" w:type="dxa"/>
      </w:tblCellMar>
    </w:tblPr>
    <w:tcPr>
      <w:shd w:val="clear" w:color="auto" w:fill="EDF2F8"/>
    </w:tcPr>
  </w:style>
  <w:style w:type="table" w:customStyle="1" w:styleId="Style68">
    <w:name w:val="_Style 68"/>
    <w:basedOn w:val="NormalTable1"/>
    <w:tblPr>
      <w:tblCellMar>
        <w:top w:w="100" w:type="dxa"/>
        <w:left w:w="100" w:type="dxa"/>
        <w:bottom w:w="100" w:type="dxa"/>
        <w:right w:w="100" w:type="dxa"/>
      </w:tblCellMar>
    </w:tblPr>
  </w:style>
  <w:style w:type="table" w:customStyle="1" w:styleId="Style69">
    <w:name w:val="_Style 69"/>
    <w:basedOn w:val="NormalTable1"/>
    <w:qFormat/>
    <w:tblPr>
      <w:tblCellMar>
        <w:top w:w="100" w:type="dxa"/>
        <w:left w:w="100" w:type="dxa"/>
        <w:bottom w:w="100" w:type="dxa"/>
        <w:right w:w="100" w:type="dxa"/>
      </w:tblCellMar>
    </w:tblPr>
  </w:style>
  <w:style w:type="table" w:customStyle="1" w:styleId="Style70">
    <w:name w:val="_Style 70"/>
    <w:basedOn w:val="NormalTable1"/>
    <w:qFormat/>
    <w:rPr>
      <w:b/>
      <w:sz w:val="24"/>
      <w:szCs w:val="24"/>
    </w:rPr>
    <w:tblPr>
      <w:tblCellMar>
        <w:left w:w="115" w:type="dxa"/>
        <w:right w:w="115" w:type="dxa"/>
      </w:tblCellMar>
    </w:tblPr>
    <w:tcPr>
      <w:shd w:val="clear" w:color="auto" w:fill="EDF2F8"/>
    </w:tcPr>
  </w:style>
  <w:style w:type="table" w:customStyle="1" w:styleId="Style71">
    <w:name w:val="_Style 71"/>
    <w:basedOn w:val="NormalTable1"/>
    <w:qFormat/>
    <w:rPr>
      <w:b/>
      <w:sz w:val="24"/>
      <w:szCs w:val="24"/>
    </w:rPr>
    <w:tblPr>
      <w:tblCellMar>
        <w:left w:w="115" w:type="dxa"/>
        <w:right w:w="115" w:type="dxa"/>
      </w:tblCellMar>
    </w:tblPr>
    <w:tcPr>
      <w:shd w:val="clear" w:color="auto" w:fill="EDF2F8"/>
    </w:tcPr>
  </w:style>
  <w:style w:type="table" w:customStyle="1" w:styleId="Style72">
    <w:name w:val="_Style 72"/>
    <w:basedOn w:val="NormalTable1"/>
    <w:qFormat/>
    <w:rPr>
      <w:b/>
      <w:sz w:val="24"/>
      <w:szCs w:val="24"/>
    </w:rPr>
    <w:tblPr>
      <w:tblCellMar>
        <w:left w:w="115" w:type="dxa"/>
        <w:right w:w="115" w:type="dxa"/>
      </w:tblCellMar>
    </w:tblPr>
    <w:tcPr>
      <w:shd w:val="clear" w:color="auto" w:fill="EDF2F8"/>
    </w:tcPr>
  </w:style>
  <w:style w:type="table" w:customStyle="1" w:styleId="Style73">
    <w:name w:val="_Style 73"/>
    <w:basedOn w:val="NormalTable1"/>
    <w:qFormat/>
    <w:rPr>
      <w:b/>
      <w:sz w:val="24"/>
      <w:szCs w:val="24"/>
    </w:rPr>
    <w:tblPr>
      <w:tblCellMar>
        <w:left w:w="115" w:type="dxa"/>
        <w:right w:w="115" w:type="dxa"/>
      </w:tblCellMar>
    </w:tblPr>
    <w:tcPr>
      <w:shd w:val="clear" w:color="auto" w:fill="EDF2F8"/>
    </w:tcPr>
  </w:style>
  <w:style w:type="table" w:customStyle="1" w:styleId="Style74">
    <w:name w:val="_Style 74"/>
    <w:basedOn w:val="NormalTable1"/>
    <w:qFormat/>
    <w:rPr>
      <w:b/>
      <w:sz w:val="24"/>
      <w:szCs w:val="24"/>
    </w:rPr>
    <w:tblPr>
      <w:tblCellMar>
        <w:left w:w="115" w:type="dxa"/>
        <w:right w:w="115" w:type="dxa"/>
      </w:tblCellMar>
    </w:tblPr>
    <w:tcPr>
      <w:shd w:val="clear" w:color="auto" w:fill="EDF2F8"/>
    </w:tcPr>
  </w:style>
  <w:style w:type="paragraph" w:customStyle="1" w:styleId="Default">
    <w:name w:val="Default"/>
    <w:qFormat/>
    <w:pPr>
      <w:autoSpaceDE w:val="0"/>
      <w:autoSpaceDN w:val="0"/>
      <w:adjustRightInd w:val="0"/>
    </w:pPr>
    <w:rPr>
      <w:color w:val="000000"/>
      <w:sz w:val="24"/>
      <w:szCs w:val="24"/>
      <w:lang w:eastAsia="ja-JP"/>
    </w:rPr>
  </w:style>
  <w:style w:type="character" w:customStyle="1" w:styleId="Ttulo4Car">
    <w:name w:val="Título 4 Car"/>
    <w:basedOn w:val="Fuentedeprrafopredeter"/>
    <w:link w:val="Ttulo4"/>
    <w:uiPriority w:val="9"/>
    <w:semiHidden/>
    <w:rsid w:val="00FD7E7E"/>
    <w:rPr>
      <w:color w:val="666666"/>
      <w:sz w:val="24"/>
      <w:szCs w:val="24"/>
      <w:lang w:val="es-CO" w:eastAsia="ja-JP"/>
    </w:rPr>
  </w:style>
  <w:style w:type="character" w:styleId="Textoennegrita">
    <w:name w:val="Strong"/>
    <w:basedOn w:val="Fuentedeprrafopredeter"/>
    <w:uiPriority w:val="22"/>
    <w:qFormat/>
    <w:rsid w:val="00FD7E7E"/>
    <w:rPr>
      <w:b/>
      <w:bCs/>
    </w:rPr>
  </w:style>
  <w:style w:type="table" w:styleId="Tabladecuadrcula4-nfasis1">
    <w:name w:val="Grid Table 4 Accent 1"/>
    <w:basedOn w:val="Tablanormal"/>
    <w:uiPriority w:val="49"/>
    <w:rsid w:val="00BD5CE4"/>
    <w:rPr>
      <w:sz w:val="22"/>
      <w:szCs w:val="22"/>
      <w:lang w:val="es-CO" w:eastAsia="ja-JP"/>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Tabladecuadrcula4-nfasis5">
    <w:name w:val="Grid Table 4 Accent 5"/>
    <w:basedOn w:val="Tablanormal"/>
    <w:uiPriority w:val="49"/>
    <w:rsid w:val="00DA6E2C"/>
    <w:rPr>
      <w:sz w:val="22"/>
      <w:szCs w:val="22"/>
      <w:lang w:val="es-CO" w:eastAsia="ja-JP"/>
    </w:r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insideV w:val="nil"/>
        </w:tcBorders>
        <w:shd w:val="clear" w:color="auto" w:fill="4BACC6" w:themeFill="accent5"/>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Tablaconcuadrcula1">
    <w:name w:val="Tabla con cuadrícula1"/>
    <w:basedOn w:val="NormalTable0"/>
    <w:next w:val="Tablaconcuadrcula"/>
    <w:uiPriority w:val="39"/>
    <w:rsid w:val="0015101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aconcuadrcula2">
    <w:name w:val="Tabla con cuadrícula2"/>
    <w:basedOn w:val="NormalTable0"/>
    <w:next w:val="Tablaconcuadrcula"/>
    <w:uiPriority w:val="39"/>
    <w:rsid w:val="0023475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01872454">
      <w:bodyDiv w:val="1"/>
      <w:marLeft w:val="0"/>
      <w:marRight w:val="0"/>
      <w:marTop w:val="0"/>
      <w:marBottom w:val="0"/>
      <w:divBdr>
        <w:top w:val="none" w:sz="0" w:space="0" w:color="auto"/>
        <w:left w:val="none" w:sz="0" w:space="0" w:color="auto"/>
        <w:bottom w:val="none" w:sz="0" w:space="0" w:color="auto"/>
        <w:right w:val="none" w:sz="0" w:space="0" w:color="auto"/>
      </w:divBdr>
    </w:div>
    <w:div w:id="596057490">
      <w:bodyDiv w:val="1"/>
      <w:marLeft w:val="0"/>
      <w:marRight w:val="0"/>
      <w:marTop w:val="0"/>
      <w:marBottom w:val="0"/>
      <w:divBdr>
        <w:top w:val="none" w:sz="0" w:space="0" w:color="auto"/>
        <w:left w:val="none" w:sz="0" w:space="0" w:color="auto"/>
        <w:bottom w:val="none" w:sz="0" w:space="0" w:color="auto"/>
        <w:right w:val="none" w:sz="0" w:space="0" w:color="auto"/>
      </w:divBdr>
    </w:div>
    <w:div w:id="1143158006">
      <w:bodyDiv w:val="1"/>
      <w:marLeft w:val="0"/>
      <w:marRight w:val="0"/>
      <w:marTop w:val="0"/>
      <w:marBottom w:val="0"/>
      <w:divBdr>
        <w:top w:val="none" w:sz="0" w:space="0" w:color="auto"/>
        <w:left w:val="none" w:sz="0" w:space="0" w:color="auto"/>
        <w:bottom w:val="none" w:sz="0" w:space="0" w:color="auto"/>
        <w:right w:val="none" w:sz="0" w:space="0" w:color="auto"/>
      </w:divBdr>
      <w:divsChild>
        <w:div w:id="405348647">
          <w:marLeft w:val="547"/>
          <w:marRight w:val="0"/>
          <w:marTop w:val="0"/>
          <w:marBottom w:val="0"/>
          <w:divBdr>
            <w:top w:val="none" w:sz="0" w:space="0" w:color="auto"/>
            <w:left w:val="none" w:sz="0" w:space="0" w:color="auto"/>
            <w:bottom w:val="none" w:sz="0" w:space="0" w:color="auto"/>
            <w:right w:val="none" w:sz="0" w:space="0" w:color="auto"/>
          </w:divBdr>
        </w:div>
        <w:div w:id="422383621">
          <w:marLeft w:val="547"/>
          <w:marRight w:val="0"/>
          <w:marTop w:val="0"/>
          <w:marBottom w:val="0"/>
          <w:divBdr>
            <w:top w:val="none" w:sz="0" w:space="0" w:color="auto"/>
            <w:left w:val="none" w:sz="0" w:space="0" w:color="auto"/>
            <w:bottom w:val="none" w:sz="0" w:space="0" w:color="auto"/>
            <w:right w:val="none" w:sz="0" w:space="0" w:color="auto"/>
          </w:divBdr>
        </w:div>
        <w:div w:id="576869356">
          <w:marLeft w:val="547"/>
          <w:marRight w:val="0"/>
          <w:marTop w:val="0"/>
          <w:marBottom w:val="0"/>
          <w:divBdr>
            <w:top w:val="none" w:sz="0" w:space="0" w:color="auto"/>
            <w:left w:val="none" w:sz="0" w:space="0" w:color="auto"/>
            <w:bottom w:val="none" w:sz="0" w:space="0" w:color="auto"/>
            <w:right w:val="none" w:sz="0" w:space="0" w:color="auto"/>
          </w:divBdr>
        </w:div>
        <w:div w:id="739595398">
          <w:marLeft w:val="1166"/>
          <w:marRight w:val="0"/>
          <w:marTop w:val="0"/>
          <w:marBottom w:val="0"/>
          <w:divBdr>
            <w:top w:val="none" w:sz="0" w:space="0" w:color="auto"/>
            <w:left w:val="none" w:sz="0" w:space="0" w:color="auto"/>
            <w:bottom w:val="none" w:sz="0" w:space="0" w:color="auto"/>
            <w:right w:val="none" w:sz="0" w:space="0" w:color="auto"/>
          </w:divBdr>
        </w:div>
        <w:div w:id="782303906">
          <w:marLeft w:val="547"/>
          <w:marRight w:val="0"/>
          <w:marTop w:val="0"/>
          <w:marBottom w:val="0"/>
          <w:divBdr>
            <w:top w:val="none" w:sz="0" w:space="0" w:color="auto"/>
            <w:left w:val="none" w:sz="0" w:space="0" w:color="auto"/>
            <w:bottom w:val="none" w:sz="0" w:space="0" w:color="auto"/>
            <w:right w:val="none" w:sz="0" w:space="0" w:color="auto"/>
          </w:divBdr>
        </w:div>
        <w:div w:id="1262645705">
          <w:marLeft w:val="1166"/>
          <w:marRight w:val="0"/>
          <w:marTop w:val="0"/>
          <w:marBottom w:val="0"/>
          <w:divBdr>
            <w:top w:val="none" w:sz="0" w:space="0" w:color="auto"/>
            <w:left w:val="none" w:sz="0" w:space="0" w:color="auto"/>
            <w:bottom w:val="none" w:sz="0" w:space="0" w:color="auto"/>
            <w:right w:val="none" w:sz="0" w:space="0" w:color="auto"/>
          </w:divBdr>
        </w:div>
        <w:div w:id="1832141107">
          <w:marLeft w:val="1166"/>
          <w:marRight w:val="0"/>
          <w:marTop w:val="0"/>
          <w:marBottom w:val="0"/>
          <w:divBdr>
            <w:top w:val="none" w:sz="0" w:space="0" w:color="auto"/>
            <w:left w:val="none" w:sz="0" w:space="0" w:color="auto"/>
            <w:bottom w:val="none" w:sz="0" w:space="0" w:color="auto"/>
            <w:right w:val="none" w:sz="0" w:space="0" w:color="auto"/>
          </w:divBdr>
        </w:div>
        <w:div w:id="2124379313">
          <w:marLeft w:val="1166"/>
          <w:marRight w:val="0"/>
          <w:marTop w:val="0"/>
          <w:marBottom w:val="0"/>
          <w:divBdr>
            <w:top w:val="none" w:sz="0" w:space="0" w:color="auto"/>
            <w:left w:val="none" w:sz="0" w:space="0" w:color="auto"/>
            <w:bottom w:val="none" w:sz="0" w:space="0" w:color="auto"/>
            <w:right w:val="none" w:sz="0" w:space="0" w:color="auto"/>
          </w:divBdr>
        </w:div>
      </w:divsChild>
    </w:div>
    <w:div w:id="1292133169">
      <w:bodyDiv w:val="1"/>
      <w:marLeft w:val="0"/>
      <w:marRight w:val="0"/>
      <w:marTop w:val="0"/>
      <w:marBottom w:val="0"/>
      <w:divBdr>
        <w:top w:val="none" w:sz="0" w:space="0" w:color="auto"/>
        <w:left w:val="none" w:sz="0" w:space="0" w:color="auto"/>
        <w:bottom w:val="none" w:sz="0" w:space="0" w:color="auto"/>
        <w:right w:val="none" w:sz="0" w:space="0" w:color="auto"/>
      </w:divBdr>
    </w:div>
    <w:div w:id="1524510002">
      <w:bodyDiv w:val="1"/>
      <w:marLeft w:val="0"/>
      <w:marRight w:val="0"/>
      <w:marTop w:val="0"/>
      <w:marBottom w:val="0"/>
      <w:divBdr>
        <w:top w:val="none" w:sz="0" w:space="0" w:color="auto"/>
        <w:left w:val="none" w:sz="0" w:space="0" w:color="auto"/>
        <w:bottom w:val="none" w:sz="0" w:space="0" w:color="auto"/>
        <w:right w:val="none" w:sz="0" w:space="0" w:color="auto"/>
      </w:divBdr>
    </w:div>
    <w:div w:id="1842770243">
      <w:bodyDiv w:val="1"/>
      <w:marLeft w:val="0"/>
      <w:marRight w:val="0"/>
      <w:marTop w:val="0"/>
      <w:marBottom w:val="0"/>
      <w:divBdr>
        <w:top w:val="none" w:sz="0" w:space="0" w:color="auto"/>
        <w:left w:val="none" w:sz="0" w:space="0" w:color="auto"/>
        <w:bottom w:val="none" w:sz="0" w:space="0" w:color="auto"/>
        <w:right w:val="none" w:sz="0" w:space="0" w:color="auto"/>
      </w:divBdr>
    </w:div>
    <w:div w:id="1922371449">
      <w:bodyDiv w:val="1"/>
      <w:marLeft w:val="0"/>
      <w:marRight w:val="0"/>
      <w:marTop w:val="0"/>
      <w:marBottom w:val="0"/>
      <w:divBdr>
        <w:top w:val="none" w:sz="0" w:space="0" w:color="auto"/>
        <w:left w:val="none" w:sz="0" w:space="0" w:color="auto"/>
        <w:bottom w:val="none" w:sz="0" w:space="0" w:color="auto"/>
        <w:right w:val="none" w:sz="0" w:space="0" w:color="auto"/>
      </w:divBdr>
      <w:divsChild>
        <w:div w:id="1860658243">
          <w:marLeft w:val="547"/>
          <w:marRight w:val="0"/>
          <w:marTop w:val="0"/>
          <w:marBottom w:val="0"/>
          <w:divBdr>
            <w:top w:val="none" w:sz="0" w:space="0" w:color="auto"/>
            <w:left w:val="none" w:sz="0" w:space="0" w:color="auto"/>
            <w:bottom w:val="none" w:sz="0" w:space="0" w:color="auto"/>
            <w:right w:val="none" w:sz="0" w:space="0" w:color="auto"/>
          </w:divBdr>
        </w:div>
      </w:divsChild>
    </w:div>
    <w:div w:id="211081371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diagramLayout" Target="diagrams/layout1.xml"/><Relationship Id="rId18" Type="http://schemas.openxmlformats.org/officeDocument/2006/relationships/diagramLayout" Target="diagrams/layout2.xml"/><Relationship Id="rId26" Type="http://schemas.microsoft.com/office/2007/relationships/diagramDrawing" Target="diagrams/drawing3.xml"/><Relationship Id="rId39" Type="http://schemas.openxmlformats.org/officeDocument/2006/relationships/diagramLayout" Target="diagrams/layout5.xml"/><Relationship Id="rId21" Type="http://schemas.microsoft.com/office/2007/relationships/diagramDrawing" Target="diagrams/drawing2.xml"/><Relationship Id="rId34" Type="http://schemas.openxmlformats.org/officeDocument/2006/relationships/diagramLayout" Target="diagrams/layout4.xml"/><Relationship Id="rId42" Type="http://schemas.microsoft.com/office/2007/relationships/diagramDrawing" Target="diagrams/drawing5.xml"/><Relationship Id="rId47" Type="http://schemas.microsoft.com/office/2007/relationships/diagramDrawing" Target="diagrams/drawing6.xml"/><Relationship Id="rId50" Type="http://schemas.openxmlformats.org/officeDocument/2006/relationships/diagramQuickStyle" Target="diagrams/quickStyle7.xml"/><Relationship Id="rId55" Type="http://schemas.openxmlformats.org/officeDocument/2006/relationships/image" Target="media/image20.png"/><Relationship Id="rId63" Type="http://schemas.openxmlformats.org/officeDocument/2006/relationships/hyperlink" Target="https://www.minsalud.gov.co/salud/epidemiologia-demografia/Paginas/analisis-de-situacion-de-salud.aspx" TargetMode="External"/><Relationship Id="rId68" Type="http://schemas.openxmlformats.org/officeDocument/2006/relationships/footer" Target="footer1.xml"/><Relationship Id="rId7" Type="http://schemas.openxmlformats.org/officeDocument/2006/relationships/styles" Target="styles.xml"/><Relationship Id="rId71" Type="http://schemas.openxmlformats.org/officeDocument/2006/relationships/theme" Target="theme/theme1.xml"/><Relationship Id="rId2" Type="http://schemas.openxmlformats.org/officeDocument/2006/relationships/customXml" Target="../customXml/item2.xml"/><Relationship Id="rId16" Type="http://schemas.microsoft.com/office/2007/relationships/diagramDrawing" Target="diagrams/drawing1.xml"/><Relationship Id="rId29" Type="http://schemas.openxmlformats.org/officeDocument/2006/relationships/hyperlink" Target="https://servicios.adres.gov.co/BDUA/Consulta-Afiliados-BDUA" TargetMode="Externa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diagramQuickStyle" Target="diagrams/quickStyle3.xml"/><Relationship Id="rId32" Type="http://schemas.openxmlformats.org/officeDocument/2006/relationships/hyperlink" Target="https://www.minsalud.gov.co/salud/epidemiologia-demografia/Paginas/analisis-de-situacion-de-salud.aspx" TargetMode="External"/><Relationship Id="rId37" Type="http://schemas.microsoft.com/office/2007/relationships/diagramDrawing" Target="diagrams/drawing4.xml"/><Relationship Id="rId40" Type="http://schemas.openxmlformats.org/officeDocument/2006/relationships/diagramQuickStyle" Target="diagrams/quickStyle5.xml"/><Relationship Id="rId45" Type="http://schemas.openxmlformats.org/officeDocument/2006/relationships/diagramQuickStyle" Target="diagrams/quickStyle6.xml"/><Relationship Id="rId53" Type="http://schemas.openxmlformats.org/officeDocument/2006/relationships/comments" Target="comments.xml"/><Relationship Id="rId58" Type="http://schemas.openxmlformats.org/officeDocument/2006/relationships/hyperlink" Target="https://www.adres.gov.co/eps/bdua/Paginas/afiliados-por-departamento-y-estado-de-afiliacion.aspx" TargetMode="External"/><Relationship Id="rId66" Type="http://schemas.openxmlformats.org/officeDocument/2006/relationships/hyperlink" Target="https://www.funcionpublica.gov.co/eva/gestornormativo/norma.php?i=77813" TargetMode="External"/><Relationship Id="rId5" Type="http://schemas.openxmlformats.org/officeDocument/2006/relationships/customXml" Target="../customXml/item5.xml"/><Relationship Id="rId15" Type="http://schemas.openxmlformats.org/officeDocument/2006/relationships/diagramColors" Target="diagrams/colors1.xml"/><Relationship Id="rId23" Type="http://schemas.openxmlformats.org/officeDocument/2006/relationships/diagramLayout" Target="diagrams/layout3.xml"/><Relationship Id="rId28" Type="http://schemas.openxmlformats.org/officeDocument/2006/relationships/hyperlink" Target="https://www.sispro.gov.co/central-financiamiento/Pages/facturacion-electronica.aspx" TargetMode="External"/><Relationship Id="rId36" Type="http://schemas.openxmlformats.org/officeDocument/2006/relationships/diagramColors" Target="diagrams/colors4.xml"/><Relationship Id="rId49" Type="http://schemas.openxmlformats.org/officeDocument/2006/relationships/diagramLayout" Target="diagrams/layout7.xml"/><Relationship Id="rId57" Type="http://schemas.openxmlformats.org/officeDocument/2006/relationships/hyperlink" Target="https://servicios.adres.gov.co/BDUA/Consulta-Afiliados-BDUA" TargetMode="External"/><Relationship Id="rId61" Type="http://schemas.openxmlformats.org/officeDocument/2006/relationships/hyperlink" Target="https://www.minsalud.gov.co/Normatividad_Nuevo/Decreto%20No.%20441%20de%202022.pdf" TargetMode="External"/><Relationship Id="rId10" Type="http://schemas.openxmlformats.org/officeDocument/2006/relationships/footnotes" Target="footnotes.xml"/><Relationship Id="rId19" Type="http://schemas.openxmlformats.org/officeDocument/2006/relationships/diagramQuickStyle" Target="diagrams/quickStyle2.xml"/><Relationship Id="rId31" Type="http://schemas.openxmlformats.org/officeDocument/2006/relationships/hyperlink" Target="https://cuentadealtocosto.org/" TargetMode="External"/><Relationship Id="rId44" Type="http://schemas.openxmlformats.org/officeDocument/2006/relationships/diagramLayout" Target="diagrams/layout6.xml"/><Relationship Id="rId52" Type="http://schemas.microsoft.com/office/2007/relationships/diagramDrawing" Target="diagrams/drawing7.xml"/><Relationship Id="rId60" Type="http://schemas.openxmlformats.org/officeDocument/2006/relationships/hyperlink" Target="https://portalsivigila.ins.gov.co/" TargetMode="External"/><Relationship Id="rId65" Type="http://schemas.openxmlformats.org/officeDocument/2006/relationships/hyperlink" Target="https://www.funcionpublica.gov.co/eva/gestornormativo/norma.php?i=76014" TargetMode="Externa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diagramQuickStyle" Target="diagrams/quickStyle1.xml"/><Relationship Id="rId22" Type="http://schemas.openxmlformats.org/officeDocument/2006/relationships/diagramData" Target="diagrams/data3.xml"/><Relationship Id="rId27" Type="http://schemas.openxmlformats.org/officeDocument/2006/relationships/hyperlink" Target="https://www.sispro.gov.co/Pages/Home.aspx" TargetMode="External"/><Relationship Id="rId30" Type="http://schemas.openxmlformats.org/officeDocument/2006/relationships/hyperlink" Target="https://portalsivigila.ins.gov.co/Paginas/inicio.aspx" TargetMode="External"/><Relationship Id="rId35" Type="http://schemas.openxmlformats.org/officeDocument/2006/relationships/diagramQuickStyle" Target="diagrams/quickStyle4.xml"/><Relationship Id="rId43" Type="http://schemas.openxmlformats.org/officeDocument/2006/relationships/diagramData" Target="diagrams/data6.xml"/><Relationship Id="rId48" Type="http://schemas.openxmlformats.org/officeDocument/2006/relationships/diagramData" Target="diagrams/data7.xml"/><Relationship Id="rId56" Type="http://schemas.openxmlformats.org/officeDocument/2006/relationships/image" Target="media/image21.png"/><Relationship Id="rId64" Type="http://schemas.openxmlformats.org/officeDocument/2006/relationships/hyperlink" Target="https://www.sispro.gov.co/Pages/Home.aspx" TargetMode="External"/><Relationship Id="rId69" Type="http://schemas.openxmlformats.org/officeDocument/2006/relationships/fontTable" Target="fontTable.xml"/><Relationship Id="rId8" Type="http://schemas.openxmlformats.org/officeDocument/2006/relationships/settings" Target="settings.xml"/><Relationship Id="rId51" Type="http://schemas.openxmlformats.org/officeDocument/2006/relationships/diagramColors" Target="diagrams/colors7.xml"/><Relationship Id="rId3" Type="http://schemas.openxmlformats.org/officeDocument/2006/relationships/customXml" Target="../customXml/item3.xml"/><Relationship Id="rId12" Type="http://schemas.openxmlformats.org/officeDocument/2006/relationships/diagramData" Target="diagrams/data1.xml"/><Relationship Id="rId17" Type="http://schemas.openxmlformats.org/officeDocument/2006/relationships/diagramData" Target="diagrams/data2.xml"/><Relationship Id="rId25" Type="http://schemas.openxmlformats.org/officeDocument/2006/relationships/diagramColors" Target="diagrams/colors3.xml"/><Relationship Id="rId33" Type="http://schemas.openxmlformats.org/officeDocument/2006/relationships/diagramData" Target="diagrams/data4.xml"/><Relationship Id="rId38" Type="http://schemas.openxmlformats.org/officeDocument/2006/relationships/diagramData" Target="diagrams/data5.xml"/><Relationship Id="rId46" Type="http://schemas.openxmlformats.org/officeDocument/2006/relationships/diagramColors" Target="diagrams/colors6.xml"/><Relationship Id="rId59" Type="http://schemas.openxmlformats.org/officeDocument/2006/relationships/hyperlink" Target="https://cuentadealtocosto.org/" TargetMode="External"/><Relationship Id="rId67" Type="http://schemas.openxmlformats.org/officeDocument/2006/relationships/header" Target="header1.xml"/><Relationship Id="rId20" Type="http://schemas.openxmlformats.org/officeDocument/2006/relationships/diagramColors" Target="diagrams/colors2.xml"/><Relationship Id="rId41" Type="http://schemas.openxmlformats.org/officeDocument/2006/relationships/diagramColors" Target="diagrams/colors5.xml"/><Relationship Id="rId54" Type="http://schemas.microsoft.com/office/2011/relationships/commentsExtended" Target="commentsExtended.xml"/><Relationship Id="rId62" Type="http://schemas.openxmlformats.org/officeDocument/2006/relationships/hyperlink" Target="https://www.sispro.gov.co/central-financiamiento/Pages/facturacion-electronica.aspx" TargetMode="External"/><Relationship Id="rId70" Type="http://schemas.microsoft.com/office/2011/relationships/people" Target="people.xml"/></Relationships>
</file>

<file path=word/_rels/header1.xml.rels><?xml version="1.0" encoding="UTF-8" standalone="yes"?>
<Relationships xmlns="http://schemas.openxmlformats.org/package/2006/relationships"><Relationship Id="rId1" Type="http://schemas.openxmlformats.org/officeDocument/2006/relationships/image" Target="media/image22.png"/></Relationships>
</file>

<file path=word/diagrams/_rels/data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s>
</file>

<file path=word/diagrams/_rels/data2.xml.rels><?xml version="1.0" encoding="UTF-8" standalone="yes"?>
<Relationships xmlns="http://schemas.openxmlformats.org/package/2006/relationships"><Relationship Id="rId2" Type="http://schemas.openxmlformats.org/officeDocument/2006/relationships/image" Target="../media/image5.png"/><Relationship Id="rId1" Type="http://schemas.openxmlformats.org/officeDocument/2006/relationships/image" Target="../media/image4.png"/></Relationships>
</file>

<file path=word/diagrams/_rels/data4.xml.rels><?xml version="1.0" encoding="UTF-8" standalone="yes"?>
<Relationships xmlns="http://schemas.openxmlformats.org/package/2006/relationships"><Relationship Id="rId3" Type="http://schemas.openxmlformats.org/officeDocument/2006/relationships/image" Target="../media/image8.png"/><Relationship Id="rId2" Type="http://schemas.openxmlformats.org/officeDocument/2006/relationships/image" Target="../media/image7.png"/><Relationship Id="rId1" Type="http://schemas.openxmlformats.org/officeDocument/2006/relationships/image" Target="../media/image6.png"/><Relationship Id="rId6" Type="http://schemas.openxmlformats.org/officeDocument/2006/relationships/image" Target="../media/image11.png"/><Relationship Id="rId5" Type="http://schemas.openxmlformats.org/officeDocument/2006/relationships/image" Target="../media/image10.png"/><Relationship Id="rId4" Type="http://schemas.openxmlformats.org/officeDocument/2006/relationships/image" Target="../media/image9.png"/></Relationships>
</file>

<file path=word/diagrams/_rels/data5.xml.rels><?xml version="1.0" encoding="UTF-8" standalone="yes"?>
<Relationships xmlns="http://schemas.openxmlformats.org/package/2006/relationships"><Relationship Id="rId2" Type="http://schemas.openxmlformats.org/officeDocument/2006/relationships/image" Target="../media/image13.png"/><Relationship Id="rId1" Type="http://schemas.openxmlformats.org/officeDocument/2006/relationships/image" Target="../media/image12.png"/></Relationships>
</file>

<file path=word/diagrams/_rels/data7.xml.rels><?xml version="1.0" encoding="UTF-8" standalone="yes"?>
<Relationships xmlns="http://schemas.openxmlformats.org/package/2006/relationships"><Relationship Id="rId3" Type="http://schemas.openxmlformats.org/officeDocument/2006/relationships/image" Target="../media/image16.png"/><Relationship Id="rId2" Type="http://schemas.openxmlformats.org/officeDocument/2006/relationships/image" Target="../media/image15.png"/><Relationship Id="rId1" Type="http://schemas.openxmlformats.org/officeDocument/2006/relationships/image" Target="../media/image14.png"/><Relationship Id="rId6" Type="http://schemas.openxmlformats.org/officeDocument/2006/relationships/image" Target="../media/image19.png"/><Relationship Id="rId5" Type="http://schemas.openxmlformats.org/officeDocument/2006/relationships/image" Target="../media/image18.png"/><Relationship Id="rId4" Type="http://schemas.openxmlformats.org/officeDocument/2006/relationships/image" Target="../media/image17.png"/></Relationships>
</file>

<file path=word/diagrams/_rels/drawing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s>
</file>

<file path=word/diagrams/_rels/drawing2.xml.rels><?xml version="1.0" encoding="UTF-8" standalone="yes"?>
<Relationships xmlns="http://schemas.openxmlformats.org/package/2006/relationships"><Relationship Id="rId2" Type="http://schemas.openxmlformats.org/officeDocument/2006/relationships/image" Target="../media/image5.png"/><Relationship Id="rId1" Type="http://schemas.openxmlformats.org/officeDocument/2006/relationships/image" Target="../media/image4.png"/></Relationships>
</file>

<file path=word/diagrams/_rels/drawing4.xml.rels><?xml version="1.0" encoding="UTF-8" standalone="yes"?>
<Relationships xmlns="http://schemas.openxmlformats.org/package/2006/relationships"><Relationship Id="rId3" Type="http://schemas.openxmlformats.org/officeDocument/2006/relationships/image" Target="../media/image8.png"/><Relationship Id="rId2" Type="http://schemas.openxmlformats.org/officeDocument/2006/relationships/image" Target="../media/image7.png"/><Relationship Id="rId1" Type="http://schemas.openxmlformats.org/officeDocument/2006/relationships/image" Target="../media/image6.png"/><Relationship Id="rId6" Type="http://schemas.openxmlformats.org/officeDocument/2006/relationships/image" Target="../media/image11.png"/><Relationship Id="rId5" Type="http://schemas.openxmlformats.org/officeDocument/2006/relationships/image" Target="../media/image10.png"/><Relationship Id="rId4" Type="http://schemas.openxmlformats.org/officeDocument/2006/relationships/image" Target="../media/image9.png"/></Relationships>
</file>

<file path=word/diagrams/_rels/drawing5.xml.rels><?xml version="1.0" encoding="UTF-8" standalone="yes"?>
<Relationships xmlns="http://schemas.openxmlformats.org/package/2006/relationships"><Relationship Id="rId2" Type="http://schemas.openxmlformats.org/officeDocument/2006/relationships/image" Target="../media/image13.png"/><Relationship Id="rId1" Type="http://schemas.openxmlformats.org/officeDocument/2006/relationships/image" Target="../media/image12.png"/></Relationships>
</file>

<file path=word/diagrams/_rels/drawing7.xml.rels><?xml version="1.0" encoding="UTF-8" standalone="yes"?>
<Relationships xmlns="http://schemas.openxmlformats.org/package/2006/relationships"><Relationship Id="rId3" Type="http://schemas.openxmlformats.org/officeDocument/2006/relationships/image" Target="../media/image16.png"/><Relationship Id="rId2" Type="http://schemas.openxmlformats.org/officeDocument/2006/relationships/image" Target="../media/image15.png"/><Relationship Id="rId1" Type="http://schemas.openxmlformats.org/officeDocument/2006/relationships/image" Target="../media/image14.png"/><Relationship Id="rId6" Type="http://schemas.openxmlformats.org/officeDocument/2006/relationships/image" Target="../media/image19.png"/><Relationship Id="rId5" Type="http://schemas.openxmlformats.org/officeDocument/2006/relationships/image" Target="../media/image18.png"/><Relationship Id="rId4" Type="http://schemas.openxmlformats.org/officeDocument/2006/relationships/image" Target="../media/image17.png"/></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colorful3">
  <dgm:title val=""/>
  <dgm:desc val=""/>
  <dgm:catLst>
    <dgm:cat type="colorful" pri="10300"/>
  </dgm:catLst>
  <dgm:styleLbl name="node0">
    <dgm:fillClrLst meth="repeat">
      <a:schemeClr val="accent2"/>
    </dgm:fillClrLst>
    <dgm:linClrLst meth="repeat">
      <a:schemeClr val="lt1"/>
    </dgm:linClrLst>
    <dgm:effectClrLst/>
    <dgm:txLinClrLst/>
    <dgm:txFillClrLst/>
    <dgm:txEffectClrLst/>
  </dgm:styleLbl>
  <dgm:styleLbl name="node1">
    <dgm:fillClrLst>
      <a:schemeClr val="accent3"/>
      <a:schemeClr val="accent4"/>
    </dgm:fillClrLst>
    <dgm:linClrLst meth="repeat">
      <a:schemeClr val="lt1"/>
    </dgm:linClrLst>
    <dgm:effectClrLst/>
    <dgm:txLinClrLst/>
    <dgm:txFillClrLst/>
    <dgm:txEffectClrLst/>
  </dgm:styleLbl>
  <dgm:styleLbl name="alignNode1">
    <dgm:fillClrLst>
      <a:schemeClr val="accent3"/>
      <a:schemeClr val="accent4"/>
    </dgm:fillClrLst>
    <dgm:linClrLst>
      <a:schemeClr val="accent3"/>
      <a:schemeClr val="accent4"/>
    </dgm:linClrLst>
    <dgm:effectClrLst/>
    <dgm:txLinClrLst/>
    <dgm:txFillClrLst/>
    <dgm:txEffectClrLst/>
  </dgm:styleLbl>
  <dgm:styleLbl name="lnNode1">
    <dgm:fillClrLst>
      <a:schemeClr val="accent3"/>
      <a:schemeClr val="accent4"/>
    </dgm:fillClrLst>
    <dgm:linClrLst meth="repeat">
      <a:schemeClr val="lt1"/>
    </dgm:linClrLst>
    <dgm:effectClrLst/>
    <dgm:txLinClrLst/>
    <dgm:txFillClrLst/>
    <dgm:txEffectClrLst/>
  </dgm:styleLbl>
  <dgm:styleLbl name="vennNode1">
    <dgm:fillClrLst>
      <a:schemeClr val="accent3">
        <a:alpha val="50000"/>
      </a:schemeClr>
      <a:schemeClr val="accent4">
        <a:alpha val="50000"/>
      </a:schemeClr>
    </dgm:fillClrLst>
    <dgm:linClrLst meth="repeat">
      <a:schemeClr val="lt1"/>
    </dgm:linClrLst>
    <dgm:effectClrLst/>
    <dgm:txLinClrLst/>
    <dgm:txFillClrLst/>
    <dgm:txEffectClrLst/>
  </dgm:styleLbl>
  <dgm:styleLbl name="node2">
    <dgm:fillClrLst>
      <a:schemeClr val="accent4"/>
    </dgm:fillClrLst>
    <dgm:linClrLst meth="repeat">
      <a:schemeClr val="lt1"/>
    </dgm:linClrLst>
    <dgm:effectClrLst/>
    <dgm:txLinClrLst/>
    <dgm:txFillClrLst/>
    <dgm:txEffectClrLst/>
  </dgm:styleLbl>
  <dgm:styleLbl name="node3">
    <dgm:fillClrLst>
      <a:schemeClr val="accent5"/>
    </dgm:fillClrLst>
    <dgm:linClrLst meth="repeat">
      <a:schemeClr val="lt1"/>
    </dgm:linClrLst>
    <dgm:effectClrLst/>
    <dgm:txLinClrLst/>
    <dgm:txFillClrLst/>
    <dgm:txEffectClrLst/>
  </dgm:styleLbl>
  <dgm:styleLbl name="node4">
    <dgm:fillClrLst>
      <a:schemeClr val="accent6"/>
    </dgm:fillClrLst>
    <dgm:linClrLst meth="repeat">
      <a:schemeClr val="lt1"/>
    </dgm:linClrLst>
    <dgm:effectClrLst/>
    <dgm:txLinClrLst/>
    <dgm:txFillClrLst/>
    <dgm:txEffectClrLst/>
  </dgm:styleLbl>
  <dgm:styleLbl name="fgImgPlace1">
    <dgm:fillClrLst>
      <a:schemeClr val="accent3">
        <a:tint val="50000"/>
      </a:schemeClr>
      <a:schemeClr val="accent4">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3">
        <a:tint val="50000"/>
      </a:schemeClr>
      <a:schemeClr val="accent4">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3">
        <a:tint val="50000"/>
      </a:schemeClr>
      <a:schemeClr val="accent4">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3"/>
      <a:schemeClr val="accent4"/>
    </dgm:fillClrLst>
    <dgm:linClrLst meth="repeat">
      <a:schemeClr val="lt1"/>
    </dgm:linClrLst>
    <dgm:effectClrLst/>
    <dgm:txLinClrLst/>
    <dgm:txFillClrLst/>
    <dgm:txEffectClrLst/>
  </dgm:styleLbl>
  <dgm:styleLbl name="fgSibTrans2D1">
    <dgm:fillClrLst>
      <a:schemeClr val="accent3"/>
      <a:schemeClr val="accent4"/>
    </dgm:fillClrLst>
    <dgm:linClrLst meth="repeat">
      <a:schemeClr val="lt1"/>
    </dgm:linClrLst>
    <dgm:effectClrLst/>
    <dgm:txLinClrLst/>
    <dgm:txFillClrLst meth="repeat">
      <a:schemeClr val="lt1"/>
    </dgm:txFillClrLst>
    <dgm:txEffectClrLst/>
  </dgm:styleLbl>
  <dgm:styleLbl name="bgSibTrans2D1">
    <dgm:fillClrLst>
      <a:schemeClr val="accent3"/>
      <a:schemeClr val="accent4"/>
    </dgm:fillClrLst>
    <dgm:linClrLst meth="repeat">
      <a:schemeClr val="lt1"/>
    </dgm:linClrLst>
    <dgm:effectClrLst/>
    <dgm:txLinClrLst/>
    <dgm:txFillClrLst meth="repeat">
      <a:schemeClr val="lt1"/>
    </dgm:txFillClrLst>
    <dgm:txEffectClrLst/>
  </dgm:styleLbl>
  <dgm:styleLbl name="sibTrans1D1">
    <dgm:fillClrLst/>
    <dgm:linClrLst>
      <a:schemeClr val="accent3"/>
      <a:schemeClr val="accent4"/>
    </dgm:linClrLst>
    <dgm:effectClrLst/>
    <dgm:txLinClrLst/>
    <dgm:txFillClrLst meth="repeat">
      <a:schemeClr val="tx1"/>
    </dgm:txFillClrLst>
    <dgm:txEffectClrLst/>
  </dgm:styleLbl>
  <dgm:styleLbl name="callout">
    <dgm:fillClrLst meth="repeat">
      <a:schemeClr val="accent3"/>
    </dgm:fillClrLst>
    <dgm:linClrLst meth="repeat">
      <a:schemeClr val="accent3">
        <a:tint val="50000"/>
      </a:schemeClr>
    </dgm:linClrLst>
    <dgm:effectClrLst/>
    <dgm:txLinClrLst/>
    <dgm:txFillClrLst meth="repeat">
      <a:schemeClr val="tx1"/>
    </dgm:txFillClrLst>
    <dgm:txEffectClrLst/>
  </dgm:styleLbl>
  <dgm:styleLbl name="asst0">
    <dgm:fillClrLst meth="repeat">
      <a:schemeClr val="accent3"/>
    </dgm:fillClrLst>
    <dgm:linClrLst meth="repeat">
      <a:schemeClr val="lt1">
        <a:shade val="80000"/>
      </a:schemeClr>
    </dgm:linClrLst>
    <dgm:effectClrLst/>
    <dgm:txLinClrLst/>
    <dgm:txFillClrLst/>
    <dgm:txEffectClrLst/>
  </dgm:styleLbl>
  <dgm:styleLbl name="asst1">
    <dgm:fillClrLst meth="repeat">
      <a:schemeClr val="accent4"/>
    </dgm:fillClrLst>
    <dgm:linClrLst meth="repeat">
      <a:schemeClr val="lt1">
        <a:shade val="80000"/>
      </a:schemeClr>
    </dgm:linClrLst>
    <dgm:effectClrLst/>
    <dgm:txLinClrLst/>
    <dgm:txFillClrLst/>
    <dgm:txEffectClrLst/>
  </dgm:styleLbl>
  <dgm:styleLbl name="asst2">
    <dgm:fillClrLst>
      <a:schemeClr val="accent5"/>
    </dgm:fillClrLst>
    <dgm:linClrLst meth="repeat">
      <a:schemeClr val="lt1"/>
    </dgm:linClrLst>
    <dgm:effectClrLst/>
    <dgm:txLinClrLst/>
    <dgm:txFillClrLst/>
    <dgm:txEffectClrLst/>
  </dgm:styleLbl>
  <dgm:styleLbl name="asst3">
    <dgm:fillClrLst>
      <a:schemeClr val="accent6"/>
    </dgm:fillClrLst>
    <dgm:linClrLst meth="repeat">
      <a:schemeClr val="lt1"/>
    </dgm:linClrLst>
    <dgm:effectClrLst/>
    <dgm:txLinClrLst/>
    <dgm:txFillClrLst/>
    <dgm:txEffectClrLst/>
  </dgm:styleLbl>
  <dgm:styleLbl name="asst4">
    <dgm:fillClrLst>
      <a:schemeClr val="accent1"/>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3"/>
    </dgm:fillClrLst>
    <dgm:linClrLst meth="repeat">
      <a:schemeClr val="accent3"/>
    </dgm:linClrLst>
    <dgm:effectClrLst/>
    <dgm:txLinClrLst/>
    <dgm:txFillClrLst meth="repeat">
      <a:schemeClr val="tx1"/>
    </dgm:txFillClrLst>
    <dgm:txEffectClrLst/>
  </dgm:styleLbl>
  <dgm:styleLbl name="parChTrans1D2">
    <dgm:fillClrLst meth="repeat">
      <a:schemeClr val="accent2">
        <a:tint val="90000"/>
      </a:schemeClr>
    </dgm:fillClrLst>
    <dgm:linClrLst meth="repeat">
      <a:schemeClr val="accent4"/>
    </dgm:linClrLst>
    <dgm:effectClrLst/>
    <dgm:txLinClrLst/>
    <dgm:txFillClrLst meth="repeat">
      <a:schemeClr val="tx1"/>
    </dgm:txFillClrLst>
    <dgm:txEffectClrLst/>
  </dgm:styleLbl>
  <dgm:styleLbl name="parChTrans1D3">
    <dgm:fillClrLst meth="repeat">
      <a:schemeClr val="accent2">
        <a:tint val="70000"/>
      </a:schemeClr>
    </dgm:fillClrLst>
    <dgm:linClrLst meth="repeat">
      <a:schemeClr val="accent5"/>
    </dgm:linClrLst>
    <dgm:effectClrLst/>
    <dgm:txLinClrLst/>
    <dgm:txFillClrLst meth="repeat">
      <a:schemeClr val="tx1"/>
    </dgm:txFillClrLst>
    <dgm:txEffectClrLst/>
  </dgm:styleLbl>
  <dgm:styleLbl name="parChTrans1D4">
    <dgm:fillClrLst meth="repeat">
      <a:schemeClr val="accent6">
        <a:tint val="50000"/>
      </a:schemeClr>
    </dgm:fillClrLst>
    <dgm:linClrLst meth="repeat">
      <a:schemeClr val="accent6"/>
    </dgm:linClrLst>
    <dgm:effectClrLst/>
    <dgm:txLinClrLst/>
    <dgm:txFillClrLst meth="repeat">
      <a:schemeClr val="tx1"/>
    </dgm:txFillClrLst>
    <dgm:txEffectClrLst/>
  </dgm:styleLbl>
  <dgm:styleLbl name="f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conF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align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2"/>
    </dgm:linClrLst>
    <dgm:effectClrLst/>
    <dgm:txLinClrLst/>
    <dgm:txFillClrLst meth="repeat">
      <a:schemeClr val="dk1"/>
    </dgm:txFillClrLst>
    <dgm:txEffectClrLst/>
  </dgm:styleLbl>
  <dgm:styleLbl name="b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solidFgAcc1">
    <dgm:fillClrLst meth="repeat">
      <a:schemeClr val="lt1"/>
    </dgm:fillClrLst>
    <dgm:linClrLst>
      <a:schemeClr val="accent3"/>
      <a:schemeClr val="accent4"/>
    </dgm:linClrLst>
    <dgm:effectClrLst/>
    <dgm:txLinClrLst/>
    <dgm:txFillClrLst meth="repeat">
      <a:schemeClr val="dk1"/>
    </dgm:txFillClrLst>
    <dgm:txEffectClrLst/>
  </dgm:styleLbl>
  <dgm:styleLbl name="solidAlignAcc1">
    <dgm:fillClrLst meth="repeat">
      <a:schemeClr val="lt1"/>
    </dgm:fillClrLst>
    <dgm:linClrLst>
      <a:schemeClr val="accent3"/>
      <a:schemeClr val="accent4"/>
    </dgm:linClrLst>
    <dgm:effectClrLst/>
    <dgm:txLinClrLst/>
    <dgm:txFillClrLst meth="repeat">
      <a:schemeClr val="dk1"/>
    </dgm:txFillClrLst>
    <dgm:txEffectClrLst/>
  </dgm:styleLbl>
  <dgm:styleLbl name="solidBgAcc1">
    <dgm:fillClrLst meth="repeat">
      <a:schemeClr val="lt1"/>
    </dgm:fillClrLst>
    <dgm:linClrLst>
      <a:schemeClr val="accent3"/>
      <a:schemeClr val="accent4"/>
    </dgm:linClrLst>
    <dgm:effectClrLst/>
    <dgm:txLinClrLst/>
    <dgm:txFillClrLst meth="repeat">
      <a:schemeClr val="dk1"/>
    </dgm:txFillClrLst>
    <dgm:txEffectClrLst/>
  </dgm:styleLbl>
  <dgm:styleLbl name="fg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align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bg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2"/>
    </dgm:linClrLst>
    <dgm:effectClrLst/>
    <dgm:txLinClrLst/>
    <dgm:txFillClrLst meth="repeat">
      <a:schemeClr val="dk1"/>
    </dgm:txFillClrLst>
    <dgm:txEffectClrLst/>
  </dgm:styleLbl>
  <dgm:styleLbl name="fgAcc2">
    <dgm:fillClrLst meth="repeat">
      <a:schemeClr val="lt1">
        <a:alpha val="90000"/>
      </a:schemeClr>
    </dgm:fillClrLst>
    <dgm:linClrLst>
      <a:schemeClr val="accent4"/>
    </dgm:linClrLst>
    <dgm:effectClrLst/>
    <dgm:txLinClrLst/>
    <dgm:txFillClrLst meth="repeat">
      <a:schemeClr val="dk1"/>
    </dgm:txFillClrLst>
    <dgm:txEffectClrLst/>
  </dgm:styleLbl>
  <dgm:styleLbl name="fgAcc3">
    <dgm:fillClrLst meth="repeat">
      <a:schemeClr val="lt1">
        <a:alpha val="90000"/>
      </a:schemeClr>
    </dgm:fillClrLst>
    <dgm:linClrLst>
      <a:schemeClr val="accent5"/>
    </dgm:linClrLst>
    <dgm:effectClrLst/>
    <dgm:txLinClrLst/>
    <dgm:txFillClrLst meth="repeat">
      <a:schemeClr val="dk1"/>
    </dgm:txFillClrLst>
    <dgm:txEffectClrLst/>
  </dgm:styleLbl>
  <dgm:styleLbl name="fgAcc4">
    <dgm:fillClrLst meth="repeat">
      <a:schemeClr val="lt1">
        <a:alpha val="90000"/>
      </a:schemeClr>
    </dgm:fillClrLst>
    <dgm:linClrLst>
      <a:schemeClr val="accent6"/>
    </dgm:linClrLst>
    <dgm:effectClrLst/>
    <dgm:txLinClrLst/>
    <dgm:txFillClrLst meth="repeat">
      <a:schemeClr val="dk1"/>
    </dgm:txFillClrLst>
    <dgm:txEffectClrLst/>
  </dgm:styleLbl>
  <dgm:styleLbl name="bgShp">
    <dgm:fillClrLst meth="repeat">
      <a:schemeClr val="accent3">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3">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2">
        <a:tint val="50000"/>
        <a:alpha val="40000"/>
      </a:schemeClr>
    </dgm:fillClrLst>
    <dgm:linClrLst meth="repeat">
      <a:schemeClr val="accent3"/>
    </dgm:linClrLst>
    <dgm:effectClrLst/>
    <dgm:txLinClrLst/>
    <dgm:txFillClrLst meth="repeat">
      <a:schemeClr val="lt1"/>
    </dgm:txFillClrLst>
    <dgm:txEffectClrLst/>
  </dgm:styleLbl>
  <dgm:styleLbl name="fgShp">
    <dgm:fillClrLst meth="repeat">
      <a:schemeClr val="accent3">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colorful3">
  <dgm:title val=""/>
  <dgm:desc val=""/>
  <dgm:catLst>
    <dgm:cat type="colorful" pri="10300"/>
  </dgm:catLst>
  <dgm:styleLbl name="node0">
    <dgm:fillClrLst meth="repeat">
      <a:schemeClr val="accent2"/>
    </dgm:fillClrLst>
    <dgm:linClrLst meth="repeat">
      <a:schemeClr val="lt1"/>
    </dgm:linClrLst>
    <dgm:effectClrLst/>
    <dgm:txLinClrLst/>
    <dgm:txFillClrLst/>
    <dgm:txEffectClrLst/>
  </dgm:styleLbl>
  <dgm:styleLbl name="node1">
    <dgm:fillClrLst>
      <a:schemeClr val="accent3"/>
      <a:schemeClr val="accent4"/>
    </dgm:fillClrLst>
    <dgm:linClrLst meth="repeat">
      <a:schemeClr val="lt1"/>
    </dgm:linClrLst>
    <dgm:effectClrLst/>
    <dgm:txLinClrLst/>
    <dgm:txFillClrLst/>
    <dgm:txEffectClrLst/>
  </dgm:styleLbl>
  <dgm:styleLbl name="alignNode1">
    <dgm:fillClrLst>
      <a:schemeClr val="accent3"/>
      <a:schemeClr val="accent4"/>
    </dgm:fillClrLst>
    <dgm:linClrLst>
      <a:schemeClr val="accent3"/>
      <a:schemeClr val="accent4"/>
    </dgm:linClrLst>
    <dgm:effectClrLst/>
    <dgm:txLinClrLst/>
    <dgm:txFillClrLst/>
    <dgm:txEffectClrLst/>
  </dgm:styleLbl>
  <dgm:styleLbl name="lnNode1">
    <dgm:fillClrLst>
      <a:schemeClr val="accent3"/>
      <a:schemeClr val="accent4"/>
    </dgm:fillClrLst>
    <dgm:linClrLst meth="repeat">
      <a:schemeClr val="lt1"/>
    </dgm:linClrLst>
    <dgm:effectClrLst/>
    <dgm:txLinClrLst/>
    <dgm:txFillClrLst/>
    <dgm:txEffectClrLst/>
  </dgm:styleLbl>
  <dgm:styleLbl name="vennNode1">
    <dgm:fillClrLst>
      <a:schemeClr val="accent3">
        <a:alpha val="50000"/>
      </a:schemeClr>
      <a:schemeClr val="accent4">
        <a:alpha val="50000"/>
      </a:schemeClr>
    </dgm:fillClrLst>
    <dgm:linClrLst meth="repeat">
      <a:schemeClr val="lt1"/>
    </dgm:linClrLst>
    <dgm:effectClrLst/>
    <dgm:txLinClrLst/>
    <dgm:txFillClrLst/>
    <dgm:txEffectClrLst/>
  </dgm:styleLbl>
  <dgm:styleLbl name="node2">
    <dgm:fillClrLst>
      <a:schemeClr val="accent4"/>
    </dgm:fillClrLst>
    <dgm:linClrLst meth="repeat">
      <a:schemeClr val="lt1"/>
    </dgm:linClrLst>
    <dgm:effectClrLst/>
    <dgm:txLinClrLst/>
    <dgm:txFillClrLst/>
    <dgm:txEffectClrLst/>
  </dgm:styleLbl>
  <dgm:styleLbl name="node3">
    <dgm:fillClrLst>
      <a:schemeClr val="accent5"/>
    </dgm:fillClrLst>
    <dgm:linClrLst meth="repeat">
      <a:schemeClr val="lt1"/>
    </dgm:linClrLst>
    <dgm:effectClrLst/>
    <dgm:txLinClrLst/>
    <dgm:txFillClrLst/>
    <dgm:txEffectClrLst/>
  </dgm:styleLbl>
  <dgm:styleLbl name="node4">
    <dgm:fillClrLst>
      <a:schemeClr val="accent6"/>
    </dgm:fillClrLst>
    <dgm:linClrLst meth="repeat">
      <a:schemeClr val="lt1"/>
    </dgm:linClrLst>
    <dgm:effectClrLst/>
    <dgm:txLinClrLst/>
    <dgm:txFillClrLst/>
    <dgm:txEffectClrLst/>
  </dgm:styleLbl>
  <dgm:styleLbl name="fgImgPlace1">
    <dgm:fillClrLst>
      <a:schemeClr val="accent3">
        <a:tint val="50000"/>
      </a:schemeClr>
      <a:schemeClr val="accent4">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3">
        <a:tint val="50000"/>
      </a:schemeClr>
      <a:schemeClr val="accent4">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3">
        <a:tint val="50000"/>
      </a:schemeClr>
      <a:schemeClr val="accent4">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3"/>
      <a:schemeClr val="accent4"/>
    </dgm:fillClrLst>
    <dgm:linClrLst meth="repeat">
      <a:schemeClr val="lt1"/>
    </dgm:linClrLst>
    <dgm:effectClrLst/>
    <dgm:txLinClrLst/>
    <dgm:txFillClrLst/>
    <dgm:txEffectClrLst/>
  </dgm:styleLbl>
  <dgm:styleLbl name="fgSibTrans2D1">
    <dgm:fillClrLst>
      <a:schemeClr val="accent3"/>
      <a:schemeClr val="accent4"/>
    </dgm:fillClrLst>
    <dgm:linClrLst meth="repeat">
      <a:schemeClr val="lt1"/>
    </dgm:linClrLst>
    <dgm:effectClrLst/>
    <dgm:txLinClrLst/>
    <dgm:txFillClrLst meth="repeat">
      <a:schemeClr val="lt1"/>
    </dgm:txFillClrLst>
    <dgm:txEffectClrLst/>
  </dgm:styleLbl>
  <dgm:styleLbl name="bgSibTrans2D1">
    <dgm:fillClrLst>
      <a:schemeClr val="accent3"/>
      <a:schemeClr val="accent4"/>
    </dgm:fillClrLst>
    <dgm:linClrLst meth="repeat">
      <a:schemeClr val="lt1"/>
    </dgm:linClrLst>
    <dgm:effectClrLst/>
    <dgm:txLinClrLst/>
    <dgm:txFillClrLst meth="repeat">
      <a:schemeClr val="lt1"/>
    </dgm:txFillClrLst>
    <dgm:txEffectClrLst/>
  </dgm:styleLbl>
  <dgm:styleLbl name="sibTrans1D1">
    <dgm:fillClrLst/>
    <dgm:linClrLst>
      <a:schemeClr val="accent3"/>
      <a:schemeClr val="accent4"/>
    </dgm:linClrLst>
    <dgm:effectClrLst/>
    <dgm:txLinClrLst/>
    <dgm:txFillClrLst meth="repeat">
      <a:schemeClr val="tx1"/>
    </dgm:txFillClrLst>
    <dgm:txEffectClrLst/>
  </dgm:styleLbl>
  <dgm:styleLbl name="callout">
    <dgm:fillClrLst meth="repeat">
      <a:schemeClr val="accent3"/>
    </dgm:fillClrLst>
    <dgm:linClrLst meth="repeat">
      <a:schemeClr val="accent3">
        <a:tint val="50000"/>
      </a:schemeClr>
    </dgm:linClrLst>
    <dgm:effectClrLst/>
    <dgm:txLinClrLst/>
    <dgm:txFillClrLst meth="repeat">
      <a:schemeClr val="tx1"/>
    </dgm:txFillClrLst>
    <dgm:txEffectClrLst/>
  </dgm:styleLbl>
  <dgm:styleLbl name="asst0">
    <dgm:fillClrLst meth="repeat">
      <a:schemeClr val="accent3"/>
    </dgm:fillClrLst>
    <dgm:linClrLst meth="repeat">
      <a:schemeClr val="lt1">
        <a:shade val="80000"/>
      </a:schemeClr>
    </dgm:linClrLst>
    <dgm:effectClrLst/>
    <dgm:txLinClrLst/>
    <dgm:txFillClrLst/>
    <dgm:txEffectClrLst/>
  </dgm:styleLbl>
  <dgm:styleLbl name="asst1">
    <dgm:fillClrLst meth="repeat">
      <a:schemeClr val="accent4"/>
    </dgm:fillClrLst>
    <dgm:linClrLst meth="repeat">
      <a:schemeClr val="lt1">
        <a:shade val="80000"/>
      </a:schemeClr>
    </dgm:linClrLst>
    <dgm:effectClrLst/>
    <dgm:txLinClrLst/>
    <dgm:txFillClrLst/>
    <dgm:txEffectClrLst/>
  </dgm:styleLbl>
  <dgm:styleLbl name="asst2">
    <dgm:fillClrLst>
      <a:schemeClr val="accent5"/>
    </dgm:fillClrLst>
    <dgm:linClrLst meth="repeat">
      <a:schemeClr val="lt1"/>
    </dgm:linClrLst>
    <dgm:effectClrLst/>
    <dgm:txLinClrLst/>
    <dgm:txFillClrLst/>
    <dgm:txEffectClrLst/>
  </dgm:styleLbl>
  <dgm:styleLbl name="asst3">
    <dgm:fillClrLst>
      <a:schemeClr val="accent6"/>
    </dgm:fillClrLst>
    <dgm:linClrLst meth="repeat">
      <a:schemeClr val="lt1"/>
    </dgm:linClrLst>
    <dgm:effectClrLst/>
    <dgm:txLinClrLst/>
    <dgm:txFillClrLst/>
    <dgm:txEffectClrLst/>
  </dgm:styleLbl>
  <dgm:styleLbl name="asst4">
    <dgm:fillClrLst>
      <a:schemeClr val="accent1"/>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3"/>
    </dgm:fillClrLst>
    <dgm:linClrLst meth="repeat">
      <a:schemeClr val="accent3"/>
    </dgm:linClrLst>
    <dgm:effectClrLst/>
    <dgm:txLinClrLst/>
    <dgm:txFillClrLst meth="repeat">
      <a:schemeClr val="tx1"/>
    </dgm:txFillClrLst>
    <dgm:txEffectClrLst/>
  </dgm:styleLbl>
  <dgm:styleLbl name="parChTrans1D2">
    <dgm:fillClrLst meth="repeat">
      <a:schemeClr val="accent2">
        <a:tint val="90000"/>
      </a:schemeClr>
    </dgm:fillClrLst>
    <dgm:linClrLst meth="repeat">
      <a:schemeClr val="accent4"/>
    </dgm:linClrLst>
    <dgm:effectClrLst/>
    <dgm:txLinClrLst/>
    <dgm:txFillClrLst meth="repeat">
      <a:schemeClr val="tx1"/>
    </dgm:txFillClrLst>
    <dgm:txEffectClrLst/>
  </dgm:styleLbl>
  <dgm:styleLbl name="parChTrans1D3">
    <dgm:fillClrLst meth="repeat">
      <a:schemeClr val="accent2">
        <a:tint val="70000"/>
      </a:schemeClr>
    </dgm:fillClrLst>
    <dgm:linClrLst meth="repeat">
      <a:schemeClr val="accent5"/>
    </dgm:linClrLst>
    <dgm:effectClrLst/>
    <dgm:txLinClrLst/>
    <dgm:txFillClrLst meth="repeat">
      <a:schemeClr val="tx1"/>
    </dgm:txFillClrLst>
    <dgm:txEffectClrLst/>
  </dgm:styleLbl>
  <dgm:styleLbl name="parChTrans1D4">
    <dgm:fillClrLst meth="repeat">
      <a:schemeClr val="accent6">
        <a:tint val="50000"/>
      </a:schemeClr>
    </dgm:fillClrLst>
    <dgm:linClrLst meth="repeat">
      <a:schemeClr val="accent6"/>
    </dgm:linClrLst>
    <dgm:effectClrLst/>
    <dgm:txLinClrLst/>
    <dgm:txFillClrLst meth="repeat">
      <a:schemeClr val="tx1"/>
    </dgm:txFillClrLst>
    <dgm:txEffectClrLst/>
  </dgm:styleLbl>
  <dgm:styleLbl name="f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conF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align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2"/>
    </dgm:linClrLst>
    <dgm:effectClrLst/>
    <dgm:txLinClrLst/>
    <dgm:txFillClrLst meth="repeat">
      <a:schemeClr val="dk1"/>
    </dgm:txFillClrLst>
    <dgm:txEffectClrLst/>
  </dgm:styleLbl>
  <dgm:styleLbl name="b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solidFgAcc1">
    <dgm:fillClrLst meth="repeat">
      <a:schemeClr val="lt1"/>
    </dgm:fillClrLst>
    <dgm:linClrLst>
      <a:schemeClr val="accent3"/>
      <a:schemeClr val="accent4"/>
    </dgm:linClrLst>
    <dgm:effectClrLst/>
    <dgm:txLinClrLst/>
    <dgm:txFillClrLst meth="repeat">
      <a:schemeClr val="dk1"/>
    </dgm:txFillClrLst>
    <dgm:txEffectClrLst/>
  </dgm:styleLbl>
  <dgm:styleLbl name="solidAlignAcc1">
    <dgm:fillClrLst meth="repeat">
      <a:schemeClr val="lt1"/>
    </dgm:fillClrLst>
    <dgm:linClrLst>
      <a:schemeClr val="accent3"/>
      <a:schemeClr val="accent4"/>
    </dgm:linClrLst>
    <dgm:effectClrLst/>
    <dgm:txLinClrLst/>
    <dgm:txFillClrLst meth="repeat">
      <a:schemeClr val="dk1"/>
    </dgm:txFillClrLst>
    <dgm:txEffectClrLst/>
  </dgm:styleLbl>
  <dgm:styleLbl name="solidBgAcc1">
    <dgm:fillClrLst meth="repeat">
      <a:schemeClr val="lt1"/>
    </dgm:fillClrLst>
    <dgm:linClrLst>
      <a:schemeClr val="accent3"/>
      <a:schemeClr val="accent4"/>
    </dgm:linClrLst>
    <dgm:effectClrLst/>
    <dgm:txLinClrLst/>
    <dgm:txFillClrLst meth="repeat">
      <a:schemeClr val="dk1"/>
    </dgm:txFillClrLst>
    <dgm:txEffectClrLst/>
  </dgm:styleLbl>
  <dgm:styleLbl name="fg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align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bg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2"/>
    </dgm:linClrLst>
    <dgm:effectClrLst/>
    <dgm:txLinClrLst/>
    <dgm:txFillClrLst meth="repeat">
      <a:schemeClr val="dk1"/>
    </dgm:txFillClrLst>
    <dgm:txEffectClrLst/>
  </dgm:styleLbl>
  <dgm:styleLbl name="fgAcc2">
    <dgm:fillClrLst meth="repeat">
      <a:schemeClr val="lt1">
        <a:alpha val="90000"/>
      </a:schemeClr>
    </dgm:fillClrLst>
    <dgm:linClrLst>
      <a:schemeClr val="accent4"/>
    </dgm:linClrLst>
    <dgm:effectClrLst/>
    <dgm:txLinClrLst/>
    <dgm:txFillClrLst meth="repeat">
      <a:schemeClr val="dk1"/>
    </dgm:txFillClrLst>
    <dgm:txEffectClrLst/>
  </dgm:styleLbl>
  <dgm:styleLbl name="fgAcc3">
    <dgm:fillClrLst meth="repeat">
      <a:schemeClr val="lt1">
        <a:alpha val="90000"/>
      </a:schemeClr>
    </dgm:fillClrLst>
    <dgm:linClrLst>
      <a:schemeClr val="accent5"/>
    </dgm:linClrLst>
    <dgm:effectClrLst/>
    <dgm:txLinClrLst/>
    <dgm:txFillClrLst meth="repeat">
      <a:schemeClr val="dk1"/>
    </dgm:txFillClrLst>
    <dgm:txEffectClrLst/>
  </dgm:styleLbl>
  <dgm:styleLbl name="fgAcc4">
    <dgm:fillClrLst meth="repeat">
      <a:schemeClr val="lt1">
        <a:alpha val="90000"/>
      </a:schemeClr>
    </dgm:fillClrLst>
    <dgm:linClrLst>
      <a:schemeClr val="accent6"/>
    </dgm:linClrLst>
    <dgm:effectClrLst/>
    <dgm:txLinClrLst/>
    <dgm:txFillClrLst meth="repeat">
      <a:schemeClr val="dk1"/>
    </dgm:txFillClrLst>
    <dgm:txEffectClrLst/>
  </dgm:styleLbl>
  <dgm:styleLbl name="bgShp">
    <dgm:fillClrLst meth="repeat">
      <a:schemeClr val="accent3">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3">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2">
        <a:tint val="50000"/>
        <a:alpha val="40000"/>
      </a:schemeClr>
    </dgm:fillClrLst>
    <dgm:linClrLst meth="repeat">
      <a:schemeClr val="accent3"/>
    </dgm:linClrLst>
    <dgm:effectClrLst/>
    <dgm:txLinClrLst/>
    <dgm:txFillClrLst meth="repeat">
      <a:schemeClr val="lt1"/>
    </dgm:txFillClrLst>
    <dgm:txEffectClrLst/>
  </dgm:styleLbl>
  <dgm:styleLbl name="fgShp">
    <dgm:fillClrLst meth="repeat">
      <a:schemeClr val="accent3">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82547727-172E-4D01-85F0-A385617A4FF3}" type="doc">
      <dgm:prSet loTypeId="urn:microsoft.com/office/officeart/2005/8/layout/pList2" loCatId="picture" qsTypeId="urn:microsoft.com/office/officeart/2005/8/quickstyle/simple1" qsCatId="simple" csTypeId="urn:microsoft.com/office/officeart/2005/8/colors/accent1_2" csCatId="accent1" phldr="1"/>
      <dgm:spPr/>
      <dgm:t>
        <a:bodyPr/>
        <a:lstStyle/>
        <a:p>
          <a:endParaRPr lang="es-ES"/>
        </a:p>
      </dgm:t>
    </dgm:pt>
    <dgm:pt modelId="{B8F8C5F7-5DF2-4B4A-86C5-A28C90CDBEA9}">
      <dgm:prSet phldrT="[Texto]"/>
      <dgm:spPr/>
      <dgm:t>
        <a:bodyPr/>
        <a:lstStyle/>
        <a:p>
          <a:r>
            <a:rPr lang="es-CO" b="1">
              <a:latin typeface="Arial" panose="020B0604020202020204" pitchFamily="34" charset="0"/>
              <a:cs typeface="Arial" panose="020B0604020202020204" pitchFamily="34" charset="0"/>
            </a:rPr>
            <a:t>Necesidad: </a:t>
          </a:r>
          <a:r>
            <a:rPr lang="es-CO">
              <a:latin typeface="Arial" panose="020B0604020202020204" pitchFamily="34" charset="0"/>
              <a:cs typeface="Arial" panose="020B0604020202020204" pitchFamily="34" charset="0"/>
            </a:rPr>
            <a:t>corresponde a los servicios y tecnologías que una población requiere de acuerdo con sus condiciones de salud, riesgos y características epidemiológicas. Su identificación permite establecer las atenciones que pueden requerirse para responder a las condiciones de salud de la población objeto.</a:t>
          </a:r>
          <a:endParaRPr lang="es-ES">
            <a:latin typeface="Arial" panose="020B0604020202020204" pitchFamily="34" charset="0"/>
            <a:cs typeface="Arial" panose="020B0604020202020204" pitchFamily="34" charset="0"/>
          </a:endParaRPr>
        </a:p>
      </dgm:t>
    </dgm:pt>
    <dgm:pt modelId="{38EE86E5-C5E3-4A2C-B863-DFF5EBA25B5C}" type="parTrans" cxnId="{F78B2D32-47F6-4AAF-85CC-67B371612B7D}">
      <dgm:prSet/>
      <dgm:spPr/>
      <dgm:t>
        <a:bodyPr/>
        <a:lstStyle/>
        <a:p>
          <a:endParaRPr lang="es-ES">
            <a:latin typeface="Arial" panose="020B0604020202020204" pitchFamily="34" charset="0"/>
            <a:cs typeface="Arial" panose="020B0604020202020204" pitchFamily="34" charset="0"/>
          </a:endParaRPr>
        </a:p>
      </dgm:t>
    </dgm:pt>
    <dgm:pt modelId="{57C54026-C8C0-4BC9-ACAE-B081A7929C29}" type="sibTrans" cxnId="{F78B2D32-47F6-4AAF-85CC-67B371612B7D}">
      <dgm:prSet/>
      <dgm:spPr/>
      <dgm:t>
        <a:bodyPr/>
        <a:lstStyle/>
        <a:p>
          <a:endParaRPr lang="es-ES">
            <a:latin typeface="Arial" panose="020B0604020202020204" pitchFamily="34" charset="0"/>
            <a:cs typeface="Arial" panose="020B0604020202020204" pitchFamily="34" charset="0"/>
          </a:endParaRPr>
        </a:p>
      </dgm:t>
    </dgm:pt>
    <dgm:pt modelId="{4A01C894-0493-4F70-AC58-43254087AE62}">
      <dgm:prSet/>
      <dgm:spPr/>
      <dgm:t>
        <a:bodyPr/>
        <a:lstStyle/>
        <a:p>
          <a:r>
            <a:rPr lang="es-CO" b="1">
              <a:latin typeface="Arial" panose="020B0604020202020204" pitchFamily="34" charset="0"/>
              <a:cs typeface="Arial" panose="020B0604020202020204" pitchFamily="34" charset="0"/>
            </a:rPr>
            <a:t>Demanda: </a:t>
          </a:r>
          <a:r>
            <a:rPr lang="es-CO">
              <a:latin typeface="Arial" panose="020B0604020202020204" pitchFamily="34" charset="0"/>
              <a:cs typeface="Arial" panose="020B0604020202020204" pitchFamily="34" charset="0"/>
            </a:rPr>
            <a:t>corresponde a los servicios que la población solicita o utiliza efectivamente. Esta puede diferir de la necesidad debido a condiciones que facilitan o limitan el acceso a los servicios de salud. Por ello, la demanda observada no necesariamente representa la totalidad de las necesidades de la población.</a:t>
          </a:r>
          <a:endParaRPr lang="en-US">
            <a:latin typeface="Arial" panose="020B0604020202020204" pitchFamily="34" charset="0"/>
            <a:cs typeface="Arial" panose="020B0604020202020204" pitchFamily="34" charset="0"/>
          </a:endParaRPr>
        </a:p>
      </dgm:t>
    </dgm:pt>
    <dgm:pt modelId="{F5745751-5B56-44BC-8F5A-9BEC3435DD17}" type="parTrans" cxnId="{47BC35C9-EAF2-45D2-ACB4-6571F9BE6C0E}">
      <dgm:prSet/>
      <dgm:spPr/>
      <dgm:t>
        <a:bodyPr/>
        <a:lstStyle/>
        <a:p>
          <a:endParaRPr lang="es-ES">
            <a:latin typeface="Arial" panose="020B0604020202020204" pitchFamily="34" charset="0"/>
            <a:cs typeface="Arial" panose="020B0604020202020204" pitchFamily="34" charset="0"/>
          </a:endParaRPr>
        </a:p>
      </dgm:t>
    </dgm:pt>
    <dgm:pt modelId="{949F33D2-2F20-4893-8996-00A2FDF01EF1}" type="sibTrans" cxnId="{47BC35C9-EAF2-45D2-ACB4-6571F9BE6C0E}">
      <dgm:prSet/>
      <dgm:spPr/>
      <dgm:t>
        <a:bodyPr/>
        <a:lstStyle/>
        <a:p>
          <a:endParaRPr lang="es-ES">
            <a:latin typeface="Arial" panose="020B0604020202020204" pitchFamily="34" charset="0"/>
            <a:cs typeface="Arial" panose="020B0604020202020204" pitchFamily="34" charset="0"/>
          </a:endParaRPr>
        </a:p>
      </dgm:t>
    </dgm:pt>
    <dgm:pt modelId="{780844F5-D17A-45EB-9B11-1931B026E519}">
      <dgm:prSet/>
      <dgm:spPr/>
      <dgm:t>
        <a:bodyPr/>
        <a:lstStyle/>
        <a:p>
          <a:r>
            <a:rPr lang="es-CO" b="1">
              <a:latin typeface="Arial" panose="020B0604020202020204" pitchFamily="34" charset="0"/>
              <a:cs typeface="Arial" panose="020B0604020202020204" pitchFamily="34" charset="0"/>
            </a:rPr>
            <a:t>Riesgo: </a:t>
          </a:r>
          <a:r>
            <a:rPr lang="es-CO">
              <a:latin typeface="Arial" panose="020B0604020202020204" pitchFamily="34" charset="0"/>
              <a:cs typeface="Arial" panose="020B0604020202020204" pitchFamily="34" charset="0"/>
            </a:rPr>
            <a:t>se relaciona con la probabilidad de ocurrencia de un evento en salud y sus posibles consecuencias. Su análisis permite considerar condiciones que pueden modificar las necesidades de atención y las proyecciones realizadas en la nota técnica.</a:t>
          </a:r>
          <a:endParaRPr lang="en-US">
            <a:latin typeface="Arial" panose="020B0604020202020204" pitchFamily="34" charset="0"/>
            <a:cs typeface="Arial" panose="020B0604020202020204" pitchFamily="34" charset="0"/>
          </a:endParaRPr>
        </a:p>
      </dgm:t>
    </dgm:pt>
    <dgm:pt modelId="{F003AF1E-F33C-4BF2-8CB4-AD04469E7466}" type="parTrans" cxnId="{9EF791D1-75B6-44FA-A5A3-5F9D7C3F8294}">
      <dgm:prSet/>
      <dgm:spPr/>
      <dgm:t>
        <a:bodyPr/>
        <a:lstStyle/>
        <a:p>
          <a:endParaRPr lang="es-ES">
            <a:latin typeface="Arial" panose="020B0604020202020204" pitchFamily="34" charset="0"/>
            <a:cs typeface="Arial" panose="020B0604020202020204" pitchFamily="34" charset="0"/>
          </a:endParaRPr>
        </a:p>
      </dgm:t>
    </dgm:pt>
    <dgm:pt modelId="{41998336-4774-47F6-83C6-A59747D04FBC}" type="sibTrans" cxnId="{9EF791D1-75B6-44FA-A5A3-5F9D7C3F8294}">
      <dgm:prSet/>
      <dgm:spPr/>
      <dgm:t>
        <a:bodyPr/>
        <a:lstStyle/>
        <a:p>
          <a:endParaRPr lang="es-ES">
            <a:latin typeface="Arial" panose="020B0604020202020204" pitchFamily="34" charset="0"/>
            <a:cs typeface="Arial" panose="020B0604020202020204" pitchFamily="34" charset="0"/>
          </a:endParaRPr>
        </a:p>
      </dgm:t>
    </dgm:pt>
    <dgm:pt modelId="{CDDD7D44-8C0A-4DA4-AA6D-CC0745754B6B}" type="pres">
      <dgm:prSet presAssocID="{82547727-172E-4D01-85F0-A385617A4FF3}" presName="Name0" presStyleCnt="0">
        <dgm:presLayoutVars>
          <dgm:dir/>
          <dgm:resizeHandles val="exact"/>
        </dgm:presLayoutVars>
      </dgm:prSet>
      <dgm:spPr/>
      <dgm:t>
        <a:bodyPr/>
        <a:lstStyle/>
        <a:p>
          <a:endParaRPr lang="es-ES"/>
        </a:p>
      </dgm:t>
    </dgm:pt>
    <dgm:pt modelId="{21DB22F5-76F2-4791-9493-210D7F90DB0D}" type="pres">
      <dgm:prSet presAssocID="{82547727-172E-4D01-85F0-A385617A4FF3}" presName="bkgdShp" presStyleLbl="alignAccFollowNode1" presStyleIdx="0" presStyleCnt="1"/>
      <dgm:spPr/>
    </dgm:pt>
    <dgm:pt modelId="{551F0E3A-1882-4AF5-A676-B133366532EC}" type="pres">
      <dgm:prSet presAssocID="{82547727-172E-4D01-85F0-A385617A4FF3}" presName="linComp" presStyleCnt="0"/>
      <dgm:spPr/>
    </dgm:pt>
    <dgm:pt modelId="{C9067172-DA15-4BC9-B077-E673C9E76633}" type="pres">
      <dgm:prSet presAssocID="{B8F8C5F7-5DF2-4B4A-86C5-A28C90CDBEA9}" presName="compNode" presStyleCnt="0"/>
      <dgm:spPr/>
    </dgm:pt>
    <dgm:pt modelId="{A4DCBC81-41FE-4F65-B2D7-5A70A7E6FDE5}" type="pres">
      <dgm:prSet presAssocID="{B8F8C5F7-5DF2-4B4A-86C5-A28C90CDBEA9}" presName="node" presStyleLbl="node1" presStyleIdx="0" presStyleCnt="3">
        <dgm:presLayoutVars>
          <dgm:bulletEnabled val="1"/>
        </dgm:presLayoutVars>
      </dgm:prSet>
      <dgm:spPr/>
      <dgm:t>
        <a:bodyPr/>
        <a:lstStyle/>
        <a:p>
          <a:endParaRPr lang="es-ES"/>
        </a:p>
      </dgm:t>
    </dgm:pt>
    <dgm:pt modelId="{C53153BA-357A-4247-99DF-338E6A013F08}" type="pres">
      <dgm:prSet presAssocID="{B8F8C5F7-5DF2-4B4A-86C5-A28C90CDBEA9}" presName="invisiNode" presStyleLbl="node1" presStyleIdx="0" presStyleCnt="3"/>
      <dgm:spPr/>
    </dgm:pt>
    <dgm:pt modelId="{BD37B797-07EF-4A38-9025-BA09C0399223}" type="pres">
      <dgm:prSet presAssocID="{B8F8C5F7-5DF2-4B4A-86C5-A28C90CDBEA9}" presName="imagNode" presStyleLbl="fgImgPlace1" presStyleIdx="0" presStyleCnt="3"/>
      <dgm:spPr>
        <a:blipFill rotWithShape="1">
          <a:blip xmlns:r="http://schemas.openxmlformats.org/officeDocument/2006/relationships" r:embed="rId1"/>
          <a:stretch>
            <a:fillRect/>
          </a:stretch>
        </a:blipFill>
      </dgm:spPr>
    </dgm:pt>
    <dgm:pt modelId="{AF88EC6A-8566-492D-93CD-B70A239DFDDB}" type="pres">
      <dgm:prSet presAssocID="{57C54026-C8C0-4BC9-ACAE-B081A7929C29}" presName="sibTrans" presStyleLbl="sibTrans2D1" presStyleIdx="0" presStyleCnt="0"/>
      <dgm:spPr/>
      <dgm:t>
        <a:bodyPr/>
        <a:lstStyle/>
        <a:p>
          <a:endParaRPr lang="es-ES"/>
        </a:p>
      </dgm:t>
    </dgm:pt>
    <dgm:pt modelId="{07138740-3141-4EE9-A7E3-81A88A183AF6}" type="pres">
      <dgm:prSet presAssocID="{4A01C894-0493-4F70-AC58-43254087AE62}" presName="compNode" presStyleCnt="0"/>
      <dgm:spPr/>
    </dgm:pt>
    <dgm:pt modelId="{6C2DFC8C-61A3-4965-AF47-19DA63CBF778}" type="pres">
      <dgm:prSet presAssocID="{4A01C894-0493-4F70-AC58-43254087AE62}" presName="node" presStyleLbl="node1" presStyleIdx="1" presStyleCnt="3">
        <dgm:presLayoutVars>
          <dgm:bulletEnabled val="1"/>
        </dgm:presLayoutVars>
      </dgm:prSet>
      <dgm:spPr/>
      <dgm:t>
        <a:bodyPr/>
        <a:lstStyle/>
        <a:p>
          <a:endParaRPr lang="es-ES"/>
        </a:p>
      </dgm:t>
    </dgm:pt>
    <dgm:pt modelId="{2111D903-FDC7-4819-AD73-1C33EC9E57BC}" type="pres">
      <dgm:prSet presAssocID="{4A01C894-0493-4F70-AC58-43254087AE62}" presName="invisiNode" presStyleLbl="node1" presStyleIdx="1" presStyleCnt="3"/>
      <dgm:spPr/>
    </dgm:pt>
    <dgm:pt modelId="{7D8D4AE3-AFF5-4D79-AE15-386ADAE005C4}" type="pres">
      <dgm:prSet presAssocID="{4A01C894-0493-4F70-AC58-43254087AE62}" presName="imagNode" presStyleLbl="fgImgPlace1" presStyleIdx="1" presStyleCnt="3"/>
      <dgm:spPr>
        <a:blipFill rotWithShape="1">
          <a:blip xmlns:r="http://schemas.openxmlformats.org/officeDocument/2006/relationships" r:embed="rId2"/>
          <a:stretch>
            <a:fillRect/>
          </a:stretch>
        </a:blipFill>
      </dgm:spPr>
    </dgm:pt>
    <dgm:pt modelId="{8E9111A4-C31F-4DE2-85CE-06997CB8469C}" type="pres">
      <dgm:prSet presAssocID="{949F33D2-2F20-4893-8996-00A2FDF01EF1}" presName="sibTrans" presStyleLbl="sibTrans2D1" presStyleIdx="0" presStyleCnt="0"/>
      <dgm:spPr/>
      <dgm:t>
        <a:bodyPr/>
        <a:lstStyle/>
        <a:p>
          <a:endParaRPr lang="es-ES"/>
        </a:p>
      </dgm:t>
    </dgm:pt>
    <dgm:pt modelId="{31DCA797-3303-458A-9DC6-4096FE5D1B35}" type="pres">
      <dgm:prSet presAssocID="{780844F5-D17A-45EB-9B11-1931B026E519}" presName="compNode" presStyleCnt="0"/>
      <dgm:spPr/>
    </dgm:pt>
    <dgm:pt modelId="{BB87D699-7670-485C-980D-C9EF4D21D4FF}" type="pres">
      <dgm:prSet presAssocID="{780844F5-D17A-45EB-9B11-1931B026E519}" presName="node" presStyleLbl="node1" presStyleIdx="2" presStyleCnt="3">
        <dgm:presLayoutVars>
          <dgm:bulletEnabled val="1"/>
        </dgm:presLayoutVars>
      </dgm:prSet>
      <dgm:spPr/>
      <dgm:t>
        <a:bodyPr/>
        <a:lstStyle/>
        <a:p>
          <a:endParaRPr lang="es-ES"/>
        </a:p>
      </dgm:t>
    </dgm:pt>
    <dgm:pt modelId="{A185FC55-156B-4C7A-9E5C-79EED5736DEE}" type="pres">
      <dgm:prSet presAssocID="{780844F5-D17A-45EB-9B11-1931B026E519}" presName="invisiNode" presStyleLbl="node1" presStyleIdx="2" presStyleCnt="3"/>
      <dgm:spPr/>
    </dgm:pt>
    <dgm:pt modelId="{63A35042-B740-4AC9-9235-27981BD92812}" type="pres">
      <dgm:prSet presAssocID="{780844F5-D17A-45EB-9B11-1931B026E519}" presName="imagNode" presStyleLbl="fgImgPlace1" presStyleIdx="2" presStyleCnt="3"/>
      <dgm:spPr>
        <a:blipFill rotWithShape="1">
          <a:blip xmlns:r="http://schemas.openxmlformats.org/officeDocument/2006/relationships" r:embed="rId3"/>
          <a:stretch>
            <a:fillRect/>
          </a:stretch>
        </a:blipFill>
      </dgm:spPr>
    </dgm:pt>
  </dgm:ptLst>
  <dgm:cxnLst>
    <dgm:cxn modelId="{E90CAF67-8D85-41D8-9CD9-0519C1280127}" type="presOf" srcId="{4A01C894-0493-4F70-AC58-43254087AE62}" destId="{6C2DFC8C-61A3-4965-AF47-19DA63CBF778}" srcOrd="0" destOrd="0" presId="urn:microsoft.com/office/officeart/2005/8/layout/pList2"/>
    <dgm:cxn modelId="{F78B2D32-47F6-4AAF-85CC-67B371612B7D}" srcId="{82547727-172E-4D01-85F0-A385617A4FF3}" destId="{B8F8C5F7-5DF2-4B4A-86C5-A28C90CDBEA9}" srcOrd="0" destOrd="0" parTransId="{38EE86E5-C5E3-4A2C-B863-DFF5EBA25B5C}" sibTransId="{57C54026-C8C0-4BC9-ACAE-B081A7929C29}"/>
    <dgm:cxn modelId="{F0EA6DDB-06E4-4060-8641-E02914E3A81A}" type="presOf" srcId="{82547727-172E-4D01-85F0-A385617A4FF3}" destId="{CDDD7D44-8C0A-4DA4-AA6D-CC0745754B6B}" srcOrd="0" destOrd="0" presId="urn:microsoft.com/office/officeart/2005/8/layout/pList2"/>
    <dgm:cxn modelId="{31D720D1-F951-4E35-990E-1256B1134821}" type="presOf" srcId="{780844F5-D17A-45EB-9B11-1931B026E519}" destId="{BB87D699-7670-485C-980D-C9EF4D21D4FF}" srcOrd="0" destOrd="0" presId="urn:microsoft.com/office/officeart/2005/8/layout/pList2"/>
    <dgm:cxn modelId="{47BC35C9-EAF2-45D2-ACB4-6571F9BE6C0E}" srcId="{82547727-172E-4D01-85F0-A385617A4FF3}" destId="{4A01C894-0493-4F70-AC58-43254087AE62}" srcOrd="1" destOrd="0" parTransId="{F5745751-5B56-44BC-8F5A-9BEC3435DD17}" sibTransId="{949F33D2-2F20-4893-8996-00A2FDF01EF1}"/>
    <dgm:cxn modelId="{3549EC47-D1AE-405F-AE99-BA24D22A8019}" type="presOf" srcId="{57C54026-C8C0-4BC9-ACAE-B081A7929C29}" destId="{AF88EC6A-8566-492D-93CD-B70A239DFDDB}" srcOrd="0" destOrd="0" presId="urn:microsoft.com/office/officeart/2005/8/layout/pList2"/>
    <dgm:cxn modelId="{63A4506E-A446-4892-B677-7F7171ABEE87}" type="presOf" srcId="{949F33D2-2F20-4893-8996-00A2FDF01EF1}" destId="{8E9111A4-C31F-4DE2-85CE-06997CB8469C}" srcOrd="0" destOrd="0" presId="urn:microsoft.com/office/officeart/2005/8/layout/pList2"/>
    <dgm:cxn modelId="{9EF791D1-75B6-44FA-A5A3-5F9D7C3F8294}" srcId="{82547727-172E-4D01-85F0-A385617A4FF3}" destId="{780844F5-D17A-45EB-9B11-1931B026E519}" srcOrd="2" destOrd="0" parTransId="{F003AF1E-F33C-4BF2-8CB4-AD04469E7466}" sibTransId="{41998336-4774-47F6-83C6-A59747D04FBC}"/>
    <dgm:cxn modelId="{916C9BD7-C51B-453A-8728-EBC91FC751C7}" type="presOf" srcId="{B8F8C5F7-5DF2-4B4A-86C5-A28C90CDBEA9}" destId="{A4DCBC81-41FE-4F65-B2D7-5A70A7E6FDE5}" srcOrd="0" destOrd="0" presId="urn:microsoft.com/office/officeart/2005/8/layout/pList2"/>
    <dgm:cxn modelId="{8EBB5A97-3AA9-48C4-A76D-7E1AD016EA5D}" type="presParOf" srcId="{CDDD7D44-8C0A-4DA4-AA6D-CC0745754B6B}" destId="{21DB22F5-76F2-4791-9493-210D7F90DB0D}" srcOrd="0" destOrd="0" presId="urn:microsoft.com/office/officeart/2005/8/layout/pList2"/>
    <dgm:cxn modelId="{B22BEAAE-E879-4404-92CC-7607BDCB9DA1}" type="presParOf" srcId="{CDDD7D44-8C0A-4DA4-AA6D-CC0745754B6B}" destId="{551F0E3A-1882-4AF5-A676-B133366532EC}" srcOrd="1" destOrd="0" presId="urn:microsoft.com/office/officeart/2005/8/layout/pList2"/>
    <dgm:cxn modelId="{3C6D340B-66AA-424C-AEF3-804296B15BD7}" type="presParOf" srcId="{551F0E3A-1882-4AF5-A676-B133366532EC}" destId="{C9067172-DA15-4BC9-B077-E673C9E76633}" srcOrd="0" destOrd="0" presId="urn:microsoft.com/office/officeart/2005/8/layout/pList2"/>
    <dgm:cxn modelId="{90A30E57-0FA7-48D1-880F-B2BA64E86E63}" type="presParOf" srcId="{C9067172-DA15-4BC9-B077-E673C9E76633}" destId="{A4DCBC81-41FE-4F65-B2D7-5A70A7E6FDE5}" srcOrd="0" destOrd="0" presId="urn:microsoft.com/office/officeart/2005/8/layout/pList2"/>
    <dgm:cxn modelId="{55652FB5-04EC-4C83-AF06-2DB3500C54E5}" type="presParOf" srcId="{C9067172-DA15-4BC9-B077-E673C9E76633}" destId="{C53153BA-357A-4247-99DF-338E6A013F08}" srcOrd="1" destOrd="0" presId="urn:microsoft.com/office/officeart/2005/8/layout/pList2"/>
    <dgm:cxn modelId="{652BF603-5D86-49A5-82DA-6D2E3D233E87}" type="presParOf" srcId="{C9067172-DA15-4BC9-B077-E673C9E76633}" destId="{BD37B797-07EF-4A38-9025-BA09C0399223}" srcOrd="2" destOrd="0" presId="urn:microsoft.com/office/officeart/2005/8/layout/pList2"/>
    <dgm:cxn modelId="{D982BB11-A7D8-4C00-BF31-19BF84F76C36}" type="presParOf" srcId="{551F0E3A-1882-4AF5-A676-B133366532EC}" destId="{AF88EC6A-8566-492D-93CD-B70A239DFDDB}" srcOrd="1" destOrd="0" presId="urn:microsoft.com/office/officeart/2005/8/layout/pList2"/>
    <dgm:cxn modelId="{FED0AAB8-4EAD-41B8-A1A1-A7B193DD3C3F}" type="presParOf" srcId="{551F0E3A-1882-4AF5-A676-B133366532EC}" destId="{07138740-3141-4EE9-A7E3-81A88A183AF6}" srcOrd="2" destOrd="0" presId="urn:microsoft.com/office/officeart/2005/8/layout/pList2"/>
    <dgm:cxn modelId="{5EFF9F1E-70D7-4E01-BCEB-F8322FF027B0}" type="presParOf" srcId="{07138740-3141-4EE9-A7E3-81A88A183AF6}" destId="{6C2DFC8C-61A3-4965-AF47-19DA63CBF778}" srcOrd="0" destOrd="0" presId="urn:microsoft.com/office/officeart/2005/8/layout/pList2"/>
    <dgm:cxn modelId="{8FBDAB05-4ED4-4413-B6B9-AD40F7826DDA}" type="presParOf" srcId="{07138740-3141-4EE9-A7E3-81A88A183AF6}" destId="{2111D903-FDC7-4819-AD73-1C33EC9E57BC}" srcOrd="1" destOrd="0" presId="urn:microsoft.com/office/officeart/2005/8/layout/pList2"/>
    <dgm:cxn modelId="{C33FAA79-2250-4AA8-BE7D-CCBE7183C8F8}" type="presParOf" srcId="{07138740-3141-4EE9-A7E3-81A88A183AF6}" destId="{7D8D4AE3-AFF5-4D79-AE15-386ADAE005C4}" srcOrd="2" destOrd="0" presId="urn:microsoft.com/office/officeart/2005/8/layout/pList2"/>
    <dgm:cxn modelId="{6025A715-1080-425A-B0F9-3DD16F1F118D}" type="presParOf" srcId="{551F0E3A-1882-4AF5-A676-B133366532EC}" destId="{8E9111A4-C31F-4DE2-85CE-06997CB8469C}" srcOrd="3" destOrd="0" presId="urn:microsoft.com/office/officeart/2005/8/layout/pList2"/>
    <dgm:cxn modelId="{A972676F-CDD9-4350-8841-CF79FFC1DDD1}" type="presParOf" srcId="{551F0E3A-1882-4AF5-A676-B133366532EC}" destId="{31DCA797-3303-458A-9DC6-4096FE5D1B35}" srcOrd="4" destOrd="0" presId="urn:microsoft.com/office/officeart/2005/8/layout/pList2"/>
    <dgm:cxn modelId="{CE93A8A0-07FD-43CE-A6BA-86AADF9D6DFE}" type="presParOf" srcId="{31DCA797-3303-458A-9DC6-4096FE5D1B35}" destId="{BB87D699-7670-485C-980D-C9EF4D21D4FF}" srcOrd="0" destOrd="0" presId="urn:microsoft.com/office/officeart/2005/8/layout/pList2"/>
    <dgm:cxn modelId="{65682B09-CBEB-4A91-9B99-CF9BC4447C46}" type="presParOf" srcId="{31DCA797-3303-458A-9DC6-4096FE5D1B35}" destId="{A185FC55-156B-4C7A-9E5C-79EED5736DEE}" srcOrd="1" destOrd="0" presId="urn:microsoft.com/office/officeart/2005/8/layout/pList2"/>
    <dgm:cxn modelId="{135DA8FA-57F2-4270-8FD9-227644CC7626}" type="presParOf" srcId="{31DCA797-3303-458A-9DC6-4096FE5D1B35}" destId="{63A35042-B740-4AC9-9235-27981BD92812}" srcOrd="2" destOrd="0" presId="urn:microsoft.com/office/officeart/2005/8/layout/pList2"/>
  </dgm:cxnLst>
  <dgm:bg/>
  <dgm:whole/>
  <dgm:extLst>
    <a:ext uri="http://schemas.microsoft.com/office/drawing/2008/diagram">
      <dsp:dataModelExt xmlns:dsp="http://schemas.microsoft.com/office/drawing/2008/diagram" relId="rId16"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EF9078F9-6B6E-4C45-9C47-7D8DF3B2E095}" type="doc">
      <dgm:prSet loTypeId="urn:microsoft.com/office/officeart/2009/3/layout/SnapshotPictureList" loCatId="picture" qsTypeId="urn:microsoft.com/office/officeart/2005/8/quickstyle/simple1" qsCatId="simple" csTypeId="urn:microsoft.com/office/officeart/2005/8/colors/accent1_2" csCatId="accent1" phldr="1"/>
      <dgm:spPr/>
      <dgm:t>
        <a:bodyPr/>
        <a:lstStyle/>
        <a:p>
          <a:endParaRPr lang="es-ES"/>
        </a:p>
      </dgm:t>
    </dgm:pt>
    <dgm:pt modelId="{DF7314CF-AD34-49F0-BBAE-1E7D720CB4F1}">
      <dgm:prSet phldrT="[Texto]"/>
      <dgm:spPr/>
      <dgm:t>
        <a:bodyPr/>
        <a:lstStyle/>
        <a:p>
          <a:r>
            <a:rPr lang="es-CO">
              <a:latin typeface="Arial" panose="020B0604020202020204" pitchFamily="34" charset="0"/>
              <a:cs typeface="Arial" panose="020B0604020202020204" pitchFamily="34" charset="0"/>
            </a:rPr>
            <a:t>Población objeto total</a:t>
          </a:r>
          <a:endParaRPr lang="es-ES">
            <a:latin typeface="Arial" panose="020B0604020202020204" pitchFamily="34" charset="0"/>
            <a:cs typeface="Arial" panose="020B0604020202020204" pitchFamily="34" charset="0"/>
          </a:endParaRPr>
        </a:p>
      </dgm:t>
    </dgm:pt>
    <dgm:pt modelId="{5A186FE9-582A-4F1F-BDA6-E05204ADBC1E}" type="parTrans" cxnId="{880245BF-0B3B-46C9-AAED-10F8DBB6BCBA}">
      <dgm:prSet/>
      <dgm:spPr/>
      <dgm:t>
        <a:bodyPr/>
        <a:lstStyle/>
        <a:p>
          <a:endParaRPr lang="es-ES">
            <a:latin typeface="Arial" panose="020B0604020202020204" pitchFamily="34" charset="0"/>
            <a:cs typeface="Arial" panose="020B0604020202020204" pitchFamily="34" charset="0"/>
          </a:endParaRPr>
        </a:p>
      </dgm:t>
    </dgm:pt>
    <dgm:pt modelId="{AE1CF0B5-945D-4F2A-BB29-A561E4236574}" type="sibTrans" cxnId="{880245BF-0B3B-46C9-AAED-10F8DBB6BCBA}">
      <dgm:prSet/>
      <dgm:spPr/>
      <dgm:t>
        <a:bodyPr/>
        <a:lstStyle/>
        <a:p>
          <a:endParaRPr lang="es-ES">
            <a:latin typeface="Arial" panose="020B0604020202020204" pitchFamily="34" charset="0"/>
            <a:cs typeface="Arial" panose="020B0604020202020204" pitchFamily="34" charset="0"/>
          </a:endParaRPr>
        </a:p>
      </dgm:t>
    </dgm:pt>
    <dgm:pt modelId="{69D155A1-FFBB-4845-ACA0-78B38F99017D}">
      <dgm:prSet/>
      <dgm:spPr/>
      <dgm:t>
        <a:bodyPr/>
        <a:lstStyle/>
        <a:p>
          <a:r>
            <a:rPr lang="es-CO">
              <a:latin typeface="Arial" panose="020B0604020202020204" pitchFamily="34" charset="0"/>
              <a:cs typeface="Arial" panose="020B0604020202020204" pitchFamily="34" charset="0"/>
            </a:rPr>
            <a:t>Corresponde al universo de personas que se encuentra comprendido dentro del objeto del acuerdo de voluntades. Su tamaño depende de las condiciones y del alcance definido en dicho acuerdo y generalmente se expresa mediante un número absoluto.</a:t>
          </a:r>
          <a:endParaRPr lang="en-US">
            <a:latin typeface="Arial" panose="020B0604020202020204" pitchFamily="34" charset="0"/>
            <a:cs typeface="Arial" panose="020B0604020202020204" pitchFamily="34" charset="0"/>
          </a:endParaRPr>
        </a:p>
      </dgm:t>
    </dgm:pt>
    <dgm:pt modelId="{E180F36F-40DF-46E2-B722-F66BC902580E}" type="parTrans" cxnId="{42F7A6C1-3909-48EA-ABEE-52A91A0A5D1A}">
      <dgm:prSet/>
      <dgm:spPr/>
      <dgm:t>
        <a:bodyPr/>
        <a:lstStyle/>
        <a:p>
          <a:endParaRPr lang="es-ES">
            <a:latin typeface="Arial" panose="020B0604020202020204" pitchFamily="34" charset="0"/>
            <a:cs typeface="Arial" panose="020B0604020202020204" pitchFamily="34" charset="0"/>
          </a:endParaRPr>
        </a:p>
      </dgm:t>
    </dgm:pt>
    <dgm:pt modelId="{00291AD2-B26D-4789-AE79-DCEDABAC221C}" type="sibTrans" cxnId="{42F7A6C1-3909-48EA-ABEE-52A91A0A5D1A}">
      <dgm:prSet/>
      <dgm:spPr/>
      <dgm:t>
        <a:bodyPr/>
        <a:lstStyle/>
        <a:p>
          <a:endParaRPr lang="es-ES">
            <a:latin typeface="Arial" panose="020B0604020202020204" pitchFamily="34" charset="0"/>
            <a:cs typeface="Arial" panose="020B0604020202020204" pitchFamily="34" charset="0"/>
          </a:endParaRPr>
        </a:p>
      </dgm:t>
    </dgm:pt>
    <dgm:pt modelId="{4F9674C4-6F4C-456D-B0BC-E6CE150A117C}">
      <dgm:prSet/>
      <dgm:spPr/>
      <dgm:t>
        <a:bodyPr/>
        <a:lstStyle/>
        <a:p>
          <a:r>
            <a:rPr lang="es-CO">
              <a:latin typeface="Arial" panose="020B0604020202020204" pitchFamily="34" charset="0"/>
              <a:cs typeface="Arial" panose="020B0604020202020204" pitchFamily="34" charset="0"/>
            </a:rPr>
            <a:t>Población susceptible</a:t>
          </a:r>
          <a:endParaRPr lang="en-US">
            <a:latin typeface="Arial" panose="020B0604020202020204" pitchFamily="34" charset="0"/>
            <a:cs typeface="Arial" panose="020B0604020202020204" pitchFamily="34" charset="0"/>
          </a:endParaRPr>
        </a:p>
      </dgm:t>
    </dgm:pt>
    <dgm:pt modelId="{16DF06C5-45B2-4CE9-8542-EDDF6C5B1373}" type="parTrans" cxnId="{8E22FDF9-D8B6-40C6-A17A-B8A9F445BC91}">
      <dgm:prSet/>
      <dgm:spPr/>
      <dgm:t>
        <a:bodyPr/>
        <a:lstStyle/>
        <a:p>
          <a:endParaRPr lang="es-ES">
            <a:latin typeface="Arial" panose="020B0604020202020204" pitchFamily="34" charset="0"/>
            <a:cs typeface="Arial" panose="020B0604020202020204" pitchFamily="34" charset="0"/>
          </a:endParaRPr>
        </a:p>
      </dgm:t>
    </dgm:pt>
    <dgm:pt modelId="{1CB295EA-6756-4B29-9A4F-593F814262C2}" type="sibTrans" cxnId="{8E22FDF9-D8B6-40C6-A17A-B8A9F445BC91}">
      <dgm:prSet/>
      <dgm:spPr/>
      <dgm:t>
        <a:bodyPr/>
        <a:lstStyle/>
        <a:p>
          <a:endParaRPr lang="es-ES">
            <a:latin typeface="Arial" panose="020B0604020202020204" pitchFamily="34" charset="0"/>
            <a:cs typeface="Arial" panose="020B0604020202020204" pitchFamily="34" charset="0"/>
          </a:endParaRPr>
        </a:p>
      </dgm:t>
    </dgm:pt>
    <dgm:pt modelId="{77133D8C-BA0D-457D-B1A2-E2F80C78568E}">
      <dgm:prSet/>
      <dgm:spPr/>
      <dgm:t>
        <a:bodyPr/>
        <a:lstStyle/>
        <a:p>
          <a:r>
            <a:rPr lang="es-CO">
              <a:latin typeface="Arial" panose="020B0604020202020204" pitchFamily="34" charset="0"/>
              <a:cs typeface="Arial" panose="020B0604020202020204" pitchFamily="34" charset="0"/>
            </a:rPr>
            <a:t>Corresponde al grupo de personas dentro de la población objeto total que, de acuerdo con sus características, condiciones de salud, riesgos o necesidades, puede requerir un servicio o tecnología específico. Por esta razón, la población susceptible puede variar de un servicio o tecnología a otro y no necesariamente corresponde al total de la población objeto.</a:t>
          </a:r>
          <a:endParaRPr lang="en-US">
            <a:latin typeface="Arial" panose="020B0604020202020204" pitchFamily="34" charset="0"/>
            <a:cs typeface="Arial" panose="020B0604020202020204" pitchFamily="34" charset="0"/>
          </a:endParaRPr>
        </a:p>
      </dgm:t>
    </dgm:pt>
    <dgm:pt modelId="{75E1E881-152F-4438-87C4-C1EAE79F70CD}" type="parTrans" cxnId="{7BE94A60-1C7D-4F47-A305-650223E5B4CB}">
      <dgm:prSet/>
      <dgm:spPr/>
      <dgm:t>
        <a:bodyPr/>
        <a:lstStyle/>
        <a:p>
          <a:endParaRPr lang="es-ES">
            <a:latin typeface="Arial" panose="020B0604020202020204" pitchFamily="34" charset="0"/>
            <a:cs typeface="Arial" panose="020B0604020202020204" pitchFamily="34" charset="0"/>
          </a:endParaRPr>
        </a:p>
      </dgm:t>
    </dgm:pt>
    <dgm:pt modelId="{5A3869FD-42BB-442B-8B3B-DC8F725CDAA1}" type="sibTrans" cxnId="{7BE94A60-1C7D-4F47-A305-650223E5B4CB}">
      <dgm:prSet/>
      <dgm:spPr/>
      <dgm:t>
        <a:bodyPr/>
        <a:lstStyle/>
        <a:p>
          <a:endParaRPr lang="es-ES">
            <a:latin typeface="Arial" panose="020B0604020202020204" pitchFamily="34" charset="0"/>
            <a:cs typeface="Arial" panose="020B0604020202020204" pitchFamily="34" charset="0"/>
          </a:endParaRPr>
        </a:p>
      </dgm:t>
    </dgm:pt>
    <dgm:pt modelId="{8C4D25CA-BEE7-4D0C-BC7C-4D56CD4824A9}" type="pres">
      <dgm:prSet presAssocID="{EF9078F9-6B6E-4C45-9C47-7D8DF3B2E095}" presName="Name0" presStyleCnt="0">
        <dgm:presLayoutVars>
          <dgm:chMax/>
          <dgm:chPref/>
          <dgm:dir/>
          <dgm:animLvl val="lvl"/>
        </dgm:presLayoutVars>
      </dgm:prSet>
      <dgm:spPr/>
      <dgm:t>
        <a:bodyPr/>
        <a:lstStyle/>
        <a:p>
          <a:endParaRPr lang="es-ES"/>
        </a:p>
      </dgm:t>
    </dgm:pt>
    <dgm:pt modelId="{30DAAB66-1C32-4D70-BAB6-95C8B9FBD633}" type="pres">
      <dgm:prSet presAssocID="{DF7314CF-AD34-49F0-BBAE-1E7D720CB4F1}" presName="composite" presStyleCnt="0"/>
      <dgm:spPr/>
    </dgm:pt>
    <dgm:pt modelId="{9F4CB645-C42E-470E-9D23-0CFF46E7F7F1}" type="pres">
      <dgm:prSet presAssocID="{DF7314CF-AD34-49F0-BBAE-1E7D720CB4F1}" presName="ParentAccentShape" presStyleLbl="trBgShp" presStyleIdx="0" presStyleCnt="4"/>
      <dgm:spPr/>
    </dgm:pt>
    <dgm:pt modelId="{397D759E-F67E-4760-BC29-2A902294CAE7}" type="pres">
      <dgm:prSet presAssocID="{DF7314CF-AD34-49F0-BBAE-1E7D720CB4F1}" presName="ParentText" presStyleLbl="revTx" presStyleIdx="0" presStyleCnt="4">
        <dgm:presLayoutVars>
          <dgm:chMax val="1"/>
          <dgm:chPref val="1"/>
          <dgm:bulletEnabled val="1"/>
        </dgm:presLayoutVars>
      </dgm:prSet>
      <dgm:spPr/>
      <dgm:t>
        <a:bodyPr/>
        <a:lstStyle/>
        <a:p>
          <a:endParaRPr lang="es-ES"/>
        </a:p>
      </dgm:t>
    </dgm:pt>
    <dgm:pt modelId="{978F9549-9E3E-44DC-840B-74433F578A72}" type="pres">
      <dgm:prSet presAssocID="{DF7314CF-AD34-49F0-BBAE-1E7D720CB4F1}" presName="ChildText" presStyleLbl="revTx" presStyleIdx="1" presStyleCnt="4">
        <dgm:presLayoutVars>
          <dgm:chMax val="0"/>
          <dgm:chPref val="0"/>
        </dgm:presLayoutVars>
      </dgm:prSet>
      <dgm:spPr/>
      <dgm:t>
        <a:bodyPr/>
        <a:lstStyle/>
        <a:p>
          <a:endParaRPr lang="es-ES"/>
        </a:p>
      </dgm:t>
    </dgm:pt>
    <dgm:pt modelId="{8D1A68E1-8F84-4B2C-A8DC-8F24AC8A8E26}" type="pres">
      <dgm:prSet presAssocID="{DF7314CF-AD34-49F0-BBAE-1E7D720CB4F1}" presName="ChildAccentShape" presStyleLbl="trBgShp" presStyleIdx="1" presStyleCnt="4"/>
      <dgm:spPr/>
    </dgm:pt>
    <dgm:pt modelId="{B85681E3-70C7-42E5-B376-3B8D95000214}" type="pres">
      <dgm:prSet presAssocID="{DF7314CF-AD34-49F0-BBAE-1E7D720CB4F1}" presName="Image" presStyleLbl="alignImgPlace1" presStyleIdx="0" presStyleCnt="2"/>
      <dgm:spPr>
        <a:blipFill rotWithShape="1">
          <a:blip xmlns:r="http://schemas.openxmlformats.org/officeDocument/2006/relationships" r:embed="rId1"/>
          <a:stretch>
            <a:fillRect/>
          </a:stretch>
        </a:blipFill>
      </dgm:spPr>
      <dgm:t>
        <a:bodyPr/>
        <a:lstStyle/>
        <a:p>
          <a:endParaRPr lang="es-ES"/>
        </a:p>
      </dgm:t>
    </dgm:pt>
    <dgm:pt modelId="{2516940C-267C-45E0-B5D6-894E72887F06}" type="pres">
      <dgm:prSet presAssocID="{AE1CF0B5-945D-4F2A-BB29-A561E4236574}" presName="sibTrans" presStyleCnt="0"/>
      <dgm:spPr/>
    </dgm:pt>
    <dgm:pt modelId="{328552B2-12E8-4A90-B75B-09C12FB5E911}" type="pres">
      <dgm:prSet presAssocID="{4F9674C4-6F4C-456D-B0BC-E6CE150A117C}" presName="composite" presStyleCnt="0"/>
      <dgm:spPr/>
    </dgm:pt>
    <dgm:pt modelId="{13C4F109-A37D-40CE-9AD8-59A17658442C}" type="pres">
      <dgm:prSet presAssocID="{4F9674C4-6F4C-456D-B0BC-E6CE150A117C}" presName="ParentAccentShape" presStyleLbl="trBgShp" presStyleIdx="2" presStyleCnt="4"/>
      <dgm:spPr/>
    </dgm:pt>
    <dgm:pt modelId="{7E0DE6F2-9254-4B30-ACD0-2D225715E0C3}" type="pres">
      <dgm:prSet presAssocID="{4F9674C4-6F4C-456D-B0BC-E6CE150A117C}" presName="ParentText" presStyleLbl="revTx" presStyleIdx="2" presStyleCnt="4">
        <dgm:presLayoutVars>
          <dgm:chMax val="1"/>
          <dgm:chPref val="1"/>
          <dgm:bulletEnabled val="1"/>
        </dgm:presLayoutVars>
      </dgm:prSet>
      <dgm:spPr/>
      <dgm:t>
        <a:bodyPr/>
        <a:lstStyle/>
        <a:p>
          <a:endParaRPr lang="es-ES"/>
        </a:p>
      </dgm:t>
    </dgm:pt>
    <dgm:pt modelId="{5DEF90BA-22C2-4924-8A13-037339CD2C8B}" type="pres">
      <dgm:prSet presAssocID="{4F9674C4-6F4C-456D-B0BC-E6CE150A117C}" presName="ChildText" presStyleLbl="revTx" presStyleIdx="3" presStyleCnt="4">
        <dgm:presLayoutVars>
          <dgm:chMax val="0"/>
          <dgm:chPref val="0"/>
        </dgm:presLayoutVars>
      </dgm:prSet>
      <dgm:spPr/>
      <dgm:t>
        <a:bodyPr/>
        <a:lstStyle/>
        <a:p>
          <a:endParaRPr lang="es-ES"/>
        </a:p>
      </dgm:t>
    </dgm:pt>
    <dgm:pt modelId="{DCA36F39-28EA-4E35-BBC8-E43321FF75FA}" type="pres">
      <dgm:prSet presAssocID="{4F9674C4-6F4C-456D-B0BC-E6CE150A117C}" presName="ChildAccentShape" presStyleLbl="trBgShp" presStyleIdx="3" presStyleCnt="4"/>
      <dgm:spPr/>
    </dgm:pt>
    <dgm:pt modelId="{5803DBBF-69B2-4766-A3A7-3AA92DE3AF8B}" type="pres">
      <dgm:prSet presAssocID="{4F9674C4-6F4C-456D-B0BC-E6CE150A117C}" presName="Image" presStyleLbl="alignImgPlace1" presStyleIdx="1" presStyleCnt="2"/>
      <dgm:spPr>
        <a:blipFill rotWithShape="1">
          <a:blip xmlns:r="http://schemas.openxmlformats.org/officeDocument/2006/relationships" r:embed="rId2"/>
          <a:stretch>
            <a:fillRect/>
          </a:stretch>
        </a:blipFill>
      </dgm:spPr>
      <dgm:t>
        <a:bodyPr/>
        <a:lstStyle/>
        <a:p>
          <a:endParaRPr lang="es-ES"/>
        </a:p>
      </dgm:t>
    </dgm:pt>
  </dgm:ptLst>
  <dgm:cxnLst>
    <dgm:cxn modelId="{2B036D2F-53E7-4C69-8B0E-2D0C08AA84BD}" type="presOf" srcId="{77133D8C-BA0D-457D-B1A2-E2F80C78568E}" destId="{5DEF90BA-22C2-4924-8A13-037339CD2C8B}" srcOrd="0" destOrd="0" presId="urn:microsoft.com/office/officeart/2009/3/layout/SnapshotPictureList"/>
    <dgm:cxn modelId="{0F92351D-42E6-4182-BB1A-2BDFBF7410DF}" type="presOf" srcId="{4F9674C4-6F4C-456D-B0BC-E6CE150A117C}" destId="{7E0DE6F2-9254-4B30-ACD0-2D225715E0C3}" srcOrd="0" destOrd="0" presId="urn:microsoft.com/office/officeart/2009/3/layout/SnapshotPictureList"/>
    <dgm:cxn modelId="{880245BF-0B3B-46C9-AAED-10F8DBB6BCBA}" srcId="{EF9078F9-6B6E-4C45-9C47-7D8DF3B2E095}" destId="{DF7314CF-AD34-49F0-BBAE-1E7D720CB4F1}" srcOrd="0" destOrd="0" parTransId="{5A186FE9-582A-4F1F-BDA6-E05204ADBC1E}" sibTransId="{AE1CF0B5-945D-4F2A-BB29-A561E4236574}"/>
    <dgm:cxn modelId="{8E22FDF9-D8B6-40C6-A17A-B8A9F445BC91}" srcId="{EF9078F9-6B6E-4C45-9C47-7D8DF3B2E095}" destId="{4F9674C4-6F4C-456D-B0BC-E6CE150A117C}" srcOrd="1" destOrd="0" parTransId="{16DF06C5-45B2-4CE9-8542-EDDF6C5B1373}" sibTransId="{1CB295EA-6756-4B29-9A4F-593F814262C2}"/>
    <dgm:cxn modelId="{7BE94A60-1C7D-4F47-A305-650223E5B4CB}" srcId="{4F9674C4-6F4C-456D-B0BC-E6CE150A117C}" destId="{77133D8C-BA0D-457D-B1A2-E2F80C78568E}" srcOrd="0" destOrd="0" parTransId="{75E1E881-152F-4438-87C4-C1EAE79F70CD}" sibTransId="{5A3869FD-42BB-442B-8B3B-DC8F725CDAA1}"/>
    <dgm:cxn modelId="{683AF1B4-8D13-4AAB-838F-D50DFEBB1BBA}" type="presOf" srcId="{69D155A1-FFBB-4845-ACA0-78B38F99017D}" destId="{978F9549-9E3E-44DC-840B-74433F578A72}" srcOrd="0" destOrd="0" presId="urn:microsoft.com/office/officeart/2009/3/layout/SnapshotPictureList"/>
    <dgm:cxn modelId="{42F7A6C1-3909-48EA-ABEE-52A91A0A5D1A}" srcId="{DF7314CF-AD34-49F0-BBAE-1E7D720CB4F1}" destId="{69D155A1-FFBB-4845-ACA0-78B38F99017D}" srcOrd="0" destOrd="0" parTransId="{E180F36F-40DF-46E2-B722-F66BC902580E}" sibTransId="{00291AD2-B26D-4789-AE79-DCEDABAC221C}"/>
    <dgm:cxn modelId="{BC54CF45-3C57-4972-80F3-D485252D5A1D}" type="presOf" srcId="{DF7314CF-AD34-49F0-BBAE-1E7D720CB4F1}" destId="{397D759E-F67E-4760-BC29-2A902294CAE7}" srcOrd="0" destOrd="0" presId="urn:microsoft.com/office/officeart/2009/3/layout/SnapshotPictureList"/>
    <dgm:cxn modelId="{742F9C41-E3C9-4C27-9439-09912E01F366}" type="presOf" srcId="{EF9078F9-6B6E-4C45-9C47-7D8DF3B2E095}" destId="{8C4D25CA-BEE7-4D0C-BC7C-4D56CD4824A9}" srcOrd="0" destOrd="0" presId="urn:microsoft.com/office/officeart/2009/3/layout/SnapshotPictureList"/>
    <dgm:cxn modelId="{0F0102FE-FEC0-4879-A9B1-65A9DABCCC55}" type="presParOf" srcId="{8C4D25CA-BEE7-4D0C-BC7C-4D56CD4824A9}" destId="{30DAAB66-1C32-4D70-BAB6-95C8B9FBD633}" srcOrd="0" destOrd="0" presId="urn:microsoft.com/office/officeart/2009/3/layout/SnapshotPictureList"/>
    <dgm:cxn modelId="{8524DD7D-9D53-4BD3-A260-C46857203209}" type="presParOf" srcId="{30DAAB66-1C32-4D70-BAB6-95C8B9FBD633}" destId="{9F4CB645-C42E-470E-9D23-0CFF46E7F7F1}" srcOrd="0" destOrd="0" presId="urn:microsoft.com/office/officeart/2009/3/layout/SnapshotPictureList"/>
    <dgm:cxn modelId="{2DAC4B11-2C24-4B00-B354-036122096948}" type="presParOf" srcId="{30DAAB66-1C32-4D70-BAB6-95C8B9FBD633}" destId="{397D759E-F67E-4760-BC29-2A902294CAE7}" srcOrd="1" destOrd="0" presId="urn:microsoft.com/office/officeart/2009/3/layout/SnapshotPictureList"/>
    <dgm:cxn modelId="{71930DF9-D63F-4E65-987B-E14565DBBE12}" type="presParOf" srcId="{30DAAB66-1C32-4D70-BAB6-95C8B9FBD633}" destId="{978F9549-9E3E-44DC-840B-74433F578A72}" srcOrd="2" destOrd="0" presId="urn:microsoft.com/office/officeart/2009/3/layout/SnapshotPictureList"/>
    <dgm:cxn modelId="{85866012-BBFA-41F8-AF3A-72D3B76FEC22}" type="presParOf" srcId="{30DAAB66-1C32-4D70-BAB6-95C8B9FBD633}" destId="{8D1A68E1-8F84-4B2C-A8DC-8F24AC8A8E26}" srcOrd="3" destOrd="0" presId="urn:microsoft.com/office/officeart/2009/3/layout/SnapshotPictureList"/>
    <dgm:cxn modelId="{4C17EFD3-02D9-4B29-ADDB-D1EF2E6FDE13}" type="presParOf" srcId="{30DAAB66-1C32-4D70-BAB6-95C8B9FBD633}" destId="{B85681E3-70C7-42E5-B376-3B8D95000214}" srcOrd="4" destOrd="0" presId="urn:microsoft.com/office/officeart/2009/3/layout/SnapshotPictureList"/>
    <dgm:cxn modelId="{754A4161-9E6C-44A0-A90A-ADA4B8E3B45B}" type="presParOf" srcId="{8C4D25CA-BEE7-4D0C-BC7C-4D56CD4824A9}" destId="{2516940C-267C-45E0-B5D6-894E72887F06}" srcOrd="1" destOrd="0" presId="urn:microsoft.com/office/officeart/2009/3/layout/SnapshotPictureList"/>
    <dgm:cxn modelId="{2F3FE772-E366-4B40-9A08-3AA86DF93196}" type="presParOf" srcId="{8C4D25CA-BEE7-4D0C-BC7C-4D56CD4824A9}" destId="{328552B2-12E8-4A90-B75B-09C12FB5E911}" srcOrd="2" destOrd="0" presId="urn:microsoft.com/office/officeart/2009/3/layout/SnapshotPictureList"/>
    <dgm:cxn modelId="{9FB9A1FB-CD96-4F3A-AE15-9A67B562DB01}" type="presParOf" srcId="{328552B2-12E8-4A90-B75B-09C12FB5E911}" destId="{13C4F109-A37D-40CE-9AD8-59A17658442C}" srcOrd="0" destOrd="0" presId="urn:microsoft.com/office/officeart/2009/3/layout/SnapshotPictureList"/>
    <dgm:cxn modelId="{E1D5F633-BEF5-4477-91A4-91D1FE55AA38}" type="presParOf" srcId="{328552B2-12E8-4A90-B75B-09C12FB5E911}" destId="{7E0DE6F2-9254-4B30-ACD0-2D225715E0C3}" srcOrd="1" destOrd="0" presId="urn:microsoft.com/office/officeart/2009/3/layout/SnapshotPictureList"/>
    <dgm:cxn modelId="{1F2912B5-D6BD-4FE0-89C2-53347E1518C7}" type="presParOf" srcId="{328552B2-12E8-4A90-B75B-09C12FB5E911}" destId="{5DEF90BA-22C2-4924-8A13-037339CD2C8B}" srcOrd="2" destOrd="0" presId="urn:microsoft.com/office/officeart/2009/3/layout/SnapshotPictureList"/>
    <dgm:cxn modelId="{76DA5A9F-7D34-46D0-BA26-E438A8B6951B}" type="presParOf" srcId="{328552B2-12E8-4A90-B75B-09C12FB5E911}" destId="{DCA36F39-28EA-4E35-BBC8-E43321FF75FA}" srcOrd="3" destOrd="0" presId="urn:microsoft.com/office/officeart/2009/3/layout/SnapshotPictureList"/>
    <dgm:cxn modelId="{D4114042-A493-42B9-BB8F-7D63DB76DCF3}" type="presParOf" srcId="{328552B2-12E8-4A90-B75B-09C12FB5E911}" destId="{5803DBBF-69B2-4766-A3A7-3AA92DE3AF8B}" srcOrd="4" destOrd="0" presId="urn:microsoft.com/office/officeart/2009/3/layout/SnapshotPictureList"/>
  </dgm:cxnLst>
  <dgm:bg/>
  <dgm:whole/>
  <dgm:extLst>
    <a:ext uri="http://schemas.microsoft.com/office/drawing/2008/diagram">
      <dsp:dataModelExt xmlns:dsp="http://schemas.microsoft.com/office/drawing/2008/diagram" relId="rId21"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C95AEF53-0A32-4936-AB28-8ABB2E619ABE}" type="doc">
      <dgm:prSet loTypeId="urn:microsoft.com/office/officeart/2005/8/layout/lProcess2" loCatId="list" qsTypeId="urn:microsoft.com/office/officeart/2005/8/quickstyle/simple1" qsCatId="simple" csTypeId="urn:microsoft.com/office/officeart/2005/8/colors/colorful3" csCatId="colorful" phldr="1"/>
      <dgm:spPr/>
      <dgm:t>
        <a:bodyPr/>
        <a:lstStyle/>
        <a:p>
          <a:endParaRPr lang="es-ES"/>
        </a:p>
      </dgm:t>
    </dgm:pt>
    <dgm:pt modelId="{2B2E8A32-7319-4A64-93FA-07586F5C82F5}">
      <dgm:prSet phldrT="[Texto]"/>
      <dgm:spPr/>
      <dgm:t>
        <a:bodyPr/>
        <a:lstStyle/>
        <a:p>
          <a:r>
            <a:rPr lang="es-CO">
              <a:latin typeface="Arial" panose="020B0604020202020204" pitchFamily="34" charset="0"/>
              <a:cs typeface="Arial" panose="020B0604020202020204" pitchFamily="34" charset="0"/>
            </a:rPr>
            <a:t>Incidencia</a:t>
          </a:r>
          <a:endParaRPr lang="es-ES">
            <a:latin typeface="Arial" panose="020B0604020202020204" pitchFamily="34" charset="0"/>
            <a:cs typeface="Arial" panose="020B0604020202020204" pitchFamily="34" charset="0"/>
          </a:endParaRPr>
        </a:p>
      </dgm:t>
    </dgm:pt>
    <dgm:pt modelId="{F84ABA32-D2ED-46AB-88EB-6F27E1D6AE3E}" type="parTrans" cxnId="{69B6F47A-BB2A-4C52-861E-F637CF8EF6F8}">
      <dgm:prSet/>
      <dgm:spPr/>
      <dgm:t>
        <a:bodyPr/>
        <a:lstStyle/>
        <a:p>
          <a:endParaRPr lang="es-ES">
            <a:latin typeface="Arial" panose="020B0604020202020204" pitchFamily="34" charset="0"/>
            <a:cs typeface="Arial" panose="020B0604020202020204" pitchFamily="34" charset="0"/>
          </a:endParaRPr>
        </a:p>
      </dgm:t>
    </dgm:pt>
    <dgm:pt modelId="{BF4EC8D3-3F04-43A1-AC3F-99F1F9467EEE}" type="sibTrans" cxnId="{69B6F47A-BB2A-4C52-861E-F637CF8EF6F8}">
      <dgm:prSet/>
      <dgm:spPr/>
      <dgm:t>
        <a:bodyPr/>
        <a:lstStyle/>
        <a:p>
          <a:endParaRPr lang="es-ES">
            <a:latin typeface="Arial" panose="020B0604020202020204" pitchFamily="34" charset="0"/>
            <a:cs typeface="Arial" panose="020B0604020202020204" pitchFamily="34" charset="0"/>
          </a:endParaRPr>
        </a:p>
      </dgm:t>
    </dgm:pt>
    <dgm:pt modelId="{303C0847-5BF0-4831-8F0A-2B9305FE7D32}">
      <dgm:prSet/>
      <dgm:spPr/>
      <dgm:t>
        <a:bodyPr/>
        <a:lstStyle/>
        <a:p>
          <a:r>
            <a:rPr lang="es-CO">
              <a:latin typeface="Arial" panose="020B0604020202020204" pitchFamily="34" charset="0"/>
              <a:cs typeface="Arial" panose="020B0604020202020204" pitchFamily="34" charset="0"/>
            </a:rPr>
            <a:t>La incidencia se relaciona con la aparición de casos nuevos de una enfermedad o evento de salud en una población durante un periodo determinado. Este parámetro resulta útil para analizar eventos que se presentan por primera vez y estimar el comportamiento esperado de nuevos casos.</a:t>
          </a:r>
          <a:endParaRPr lang="en-US">
            <a:latin typeface="Arial" panose="020B0604020202020204" pitchFamily="34" charset="0"/>
            <a:cs typeface="Arial" panose="020B0604020202020204" pitchFamily="34" charset="0"/>
          </a:endParaRPr>
        </a:p>
      </dgm:t>
    </dgm:pt>
    <dgm:pt modelId="{F3B7CA2A-0C1B-4107-A897-DE13C65C00E2}" type="parTrans" cxnId="{82CD954C-1B2A-48D4-8297-6D563B1AA2DB}">
      <dgm:prSet/>
      <dgm:spPr/>
      <dgm:t>
        <a:bodyPr/>
        <a:lstStyle/>
        <a:p>
          <a:endParaRPr lang="es-ES">
            <a:latin typeface="Arial" panose="020B0604020202020204" pitchFamily="34" charset="0"/>
            <a:cs typeface="Arial" panose="020B0604020202020204" pitchFamily="34" charset="0"/>
          </a:endParaRPr>
        </a:p>
      </dgm:t>
    </dgm:pt>
    <dgm:pt modelId="{F0CD8E38-08AA-4842-A0F6-1EDF91F5F1B4}" type="sibTrans" cxnId="{82CD954C-1B2A-48D4-8297-6D563B1AA2DB}">
      <dgm:prSet/>
      <dgm:spPr/>
      <dgm:t>
        <a:bodyPr/>
        <a:lstStyle/>
        <a:p>
          <a:endParaRPr lang="es-ES">
            <a:latin typeface="Arial" panose="020B0604020202020204" pitchFamily="34" charset="0"/>
            <a:cs typeface="Arial" panose="020B0604020202020204" pitchFamily="34" charset="0"/>
          </a:endParaRPr>
        </a:p>
      </dgm:t>
    </dgm:pt>
    <dgm:pt modelId="{92F05792-3E7B-4EB2-B278-667C81D62B7D}">
      <dgm:prSet/>
      <dgm:spPr/>
      <dgm:t>
        <a:bodyPr/>
        <a:lstStyle/>
        <a:p>
          <a:r>
            <a:rPr lang="es-CO">
              <a:latin typeface="Arial" panose="020B0604020202020204" pitchFamily="34" charset="0"/>
              <a:cs typeface="Arial" panose="020B0604020202020204" pitchFamily="34" charset="0"/>
            </a:rPr>
            <a:t>En la nota técnica, la incidencia puede utilizarse cuando el servicio o tecnología está relacionado con la atención de eventos o condiciones cuya aparición durante un periodo sea relevante para establecer la población susceptible.</a:t>
          </a:r>
          <a:endParaRPr lang="en-US">
            <a:latin typeface="Arial" panose="020B0604020202020204" pitchFamily="34" charset="0"/>
            <a:cs typeface="Arial" panose="020B0604020202020204" pitchFamily="34" charset="0"/>
          </a:endParaRPr>
        </a:p>
      </dgm:t>
    </dgm:pt>
    <dgm:pt modelId="{166FF7A8-E8C7-4099-8D23-2FFD0D6EA83B}" type="parTrans" cxnId="{F31AE76A-8528-4B1F-AD9A-D4209D2C9C35}">
      <dgm:prSet/>
      <dgm:spPr/>
      <dgm:t>
        <a:bodyPr/>
        <a:lstStyle/>
        <a:p>
          <a:endParaRPr lang="es-ES">
            <a:latin typeface="Arial" panose="020B0604020202020204" pitchFamily="34" charset="0"/>
            <a:cs typeface="Arial" panose="020B0604020202020204" pitchFamily="34" charset="0"/>
          </a:endParaRPr>
        </a:p>
      </dgm:t>
    </dgm:pt>
    <dgm:pt modelId="{9DEAD056-5653-4C1C-8C3E-451A514F98B9}" type="sibTrans" cxnId="{F31AE76A-8528-4B1F-AD9A-D4209D2C9C35}">
      <dgm:prSet/>
      <dgm:spPr/>
      <dgm:t>
        <a:bodyPr/>
        <a:lstStyle/>
        <a:p>
          <a:endParaRPr lang="es-ES">
            <a:latin typeface="Arial" panose="020B0604020202020204" pitchFamily="34" charset="0"/>
            <a:cs typeface="Arial" panose="020B0604020202020204" pitchFamily="34" charset="0"/>
          </a:endParaRPr>
        </a:p>
      </dgm:t>
    </dgm:pt>
    <dgm:pt modelId="{EB369880-6EFE-4F79-A318-33E5237A2CCF}">
      <dgm:prSet/>
      <dgm:spPr/>
      <dgm:t>
        <a:bodyPr/>
        <a:lstStyle/>
        <a:p>
          <a:r>
            <a:rPr lang="es-CO">
              <a:latin typeface="Arial" panose="020B0604020202020204" pitchFamily="34" charset="0"/>
              <a:cs typeface="Arial" panose="020B0604020202020204" pitchFamily="34" charset="0"/>
            </a:rPr>
            <a:t>Prevalencia</a:t>
          </a:r>
          <a:endParaRPr lang="en-US">
            <a:latin typeface="Arial" panose="020B0604020202020204" pitchFamily="34" charset="0"/>
            <a:cs typeface="Arial" panose="020B0604020202020204" pitchFamily="34" charset="0"/>
          </a:endParaRPr>
        </a:p>
      </dgm:t>
    </dgm:pt>
    <dgm:pt modelId="{4FB99FCE-7FE8-41F0-9200-DEDB84EC79AA}" type="parTrans" cxnId="{2F7CA5DD-5B30-4211-8115-12EEA7B4259D}">
      <dgm:prSet/>
      <dgm:spPr/>
      <dgm:t>
        <a:bodyPr/>
        <a:lstStyle/>
        <a:p>
          <a:endParaRPr lang="es-ES">
            <a:latin typeface="Arial" panose="020B0604020202020204" pitchFamily="34" charset="0"/>
            <a:cs typeface="Arial" panose="020B0604020202020204" pitchFamily="34" charset="0"/>
          </a:endParaRPr>
        </a:p>
      </dgm:t>
    </dgm:pt>
    <dgm:pt modelId="{FF20F0F8-C701-4A28-A2B1-827522EE4C70}" type="sibTrans" cxnId="{2F7CA5DD-5B30-4211-8115-12EEA7B4259D}">
      <dgm:prSet/>
      <dgm:spPr/>
      <dgm:t>
        <a:bodyPr/>
        <a:lstStyle/>
        <a:p>
          <a:endParaRPr lang="es-ES">
            <a:latin typeface="Arial" panose="020B0604020202020204" pitchFamily="34" charset="0"/>
            <a:cs typeface="Arial" panose="020B0604020202020204" pitchFamily="34" charset="0"/>
          </a:endParaRPr>
        </a:p>
      </dgm:t>
    </dgm:pt>
    <dgm:pt modelId="{3876122F-E3E4-412D-87C8-1B8D8FEA9C9B}">
      <dgm:prSet/>
      <dgm:spPr/>
      <dgm:t>
        <a:bodyPr/>
        <a:lstStyle/>
        <a:p>
          <a:r>
            <a:rPr lang="es-CO">
              <a:latin typeface="Arial" panose="020B0604020202020204" pitchFamily="34" charset="0"/>
              <a:cs typeface="Arial" panose="020B0604020202020204" pitchFamily="34" charset="0"/>
            </a:rPr>
            <a:t>La prevalencia se refiere a la proporción de personas de una población que presenta una determinada enfermedad, condición o evento de salud en un momento o periodo específico. A diferencia de la incidencia, considera los casos existentes en la población analizada.</a:t>
          </a:r>
          <a:endParaRPr lang="en-US">
            <a:latin typeface="Arial" panose="020B0604020202020204" pitchFamily="34" charset="0"/>
            <a:cs typeface="Arial" panose="020B0604020202020204" pitchFamily="34" charset="0"/>
          </a:endParaRPr>
        </a:p>
      </dgm:t>
    </dgm:pt>
    <dgm:pt modelId="{2F8074B3-4011-4214-8D4A-8F79F275B9A3}" type="parTrans" cxnId="{FCACAA2B-1C8D-41D6-BF64-02C632F783E8}">
      <dgm:prSet/>
      <dgm:spPr/>
      <dgm:t>
        <a:bodyPr/>
        <a:lstStyle/>
        <a:p>
          <a:endParaRPr lang="es-ES">
            <a:latin typeface="Arial" panose="020B0604020202020204" pitchFamily="34" charset="0"/>
            <a:cs typeface="Arial" panose="020B0604020202020204" pitchFamily="34" charset="0"/>
          </a:endParaRPr>
        </a:p>
      </dgm:t>
    </dgm:pt>
    <dgm:pt modelId="{516972BC-80EF-41C1-BAA3-234DA4CCCE13}" type="sibTrans" cxnId="{FCACAA2B-1C8D-41D6-BF64-02C632F783E8}">
      <dgm:prSet/>
      <dgm:spPr/>
      <dgm:t>
        <a:bodyPr/>
        <a:lstStyle/>
        <a:p>
          <a:endParaRPr lang="es-ES">
            <a:latin typeface="Arial" panose="020B0604020202020204" pitchFamily="34" charset="0"/>
            <a:cs typeface="Arial" panose="020B0604020202020204" pitchFamily="34" charset="0"/>
          </a:endParaRPr>
        </a:p>
      </dgm:t>
    </dgm:pt>
    <dgm:pt modelId="{C42CC886-E8C8-4D58-BE34-1F1B2D6A21D1}">
      <dgm:prSet/>
      <dgm:spPr/>
      <dgm:t>
        <a:bodyPr/>
        <a:lstStyle/>
        <a:p>
          <a:r>
            <a:rPr lang="es-CO">
              <a:latin typeface="Arial" panose="020B0604020202020204" pitchFamily="34" charset="0"/>
              <a:cs typeface="Arial" panose="020B0604020202020204" pitchFamily="34" charset="0"/>
            </a:rPr>
            <a:t>Este parámetro puede ser útil para establecer el tamaño de poblaciones que requieren seguimiento, control o atención de condiciones de salud ya presentes.</a:t>
          </a:r>
          <a:endParaRPr lang="en-US">
            <a:latin typeface="Arial" panose="020B0604020202020204" pitchFamily="34" charset="0"/>
            <a:cs typeface="Arial" panose="020B0604020202020204" pitchFamily="34" charset="0"/>
          </a:endParaRPr>
        </a:p>
      </dgm:t>
    </dgm:pt>
    <dgm:pt modelId="{B260020D-9ADF-4731-B820-D699F3072F0D}" type="parTrans" cxnId="{3D4DC46B-4909-4971-AEA2-E02AF82695C9}">
      <dgm:prSet/>
      <dgm:spPr/>
      <dgm:t>
        <a:bodyPr/>
        <a:lstStyle/>
        <a:p>
          <a:endParaRPr lang="es-ES">
            <a:latin typeface="Arial" panose="020B0604020202020204" pitchFamily="34" charset="0"/>
            <a:cs typeface="Arial" panose="020B0604020202020204" pitchFamily="34" charset="0"/>
          </a:endParaRPr>
        </a:p>
      </dgm:t>
    </dgm:pt>
    <dgm:pt modelId="{ABEBF4A7-4054-44B6-BE8C-24324C0208A9}" type="sibTrans" cxnId="{3D4DC46B-4909-4971-AEA2-E02AF82695C9}">
      <dgm:prSet/>
      <dgm:spPr/>
      <dgm:t>
        <a:bodyPr/>
        <a:lstStyle/>
        <a:p>
          <a:endParaRPr lang="es-ES">
            <a:latin typeface="Arial" panose="020B0604020202020204" pitchFamily="34" charset="0"/>
            <a:cs typeface="Arial" panose="020B0604020202020204" pitchFamily="34" charset="0"/>
          </a:endParaRPr>
        </a:p>
      </dgm:t>
    </dgm:pt>
    <dgm:pt modelId="{2E24E449-7DA9-4D0B-8EE8-3A4E95D67539}">
      <dgm:prSet/>
      <dgm:spPr/>
      <dgm:t>
        <a:bodyPr/>
        <a:lstStyle/>
        <a:p>
          <a:r>
            <a:rPr lang="es-CO">
              <a:latin typeface="Arial" panose="020B0604020202020204" pitchFamily="34" charset="0"/>
              <a:cs typeface="Arial" panose="020B0604020202020204" pitchFamily="34" charset="0"/>
            </a:rPr>
            <a:t>Tasa de uso</a:t>
          </a:r>
          <a:endParaRPr lang="en-US">
            <a:latin typeface="Arial" panose="020B0604020202020204" pitchFamily="34" charset="0"/>
            <a:cs typeface="Arial" panose="020B0604020202020204" pitchFamily="34" charset="0"/>
          </a:endParaRPr>
        </a:p>
      </dgm:t>
    </dgm:pt>
    <dgm:pt modelId="{7AE4CF77-695D-44A4-BC56-B261EA8A4A90}" type="parTrans" cxnId="{3A58E2F2-581E-4962-8BC8-3A79805A21BA}">
      <dgm:prSet/>
      <dgm:spPr/>
      <dgm:t>
        <a:bodyPr/>
        <a:lstStyle/>
        <a:p>
          <a:endParaRPr lang="es-ES">
            <a:latin typeface="Arial" panose="020B0604020202020204" pitchFamily="34" charset="0"/>
            <a:cs typeface="Arial" panose="020B0604020202020204" pitchFamily="34" charset="0"/>
          </a:endParaRPr>
        </a:p>
      </dgm:t>
    </dgm:pt>
    <dgm:pt modelId="{A9B8FEB5-3FBE-4BF3-9777-10AAA9B5B70E}" type="sibTrans" cxnId="{3A58E2F2-581E-4962-8BC8-3A79805A21BA}">
      <dgm:prSet/>
      <dgm:spPr/>
      <dgm:t>
        <a:bodyPr/>
        <a:lstStyle/>
        <a:p>
          <a:endParaRPr lang="es-ES">
            <a:latin typeface="Arial" panose="020B0604020202020204" pitchFamily="34" charset="0"/>
            <a:cs typeface="Arial" panose="020B0604020202020204" pitchFamily="34" charset="0"/>
          </a:endParaRPr>
        </a:p>
      </dgm:t>
    </dgm:pt>
    <dgm:pt modelId="{FA54811F-F7FC-4BBE-9469-6B5D9B05117D}">
      <dgm:prSet/>
      <dgm:spPr/>
      <dgm:t>
        <a:bodyPr/>
        <a:lstStyle/>
        <a:p>
          <a:r>
            <a:rPr lang="es-CO">
              <a:latin typeface="Arial" panose="020B0604020202020204" pitchFamily="34" charset="0"/>
              <a:cs typeface="Arial" panose="020B0604020202020204" pitchFamily="34" charset="0"/>
            </a:rPr>
            <a:t>La tasa de uso permite relacionar la utilización de un servicio o tecnología con una población determinada durante un periodo. Su análisis aporta información sobre el comportamiento observado de la utilización de los servicios y puede contribuir a establecer las frecuencias esperadas para la nota técnica.</a:t>
          </a:r>
          <a:endParaRPr lang="en-US">
            <a:latin typeface="Arial" panose="020B0604020202020204" pitchFamily="34" charset="0"/>
            <a:cs typeface="Arial" panose="020B0604020202020204" pitchFamily="34" charset="0"/>
          </a:endParaRPr>
        </a:p>
      </dgm:t>
    </dgm:pt>
    <dgm:pt modelId="{6FFF65E1-59F1-49F1-8B95-6B717B59F9A9}" type="parTrans" cxnId="{EEC5FE2D-989C-491A-B4C7-974AF0770F80}">
      <dgm:prSet/>
      <dgm:spPr/>
      <dgm:t>
        <a:bodyPr/>
        <a:lstStyle/>
        <a:p>
          <a:endParaRPr lang="es-ES">
            <a:latin typeface="Arial" panose="020B0604020202020204" pitchFamily="34" charset="0"/>
            <a:cs typeface="Arial" panose="020B0604020202020204" pitchFamily="34" charset="0"/>
          </a:endParaRPr>
        </a:p>
      </dgm:t>
    </dgm:pt>
    <dgm:pt modelId="{91463808-22BC-49FA-BFCB-0703DFA75DD7}" type="sibTrans" cxnId="{EEC5FE2D-989C-491A-B4C7-974AF0770F80}">
      <dgm:prSet/>
      <dgm:spPr/>
      <dgm:t>
        <a:bodyPr/>
        <a:lstStyle/>
        <a:p>
          <a:endParaRPr lang="es-ES">
            <a:latin typeface="Arial" panose="020B0604020202020204" pitchFamily="34" charset="0"/>
            <a:cs typeface="Arial" panose="020B0604020202020204" pitchFamily="34" charset="0"/>
          </a:endParaRPr>
        </a:p>
      </dgm:t>
    </dgm:pt>
    <dgm:pt modelId="{310E670E-4D97-4596-A6E0-C00B635BF777}">
      <dgm:prSet/>
      <dgm:spPr/>
      <dgm:t>
        <a:bodyPr/>
        <a:lstStyle/>
        <a:p>
          <a:r>
            <a:rPr lang="es-CO">
              <a:latin typeface="Arial" panose="020B0604020202020204" pitchFamily="34" charset="0"/>
              <a:cs typeface="Arial" panose="020B0604020202020204" pitchFamily="34" charset="0"/>
            </a:rPr>
            <a:t>Para determinar los parámetros epidemiológicos asociados con las poblaciones definidas, pueden considerarse prevalencia, incidencia, tasas de uso, entre otros, y recomienda priorizar fuentes correspondientes al territorio o al contexto poblacional analizado.</a:t>
          </a:r>
          <a:endParaRPr lang="en-US">
            <a:latin typeface="Arial" panose="020B0604020202020204" pitchFamily="34" charset="0"/>
            <a:cs typeface="Arial" panose="020B0604020202020204" pitchFamily="34" charset="0"/>
          </a:endParaRPr>
        </a:p>
      </dgm:t>
    </dgm:pt>
    <dgm:pt modelId="{691B3BBF-6787-4512-8A0A-EC80CA58D77C}" type="parTrans" cxnId="{A5D958F3-FFD9-4C75-B384-F2B92096A402}">
      <dgm:prSet/>
      <dgm:spPr/>
      <dgm:t>
        <a:bodyPr/>
        <a:lstStyle/>
        <a:p>
          <a:endParaRPr lang="es-ES">
            <a:latin typeface="Arial" panose="020B0604020202020204" pitchFamily="34" charset="0"/>
            <a:cs typeface="Arial" panose="020B0604020202020204" pitchFamily="34" charset="0"/>
          </a:endParaRPr>
        </a:p>
      </dgm:t>
    </dgm:pt>
    <dgm:pt modelId="{8469C238-9314-4B1E-829A-8741F3FCCE7D}" type="sibTrans" cxnId="{A5D958F3-FFD9-4C75-B384-F2B92096A402}">
      <dgm:prSet/>
      <dgm:spPr/>
      <dgm:t>
        <a:bodyPr/>
        <a:lstStyle/>
        <a:p>
          <a:endParaRPr lang="es-ES">
            <a:latin typeface="Arial" panose="020B0604020202020204" pitchFamily="34" charset="0"/>
            <a:cs typeface="Arial" panose="020B0604020202020204" pitchFamily="34" charset="0"/>
          </a:endParaRPr>
        </a:p>
      </dgm:t>
    </dgm:pt>
    <dgm:pt modelId="{2D46DDFF-E864-4130-BEDA-C964731F8AEC}" type="pres">
      <dgm:prSet presAssocID="{C95AEF53-0A32-4936-AB28-8ABB2E619ABE}" presName="theList" presStyleCnt="0">
        <dgm:presLayoutVars>
          <dgm:dir/>
          <dgm:animLvl val="lvl"/>
          <dgm:resizeHandles val="exact"/>
        </dgm:presLayoutVars>
      </dgm:prSet>
      <dgm:spPr/>
      <dgm:t>
        <a:bodyPr/>
        <a:lstStyle/>
        <a:p>
          <a:endParaRPr lang="es-ES"/>
        </a:p>
      </dgm:t>
    </dgm:pt>
    <dgm:pt modelId="{1828530E-00AA-44B0-9DF0-F52D945D8C73}" type="pres">
      <dgm:prSet presAssocID="{2B2E8A32-7319-4A64-93FA-07586F5C82F5}" presName="compNode" presStyleCnt="0"/>
      <dgm:spPr/>
    </dgm:pt>
    <dgm:pt modelId="{0ECBE716-11CA-49C0-9C00-E73315948352}" type="pres">
      <dgm:prSet presAssocID="{2B2E8A32-7319-4A64-93FA-07586F5C82F5}" presName="aNode" presStyleLbl="bgShp" presStyleIdx="0" presStyleCnt="3"/>
      <dgm:spPr/>
      <dgm:t>
        <a:bodyPr/>
        <a:lstStyle/>
        <a:p>
          <a:endParaRPr lang="es-ES"/>
        </a:p>
      </dgm:t>
    </dgm:pt>
    <dgm:pt modelId="{10DFA6C2-AD0D-4884-AD53-CEAA5DF4DFD1}" type="pres">
      <dgm:prSet presAssocID="{2B2E8A32-7319-4A64-93FA-07586F5C82F5}" presName="textNode" presStyleLbl="bgShp" presStyleIdx="0" presStyleCnt="3"/>
      <dgm:spPr/>
      <dgm:t>
        <a:bodyPr/>
        <a:lstStyle/>
        <a:p>
          <a:endParaRPr lang="es-ES"/>
        </a:p>
      </dgm:t>
    </dgm:pt>
    <dgm:pt modelId="{D58219D6-CFC8-4813-9235-CC6CE775E181}" type="pres">
      <dgm:prSet presAssocID="{2B2E8A32-7319-4A64-93FA-07586F5C82F5}" presName="compChildNode" presStyleCnt="0"/>
      <dgm:spPr/>
    </dgm:pt>
    <dgm:pt modelId="{3B4A1DBB-C675-407E-AD45-2DD244B25A69}" type="pres">
      <dgm:prSet presAssocID="{2B2E8A32-7319-4A64-93FA-07586F5C82F5}" presName="theInnerList" presStyleCnt="0"/>
      <dgm:spPr/>
    </dgm:pt>
    <dgm:pt modelId="{FA0F94C1-A3D0-41F6-BC7E-DB733D856932}" type="pres">
      <dgm:prSet presAssocID="{303C0847-5BF0-4831-8F0A-2B9305FE7D32}" presName="childNode" presStyleLbl="node1" presStyleIdx="0" presStyleCnt="6">
        <dgm:presLayoutVars>
          <dgm:bulletEnabled val="1"/>
        </dgm:presLayoutVars>
      </dgm:prSet>
      <dgm:spPr/>
      <dgm:t>
        <a:bodyPr/>
        <a:lstStyle/>
        <a:p>
          <a:endParaRPr lang="es-ES"/>
        </a:p>
      </dgm:t>
    </dgm:pt>
    <dgm:pt modelId="{4BD56CD5-9A1E-4CF7-B6C7-B9E9AE3A70B6}" type="pres">
      <dgm:prSet presAssocID="{303C0847-5BF0-4831-8F0A-2B9305FE7D32}" presName="aSpace2" presStyleCnt="0"/>
      <dgm:spPr/>
    </dgm:pt>
    <dgm:pt modelId="{C9DF3FE7-CFBC-4F55-AC9A-46528E393027}" type="pres">
      <dgm:prSet presAssocID="{92F05792-3E7B-4EB2-B278-667C81D62B7D}" presName="childNode" presStyleLbl="node1" presStyleIdx="1" presStyleCnt="6">
        <dgm:presLayoutVars>
          <dgm:bulletEnabled val="1"/>
        </dgm:presLayoutVars>
      </dgm:prSet>
      <dgm:spPr/>
      <dgm:t>
        <a:bodyPr/>
        <a:lstStyle/>
        <a:p>
          <a:endParaRPr lang="es-ES"/>
        </a:p>
      </dgm:t>
    </dgm:pt>
    <dgm:pt modelId="{5D4848EC-A5BC-40C9-9DE9-D17D966F5620}" type="pres">
      <dgm:prSet presAssocID="{2B2E8A32-7319-4A64-93FA-07586F5C82F5}" presName="aSpace" presStyleCnt="0"/>
      <dgm:spPr/>
    </dgm:pt>
    <dgm:pt modelId="{6F21B456-9371-41F3-8447-D6A557CD24BF}" type="pres">
      <dgm:prSet presAssocID="{EB369880-6EFE-4F79-A318-33E5237A2CCF}" presName="compNode" presStyleCnt="0"/>
      <dgm:spPr/>
    </dgm:pt>
    <dgm:pt modelId="{AEC4A3C0-47C0-4537-B647-D47C0827A2EA}" type="pres">
      <dgm:prSet presAssocID="{EB369880-6EFE-4F79-A318-33E5237A2CCF}" presName="aNode" presStyleLbl="bgShp" presStyleIdx="1" presStyleCnt="3"/>
      <dgm:spPr/>
      <dgm:t>
        <a:bodyPr/>
        <a:lstStyle/>
        <a:p>
          <a:endParaRPr lang="es-ES"/>
        </a:p>
      </dgm:t>
    </dgm:pt>
    <dgm:pt modelId="{AD2D38EE-97FF-4130-A3BF-DAF4831BE835}" type="pres">
      <dgm:prSet presAssocID="{EB369880-6EFE-4F79-A318-33E5237A2CCF}" presName="textNode" presStyleLbl="bgShp" presStyleIdx="1" presStyleCnt="3"/>
      <dgm:spPr/>
      <dgm:t>
        <a:bodyPr/>
        <a:lstStyle/>
        <a:p>
          <a:endParaRPr lang="es-ES"/>
        </a:p>
      </dgm:t>
    </dgm:pt>
    <dgm:pt modelId="{4602F9FB-34B7-4BB5-A024-05E71C8FC615}" type="pres">
      <dgm:prSet presAssocID="{EB369880-6EFE-4F79-A318-33E5237A2CCF}" presName="compChildNode" presStyleCnt="0"/>
      <dgm:spPr/>
    </dgm:pt>
    <dgm:pt modelId="{5E5DDAB0-7339-4E20-9D11-14FCC83D1DE4}" type="pres">
      <dgm:prSet presAssocID="{EB369880-6EFE-4F79-A318-33E5237A2CCF}" presName="theInnerList" presStyleCnt="0"/>
      <dgm:spPr/>
    </dgm:pt>
    <dgm:pt modelId="{A27A95D7-92FF-4182-8604-46BCF3FB46A5}" type="pres">
      <dgm:prSet presAssocID="{3876122F-E3E4-412D-87C8-1B8D8FEA9C9B}" presName="childNode" presStyleLbl="node1" presStyleIdx="2" presStyleCnt="6">
        <dgm:presLayoutVars>
          <dgm:bulletEnabled val="1"/>
        </dgm:presLayoutVars>
      </dgm:prSet>
      <dgm:spPr/>
      <dgm:t>
        <a:bodyPr/>
        <a:lstStyle/>
        <a:p>
          <a:endParaRPr lang="es-ES"/>
        </a:p>
      </dgm:t>
    </dgm:pt>
    <dgm:pt modelId="{CAF5EF16-F480-4C3A-9977-ECE4A5F8B4A3}" type="pres">
      <dgm:prSet presAssocID="{3876122F-E3E4-412D-87C8-1B8D8FEA9C9B}" presName="aSpace2" presStyleCnt="0"/>
      <dgm:spPr/>
    </dgm:pt>
    <dgm:pt modelId="{8185FD66-E395-47A0-9A6F-8A5AD1CAAC04}" type="pres">
      <dgm:prSet presAssocID="{C42CC886-E8C8-4D58-BE34-1F1B2D6A21D1}" presName="childNode" presStyleLbl="node1" presStyleIdx="3" presStyleCnt="6">
        <dgm:presLayoutVars>
          <dgm:bulletEnabled val="1"/>
        </dgm:presLayoutVars>
      </dgm:prSet>
      <dgm:spPr/>
      <dgm:t>
        <a:bodyPr/>
        <a:lstStyle/>
        <a:p>
          <a:endParaRPr lang="es-ES"/>
        </a:p>
      </dgm:t>
    </dgm:pt>
    <dgm:pt modelId="{6E94700E-3FCF-4F3C-AA23-3BBE6E2DB333}" type="pres">
      <dgm:prSet presAssocID="{EB369880-6EFE-4F79-A318-33E5237A2CCF}" presName="aSpace" presStyleCnt="0"/>
      <dgm:spPr/>
    </dgm:pt>
    <dgm:pt modelId="{19B559C1-7034-44A9-873F-0862CB9BC58F}" type="pres">
      <dgm:prSet presAssocID="{2E24E449-7DA9-4D0B-8EE8-3A4E95D67539}" presName="compNode" presStyleCnt="0"/>
      <dgm:spPr/>
    </dgm:pt>
    <dgm:pt modelId="{8D330BF5-FF81-4C7D-82B2-EC19668792A4}" type="pres">
      <dgm:prSet presAssocID="{2E24E449-7DA9-4D0B-8EE8-3A4E95D67539}" presName="aNode" presStyleLbl="bgShp" presStyleIdx="2" presStyleCnt="3"/>
      <dgm:spPr/>
      <dgm:t>
        <a:bodyPr/>
        <a:lstStyle/>
        <a:p>
          <a:endParaRPr lang="es-ES"/>
        </a:p>
      </dgm:t>
    </dgm:pt>
    <dgm:pt modelId="{F83D9075-D0B6-46F1-B6CE-6FCFB57F81EE}" type="pres">
      <dgm:prSet presAssocID="{2E24E449-7DA9-4D0B-8EE8-3A4E95D67539}" presName="textNode" presStyleLbl="bgShp" presStyleIdx="2" presStyleCnt="3"/>
      <dgm:spPr/>
      <dgm:t>
        <a:bodyPr/>
        <a:lstStyle/>
        <a:p>
          <a:endParaRPr lang="es-ES"/>
        </a:p>
      </dgm:t>
    </dgm:pt>
    <dgm:pt modelId="{DA382A4E-A5E3-4C25-8C35-8310F5D0CEE7}" type="pres">
      <dgm:prSet presAssocID="{2E24E449-7DA9-4D0B-8EE8-3A4E95D67539}" presName="compChildNode" presStyleCnt="0"/>
      <dgm:spPr/>
    </dgm:pt>
    <dgm:pt modelId="{BB28CD27-61DB-4B2A-A850-84B0F68C366C}" type="pres">
      <dgm:prSet presAssocID="{2E24E449-7DA9-4D0B-8EE8-3A4E95D67539}" presName="theInnerList" presStyleCnt="0"/>
      <dgm:spPr/>
    </dgm:pt>
    <dgm:pt modelId="{AD6DD7CC-A932-4C90-8620-3BE6777AA3D0}" type="pres">
      <dgm:prSet presAssocID="{FA54811F-F7FC-4BBE-9469-6B5D9B05117D}" presName="childNode" presStyleLbl="node1" presStyleIdx="4" presStyleCnt="6">
        <dgm:presLayoutVars>
          <dgm:bulletEnabled val="1"/>
        </dgm:presLayoutVars>
      </dgm:prSet>
      <dgm:spPr/>
      <dgm:t>
        <a:bodyPr/>
        <a:lstStyle/>
        <a:p>
          <a:endParaRPr lang="es-ES"/>
        </a:p>
      </dgm:t>
    </dgm:pt>
    <dgm:pt modelId="{1702E9AB-0CD9-4BBF-83E1-E87D7F6106CE}" type="pres">
      <dgm:prSet presAssocID="{FA54811F-F7FC-4BBE-9469-6B5D9B05117D}" presName="aSpace2" presStyleCnt="0"/>
      <dgm:spPr/>
    </dgm:pt>
    <dgm:pt modelId="{40E674D7-D093-4757-A632-743D208B3886}" type="pres">
      <dgm:prSet presAssocID="{310E670E-4D97-4596-A6E0-C00B635BF777}" presName="childNode" presStyleLbl="node1" presStyleIdx="5" presStyleCnt="6">
        <dgm:presLayoutVars>
          <dgm:bulletEnabled val="1"/>
        </dgm:presLayoutVars>
      </dgm:prSet>
      <dgm:spPr/>
      <dgm:t>
        <a:bodyPr/>
        <a:lstStyle/>
        <a:p>
          <a:endParaRPr lang="es-ES"/>
        </a:p>
      </dgm:t>
    </dgm:pt>
  </dgm:ptLst>
  <dgm:cxnLst>
    <dgm:cxn modelId="{F31AE76A-8528-4B1F-AD9A-D4209D2C9C35}" srcId="{2B2E8A32-7319-4A64-93FA-07586F5C82F5}" destId="{92F05792-3E7B-4EB2-B278-667C81D62B7D}" srcOrd="1" destOrd="0" parTransId="{166FF7A8-E8C7-4099-8D23-2FFD0D6EA83B}" sibTransId="{9DEAD056-5653-4C1C-8C3E-451A514F98B9}"/>
    <dgm:cxn modelId="{D1CBB478-D9B0-4691-AB06-EFEA380D2CF7}" type="presOf" srcId="{C95AEF53-0A32-4936-AB28-8ABB2E619ABE}" destId="{2D46DDFF-E864-4130-BEDA-C964731F8AEC}" srcOrd="0" destOrd="0" presId="urn:microsoft.com/office/officeart/2005/8/layout/lProcess2"/>
    <dgm:cxn modelId="{A4DFE3E3-F129-4D72-A33A-0FA298B28352}" type="presOf" srcId="{FA54811F-F7FC-4BBE-9469-6B5D9B05117D}" destId="{AD6DD7CC-A932-4C90-8620-3BE6777AA3D0}" srcOrd="0" destOrd="0" presId="urn:microsoft.com/office/officeart/2005/8/layout/lProcess2"/>
    <dgm:cxn modelId="{82CD954C-1B2A-48D4-8297-6D563B1AA2DB}" srcId="{2B2E8A32-7319-4A64-93FA-07586F5C82F5}" destId="{303C0847-5BF0-4831-8F0A-2B9305FE7D32}" srcOrd="0" destOrd="0" parTransId="{F3B7CA2A-0C1B-4107-A897-DE13C65C00E2}" sibTransId="{F0CD8E38-08AA-4842-A0F6-1EDF91F5F1B4}"/>
    <dgm:cxn modelId="{443E5145-5264-4EC7-8ABE-11776D19CB0E}" type="presOf" srcId="{303C0847-5BF0-4831-8F0A-2B9305FE7D32}" destId="{FA0F94C1-A3D0-41F6-BC7E-DB733D856932}" srcOrd="0" destOrd="0" presId="urn:microsoft.com/office/officeart/2005/8/layout/lProcess2"/>
    <dgm:cxn modelId="{EEC5FE2D-989C-491A-B4C7-974AF0770F80}" srcId="{2E24E449-7DA9-4D0B-8EE8-3A4E95D67539}" destId="{FA54811F-F7FC-4BBE-9469-6B5D9B05117D}" srcOrd="0" destOrd="0" parTransId="{6FFF65E1-59F1-49F1-8B95-6B717B59F9A9}" sibTransId="{91463808-22BC-49FA-BFCB-0703DFA75DD7}"/>
    <dgm:cxn modelId="{35F6C556-C1F5-432A-BA22-07F7E1F9C35E}" type="presOf" srcId="{EB369880-6EFE-4F79-A318-33E5237A2CCF}" destId="{AD2D38EE-97FF-4130-A3BF-DAF4831BE835}" srcOrd="1" destOrd="0" presId="urn:microsoft.com/office/officeart/2005/8/layout/lProcess2"/>
    <dgm:cxn modelId="{3D4DC46B-4909-4971-AEA2-E02AF82695C9}" srcId="{EB369880-6EFE-4F79-A318-33E5237A2CCF}" destId="{C42CC886-E8C8-4D58-BE34-1F1B2D6A21D1}" srcOrd="1" destOrd="0" parTransId="{B260020D-9ADF-4731-B820-D699F3072F0D}" sibTransId="{ABEBF4A7-4054-44B6-BE8C-24324C0208A9}"/>
    <dgm:cxn modelId="{3A58E2F2-581E-4962-8BC8-3A79805A21BA}" srcId="{C95AEF53-0A32-4936-AB28-8ABB2E619ABE}" destId="{2E24E449-7DA9-4D0B-8EE8-3A4E95D67539}" srcOrd="2" destOrd="0" parTransId="{7AE4CF77-695D-44A4-BC56-B261EA8A4A90}" sibTransId="{A9B8FEB5-3FBE-4BF3-9777-10AAA9B5B70E}"/>
    <dgm:cxn modelId="{F652B37A-5D56-47EA-8B17-C750F458F49D}" type="presOf" srcId="{2B2E8A32-7319-4A64-93FA-07586F5C82F5}" destId="{0ECBE716-11CA-49C0-9C00-E73315948352}" srcOrd="0" destOrd="0" presId="urn:microsoft.com/office/officeart/2005/8/layout/lProcess2"/>
    <dgm:cxn modelId="{5F0625E9-2FB7-4061-814D-97BDECEDBAFC}" type="presOf" srcId="{2E24E449-7DA9-4D0B-8EE8-3A4E95D67539}" destId="{F83D9075-D0B6-46F1-B6CE-6FCFB57F81EE}" srcOrd="1" destOrd="0" presId="urn:microsoft.com/office/officeart/2005/8/layout/lProcess2"/>
    <dgm:cxn modelId="{7A6FB02F-83E8-4292-AD5F-690ECF2CDB84}" type="presOf" srcId="{EB369880-6EFE-4F79-A318-33E5237A2CCF}" destId="{AEC4A3C0-47C0-4537-B647-D47C0827A2EA}" srcOrd="0" destOrd="0" presId="urn:microsoft.com/office/officeart/2005/8/layout/lProcess2"/>
    <dgm:cxn modelId="{DBCF50B6-86E6-44AF-A8A1-A90ED551B5BA}" type="presOf" srcId="{92F05792-3E7B-4EB2-B278-667C81D62B7D}" destId="{C9DF3FE7-CFBC-4F55-AC9A-46528E393027}" srcOrd="0" destOrd="0" presId="urn:microsoft.com/office/officeart/2005/8/layout/lProcess2"/>
    <dgm:cxn modelId="{A5D958F3-FFD9-4C75-B384-F2B92096A402}" srcId="{2E24E449-7DA9-4D0B-8EE8-3A4E95D67539}" destId="{310E670E-4D97-4596-A6E0-C00B635BF777}" srcOrd="1" destOrd="0" parTransId="{691B3BBF-6787-4512-8A0A-EC80CA58D77C}" sibTransId="{8469C238-9314-4B1E-829A-8741F3FCCE7D}"/>
    <dgm:cxn modelId="{E9D8AC03-1F28-433E-8220-8561C3421793}" type="presOf" srcId="{2B2E8A32-7319-4A64-93FA-07586F5C82F5}" destId="{10DFA6C2-AD0D-4884-AD53-CEAA5DF4DFD1}" srcOrd="1" destOrd="0" presId="urn:microsoft.com/office/officeart/2005/8/layout/lProcess2"/>
    <dgm:cxn modelId="{2F7CA5DD-5B30-4211-8115-12EEA7B4259D}" srcId="{C95AEF53-0A32-4936-AB28-8ABB2E619ABE}" destId="{EB369880-6EFE-4F79-A318-33E5237A2CCF}" srcOrd="1" destOrd="0" parTransId="{4FB99FCE-7FE8-41F0-9200-DEDB84EC79AA}" sibTransId="{FF20F0F8-C701-4A28-A2B1-827522EE4C70}"/>
    <dgm:cxn modelId="{FCACAA2B-1C8D-41D6-BF64-02C632F783E8}" srcId="{EB369880-6EFE-4F79-A318-33E5237A2CCF}" destId="{3876122F-E3E4-412D-87C8-1B8D8FEA9C9B}" srcOrd="0" destOrd="0" parTransId="{2F8074B3-4011-4214-8D4A-8F79F275B9A3}" sibTransId="{516972BC-80EF-41C1-BAA3-234DA4CCCE13}"/>
    <dgm:cxn modelId="{AB4E14B8-2655-426D-ABE2-8A661FAF6CF9}" type="presOf" srcId="{3876122F-E3E4-412D-87C8-1B8D8FEA9C9B}" destId="{A27A95D7-92FF-4182-8604-46BCF3FB46A5}" srcOrd="0" destOrd="0" presId="urn:microsoft.com/office/officeart/2005/8/layout/lProcess2"/>
    <dgm:cxn modelId="{B8C81251-BD0A-4E22-AEB6-814116966E12}" type="presOf" srcId="{C42CC886-E8C8-4D58-BE34-1F1B2D6A21D1}" destId="{8185FD66-E395-47A0-9A6F-8A5AD1CAAC04}" srcOrd="0" destOrd="0" presId="urn:microsoft.com/office/officeart/2005/8/layout/lProcess2"/>
    <dgm:cxn modelId="{0D205446-8E85-47FA-96E7-946ED97CE50B}" type="presOf" srcId="{2E24E449-7DA9-4D0B-8EE8-3A4E95D67539}" destId="{8D330BF5-FF81-4C7D-82B2-EC19668792A4}" srcOrd="0" destOrd="0" presId="urn:microsoft.com/office/officeart/2005/8/layout/lProcess2"/>
    <dgm:cxn modelId="{3B60368C-D7A8-411C-9280-1340D6635EAF}" type="presOf" srcId="{310E670E-4D97-4596-A6E0-C00B635BF777}" destId="{40E674D7-D093-4757-A632-743D208B3886}" srcOrd="0" destOrd="0" presId="urn:microsoft.com/office/officeart/2005/8/layout/lProcess2"/>
    <dgm:cxn modelId="{69B6F47A-BB2A-4C52-861E-F637CF8EF6F8}" srcId="{C95AEF53-0A32-4936-AB28-8ABB2E619ABE}" destId="{2B2E8A32-7319-4A64-93FA-07586F5C82F5}" srcOrd="0" destOrd="0" parTransId="{F84ABA32-D2ED-46AB-88EB-6F27E1D6AE3E}" sibTransId="{BF4EC8D3-3F04-43A1-AC3F-99F1F9467EEE}"/>
    <dgm:cxn modelId="{2D388922-D92F-4C17-929A-CEE0FA4160C6}" type="presParOf" srcId="{2D46DDFF-E864-4130-BEDA-C964731F8AEC}" destId="{1828530E-00AA-44B0-9DF0-F52D945D8C73}" srcOrd="0" destOrd="0" presId="urn:microsoft.com/office/officeart/2005/8/layout/lProcess2"/>
    <dgm:cxn modelId="{30B545F3-1410-42E0-9A98-F98BA8EEDC1B}" type="presParOf" srcId="{1828530E-00AA-44B0-9DF0-F52D945D8C73}" destId="{0ECBE716-11CA-49C0-9C00-E73315948352}" srcOrd="0" destOrd="0" presId="urn:microsoft.com/office/officeart/2005/8/layout/lProcess2"/>
    <dgm:cxn modelId="{64237C68-6724-41A7-91C1-39779967E201}" type="presParOf" srcId="{1828530E-00AA-44B0-9DF0-F52D945D8C73}" destId="{10DFA6C2-AD0D-4884-AD53-CEAA5DF4DFD1}" srcOrd="1" destOrd="0" presId="urn:microsoft.com/office/officeart/2005/8/layout/lProcess2"/>
    <dgm:cxn modelId="{2296DC4D-7623-4CEB-A98F-512DAB2656DF}" type="presParOf" srcId="{1828530E-00AA-44B0-9DF0-F52D945D8C73}" destId="{D58219D6-CFC8-4813-9235-CC6CE775E181}" srcOrd="2" destOrd="0" presId="urn:microsoft.com/office/officeart/2005/8/layout/lProcess2"/>
    <dgm:cxn modelId="{CD880278-78F9-4B85-B236-9B96D5A04E20}" type="presParOf" srcId="{D58219D6-CFC8-4813-9235-CC6CE775E181}" destId="{3B4A1DBB-C675-407E-AD45-2DD244B25A69}" srcOrd="0" destOrd="0" presId="urn:microsoft.com/office/officeart/2005/8/layout/lProcess2"/>
    <dgm:cxn modelId="{3B8EC3EC-3DA7-4132-B330-D0408477D783}" type="presParOf" srcId="{3B4A1DBB-C675-407E-AD45-2DD244B25A69}" destId="{FA0F94C1-A3D0-41F6-BC7E-DB733D856932}" srcOrd="0" destOrd="0" presId="urn:microsoft.com/office/officeart/2005/8/layout/lProcess2"/>
    <dgm:cxn modelId="{A3953B06-BB44-4333-82EF-678ED7DD0062}" type="presParOf" srcId="{3B4A1DBB-C675-407E-AD45-2DD244B25A69}" destId="{4BD56CD5-9A1E-4CF7-B6C7-B9E9AE3A70B6}" srcOrd="1" destOrd="0" presId="urn:microsoft.com/office/officeart/2005/8/layout/lProcess2"/>
    <dgm:cxn modelId="{5C6C75D7-F5B2-4522-8192-4541DF1B6781}" type="presParOf" srcId="{3B4A1DBB-C675-407E-AD45-2DD244B25A69}" destId="{C9DF3FE7-CFBC-4F55-AC9A-46528E393027}" srcOrd="2" destOrd="0" presId="urn:microsoft.com/office/officeart/2005/8/layout/lProcess2"/>
    <dgm:cxn modelId="{DBF0A7FC-9EA9-408D-9423-AFB776F85593}" type="presParOf" srcId="{2D46DDFF-E864-4130-BEDA-C964731F8AEC}" destId="{5D4848EC-A5BC-40C9-9DE9-D17D966F5620}" srcOrd="1" destOrd="0" presId="urn:microsoft.com/office/officeart/2005/8/layout/lProcess2"/>
    <dgm:cxn modelId="{65C33A7C-BD24-4C79-9DF9-76D429E73437}" type="presParOf" srcId="{2D46DDFF-E864-4130-BEDA-C964731F8AEC}" destId="{6F21B456-9371-41F3-8447-D6A557CD24BF}" srcOrd="2" destOrd="0" presId="urn:microsoft.com/office/officeart/2005/8/layout/lProcess2"/>
    <dgm:cxn modelId="{1F39A76C-1A76-47C7-85C5-F3B8CD70B4BA}" type="presParOf" srcId="{6F21B456-9371-41F3-8447-D6A557CD24BF}" destId="{AEC4A3C0-47C0-4537-B647-D47C0827A2EA}" srcOrd="0" destOrd="0" presId="urn:microsoft.com/office/officeart/2005/8/layout/lProcess2"/>
    <dgm:cxn modelId="{0AE612F8-849D-428B-AE1F-26C68DEA8BC4}" type="presParOf" srcId="{6F21B456-9371-41F3-8447-D6A557CD24BF}" destId="{AD2D38EE-97FF-4130-A3BF-DAF4831BE835}" srcOrd="1" destOrd="0" presId="urn:microsoft.com/office/officeart/2005/8/layout/lProcess2"/>
    <dgm:cxn modelId="{A0F91565-2C2C-4180-A175-09B428F7AF8B}" type="presParOf" srcId="{6F21B456-9371-41F3-8447-D6A557CD24BF}" destId="{4602F9FB-34B7-4BB5-A024-05E71C8FC615}" srcOrd="2" destOrd="0" presId="urn:microsoft.com/office/officeart/2005/8/layout/lProcess2"/>
    <dgm:cxn modelId="{57E85A78-637E-4220-A81F-657F94CFE9A1}" type="presParOf" srcId="{4602F9FB-34B7-4BB5-A024-05E71C8FC615}" destId="{5E5DDAB0-7339-4E20-9D11-14FCC83D1DE4}" srcOrd="0" destOrd="0" presId="urn:microsoft.com/office/officeart/2005/8/layout/lProcess2"/>
    <dgm:cxn modelId="{F0E030F2-1EFF-49EB-A4EC-5F5EB4B9617F}" type="presParOf" srcId="{5E5DDAB0-7339-4E20-9D11-14FCC83D1DE4}" destId="{A27A95D7-92FF-4182-8604-46BCF3FB46A5}" srcOrd="0" destOrd="0" presId="urn:microsoft.com/office/officeart/2005/8/layout/lProcess2"/>
    <dgm:cxn modelId="{F17FC6FD-A59A-4FB4-BF74-F663F6960E13}" type="presParOf" srcId="{5E5DDAB0-7339-4E20-9D11-14FCC83D1DE4}" destId="{CAF5EF16-F480-4C3A-9977-ECE4A5F8B4A3}" srcOrd="1" destOrd="0" presId="urn:microsoft.com/office/officeart/2005/8/layout/lProcess2"/>
    <dgm:cxn modelId="{4995677F-9877-4B38-8332-3F4D6E8AA730}" type="presParOf" srcId="{5E5DDAB0-7339-4E20-9D11-14FCC83D1DE4}" destId="{8185FD66-E395-47A0-9A6F-8A5AD1CAAC04}" srcOrd="2" destOrd="0" presId="urn:microsoft.com/office/officeart/2005/8/layout/lProcess2"/>
    <dgm:cxn modelId="{FC787255-A255-4FF3-8DA4-45D8EB49BCCC}" type="presParOf" srcId="{2D46DDFF-E864-4130-BEDA-C964731F8AEC}" destId="{6E94700E-3FCF-4F3C-AA23-3BBE6E2DB333}" srcOrd="3" destOrd="0" presId="urn:microsoft.com/office/officeart/2005/8/layout/lProcess2"/>
    <dgm:cxn modelId="{3593679A-EE2A-40C2-ADBF-F3092D9D4473}" type="presParOf" srcId="{2D46DDFF-E864-4130-BEDA-C964731F8AEC}" destId="{19B559C1-7034-44A9-873F-0862CB9BC58F}" srcOrd="4" destOrd="0" presId="urn:microsoft.com/office/officeart/2005/8/layout/lProcess2"/>
    <dgm:cxn modelId="{B3B54181-9549-4891-82BA-E83ECBB9B881}" type="presParOf" srcId="{19B559C1-7034-44A9-873F-0862CB9BC58F}" destId="{8D330BF5-FF81-4C7D-82B2-EC19668792A4}" srcOrd="0" destOrd="0" presId="urn:microsoft.com/office/officeart/2005/8/layout/lProcess2"/>
    <dgm:cxn modelId="{A85B02CF-63C1-4663-8062-4741F7C78AE9}" type="presParOf" srcId="{19B559C1-7034-44A9-873F-0862CB9BC58F}" destId="{F83D9075-D0B6-46F1-B6CE-6FCFB57F81EE}" srcOrd="1" destOrd="0" presId="urn:microsoft.com/office/officeart/2005/8/layout/lProcess2"/>
    <dgm:cxn modelId="{A97599BA-2119-46A1-92A8-FE08C3EB9ED6}" type="presParOf" srcId="{19B559C1-7034-44A9-873F-0862CB9BC58F}" destId="{DA382A4E-A5E3-4C25-8C35-8310F5D0CEE7}" srcOrd="2" destOrd="0" presId="urn:microsoft.com/office/officeart/2005/8/layout/lProcess2"/>
    <dgm:cxn modelId="{225A9322-C130-4D91-99E1-D27A1FFC9EE0}" type="presParOf" srcId="{DA382A4E-A5E3-4C25-8C35-8310F5D0CEE7}" destId="{BB28CD27-61DB-4B2A-A850-84B0F68C366C}" srcOrd="0" destOrd="0" presId="urn:microsoft.com/office/officeart/2005/8/layout/lProcess2"/>
    <dgm:cxn modelId="{3D4C65EB-4335-4543-AC86-989179376C0B}" type="presParOf" srcId="{BB28CD27-61DB-4B2A-A850-84B0F68C366C}" destId="{AD6DD7CC-A932-4C90-8620-3BE6777AA3D0}" srcOrd="0" destOrd="0" presId="urn:microsoft.com/office/officeart/2005/8/layout/lProcess2"/>
    <dgm:cxn modelId="{7FE00CB7-7CAE-4A1C-AC19-854BAF71FBF8}" type="presParOf" srcId="{BB28CD27-61DB-4B2A-A850-84B0F68C366C}" destId="{1702E9AB-0CD9-4BBF-83E1-E87D7F6106CE}" srcOrd="1" destOrd="0" presId="urn:microsoft.com/office/officeart/2005/8/layout/lProcess2"/>
    <dgm:cxn modelId="{80CEFA4E-D905-4007-98B9-9C3B3A35DD42}" type="presParOf" srcId="{BB28CD27-61DB-4B2A-A850-84B0F68C366C}" destId="{40E674D7-D093-4757-A632-743D208B3886}" srcOrd="2" destOrd="0" presId="urn:microsoft.com/office/officeart/2005/8/layout/lProcess2"/>
  </dgm:cxnLst>
  <dgm:bg/>
  <dgm:whole/>
  <dgm:extLst>
    <a:ext uri="http://schemas.microsoft.com/office/drawing/2008/diagram">
      <dsp:dataModelExt xmlns:dsp="http://schemas.microsoft.com/office/drawing/2008/diagram" relId="rId26"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060E1503-3B8D-4891-94E4-882AABA88241}" type="doc">
      <dgm:prSet loTypeId="urn:microsoft.com/office/officeart/2009/3/layout/SnapshotPictureList" loCatId="picture" qsTypeId="urn:microsoft.com/office/officeart/2005/8/quickstyle/simple1" qsCatId="simple" csTypeId="urn:microsoft.com/office/officeart/2005/8/colors/accent1_2" csCatId="accent1" phldr="1"/>
      <dgm:spPr/>
      <dgm:t>
        <a:bodyPr/>
        <a:lstStyle/>
        <a:p>
          <a:endParaRPr lang="es-ES"/>
        </a:p>
      </dgm:t>
    </dgm:pt>
    <dgm:pt modelId="{312D64CB-1D26-47E3-9EFE-317135A55D73}">
      <dgm:prSet phldrT="[Texto]"/>
      <dgm:spPr/>
      <dgm:t>
        <a:bodyPr/>
        <a:lstStyle/>
        <a:p>
          <a:r>
            <a:rPr lang="es-CO">
              <a:latin typeface="Arial" panose="020B0604020202020204" pitchFamily="34" charset="0"/>
              <a:cs typeface="Arial" panose="020B0604020202020204" pitchFamily="34" charset="0"/>
            </a:rPr>
            <a:t>Población objeto</a:t>
          </a:r>
          <a:endParaRPr lang="es-ES">
            <a:latin typeface="Arial" panose="020B0604020202020204" pitchFamily="34" charset="0"/>
            <a:cs typeface="Arial" panose="020B0604020202020204" pitchFamily="34" charset="0"/>
          </a:endParaRPr>
        </a:p>
      </dgm:t>
    </dgm:pt>
    <dgm:pt modelId="{39EB7B09-A579-47C3-826E-9EC0173E3854}" type="parTrans" cxnId="{DBCA21CD-73A5-45D4-8D63-3261DDF238B1}">
      <dgm:prSet/>
      <dgm:spPr/>
      <dgm:t>
        <a:bodyPr/>
        <a:lstStyle/>
        <a:p>
          <a:endParaRPr lang="es-ES">
            <a:latin typeface="Arial" panose="020B0604020202020204" pitchFamily="34" charset="0"/>
            <a:cs typeface="Arial" panose="020B0604020202020204" pitchFamily="34" charset="0"/>
          </a:endParaRPr>
        </a:p>
      </dgm:t>
    </dgm:pt>
    <dgm:pt modelId="{F5879D31-0405-4424-B28A-6C1FD6206993}" type="sibTrans" cxnId="{DBCA21CD-73A5-45D4-8D63-3261DDF238B1}">
      <dgm:prSet/>
      <dgm:spPr/>
      <dgm:t>
        <a:bodyPr/>
        <a:lstStyle/>
        <a:p>
          <a:endParaRPr lang="es-ES">
            <a:latin typeface="Arial" panose="020B0604020202020204" pitchFamily="34" charset="0"/>
            <a:cs typeface="Arial" panose="020B0604020202020204" pitchFamily="34" charset="0"/>
          </a:endParaRPr>
        </a:p>
      </dgm:t>
    </dgm:pt>
    <dgm:pt modelId="{189C9B59-FA16-4FCE-86B6-D3FC8BAF09D4}">
      <dgm:prSet/>
      <dgm:spPr/>
      <dgm:t>
        <a:bodyPr/>
        <a:lstStyle/>
        <a:p>
          <a:r>
            <a:rPr lang="es-CO">
              <a:latin typeface="Arial" panose="020B0604020202020204" pitchFamily="34" charset="0"/>
              <a:cs typeface="Arial" panose="020B0604020202020204" pitchFamily="34" charset="0"/>
            </a:rPr>
            <a:t>Permite determinar el grupo sobre el cual se realizará la estimación.</a:t>
          </a:r>
          <a:endParaRPr lang="en-US">
            <a:latin typeface="Arial" panose="020B0604020202020204" pitchFamily="34" charset="0"/>
            <a:cs typeface="Arial" panose="020B0604020202020204" pitchFamily="34" charset="0"/>
          </a:endParaRPr>
        </a:p>
      </dgm:t>
    </dgm:pt>
    <dgm:pt modelId="{D2E8B4CE-0F84-4124-9175-11F93BC13677}" type="parTrans" cxnId="{1C993118-300F-44E8-9073-63368CD1B037}">
      <dgm:prSet/>
      <dgm:spPr/>
      <dgm:t>
        <a:bodyPr/>
        <a:lstStyle/>
        <a:p>
          <a:endParaRPr lang="es-ES">
            <a:latin typeface="Arial" panose="020B0604020202020204" pitchFamily="34" charset="0"/>
            <a:cs typeface="Arial" panose="020B0604020202020204" pitchFamily="34" charset="0"/>
          </a:endParaRPr>
        </a:p>
      </dgm:t>
    </dgm:pt>
    <dgm:pt modelId="{7BD50F50-D7E9-490C-BCEF-2F8B5C08FFEB}" type="sibTrans" cxnId="{1C993118-300F-44E8-9073-63368CD1B037}">
      <dgm:prSet/>
      <dgm:spPr/>
      <dgm:t>
        <a:bodyPr/>
        <a:lstStyle/>
        <a:p>
          <a:endParaRPr lang="es-ES">
            <a:latin typeface="Arial" panose="020B0604020202020204" pitchFamily="34" charset="0"/>
            <a:cs typeface="Arial" panose="020B0604020202020204" pitchFamily="34" charset="0"/>
          </a:endParaRPr>
        </a:p>
      </dgm:t>
    </dgm:pt>
    <dgm:pt modelId="{B679FE96-7E4C-42A6-8806-C6C431CDB8D3}">
      <dgm:prSet/>
      <dgm:spPr/>
      <dgm:t>
        <a:bodyPr/>
        <a:lstStyle/>
        <a:p>
          <a:r>
            <a:rPr lang="es-CO">
              <a:latin typeface="Arial" panose="020B0604020202020204" pitchFamily="34" charset="0"/>
              <a:cs typeface="Arial" panose="020B0604020202020204" pitchFamily="34" charset="0"/>
            </a:rPr>
            <a:t>Servicio o tecnología</a:t>
          </a:r>
          <a:endParaRPr lang="en-US">
            <a:latin typeface="Arial" panose="020B0604020202020204" pitchFamily="34" charset="0"/>
            <a:cs typeface="Arial" panose="020B0604020202020204" pitchFamily="34" charset="0"/>
          </a:endParaRPr>
        </a:p>
      </dgm:t>
    </dgm:pt>
    <dgm:pt modelId="{14943444-2915-4C40-82FC-AB847664D1F1}" type="parTrans" cxnId="{7080A19F-F8FC-4B41-8E0C-666752BBFE3B}">
      <dgm:prSet/>
      <dgm:spPr/>
      <dgm:t>
        <a:bodyPr/>
        <a:lstStyle/>
        <a:p>
          <a:endParaRPr lang="es-ES">
            <a:latin typeface="Arial" panose="020B0604020202020204" pitchFamily="34" charset="0"/>
            <a:cs typeface="Arial" panose="020B0604020202020204" pitchFamily="34" charset="0"/>
          </a:endParaRPr>
        </a:p>
      </dgm:t>
    </dgm:pt>
    <dgm:pt modelId="{D68DC12D-DEF5-4845-99EC-863AFF44502D}" type="sibTrans" cxnId="{7080A19F-F8FC-4B41-8E0C-666752BBFE3B}">
      <dgm:prSet/>
      <dgm:spPr/>
      <dgm:t>
        <a:bodyPr/>
        <a:lstStyle/>
        <a:p>
          <a:endParaRPr lang="es-ES">
            <a:latin typeface="Arial" panose="020B0604020202020204" pitchFamily="34" charset="0"/>
            <a:cs typeface="Arial" panose="020B0604020202020204" pitchFamily="34" charset="0"/>
          </a:endParaRPr>
        </a:p>
      </dgm:t>
    </dgm:pt>
    <dgm:pt modelId="{E52C4E7A-BB78-4FEA-87C5-425EDA0BBA61}">
      <dgm:prSet/>
      <dgm:spPr/>
      <dgm:t>
        <a:bodyPr/>
        <a:lstStyle/>
        <a:p>
          <a:r>
            <a:rPr lang="es-CO">
              <a:latin typeface="Arial" panose="020B0604020202020204" pitchFamily="34" charset="0"/>
              <a:cs typeface="Arial" panose="020B0604020202020204" pitchFamily="34" charset="0"/>
            </a:rPr>
            <a:t>Cada servicio o tecnología requiere establecer su propia frecuencia de utilización.</a:t>
          </a:r>
          <a:endParaRPr lang="en-US">
            <a:latin typeface="Arial" panose="020B0604020202020204" pitchFamily="34" charset="0"/>
            <a:cs typeface="Arial" panose="020B0604020202020204" pitchFamily="34" charset="0"/>
          </a:endParaRPr>
        </a:p>
      </dgm:t>
    </dgm:pt>
    <dgm:pt modelId="{68D4F350-8A9E-40C1-9743-51331A2B14FF}" type="parTrans" cxnId="{085B96A8-5C7D-478D-ADD3-32F02DF2B040}">
      <dgm:prSet/>
      <dgm:spPr/>
      <dgm:t>
        <a:bodyPr/>
        <a:lstStyle/>
        <a:p>
          <a:endParaRPr lang="es-ES">
            <a:latin typeface="Arial" panose="020B0604020202020204" pitchFamily="34" charset="0"/>
            <a:cs typeface="Arial" panose="020B0604020202020204" pitchFamily="34" charset="0"/>
          </a:endParaRPr>
        </a:p>
      </dgm:t>
    </dgm:pt>
    <dgm:pt modelId="{1F432C37-94C5-4EE0-A65B-A9AB5EB3C262}" type="sibTrans" cxnId="{085B96A8-5C7D-478D-ADD3-32F02DF2B040}">
      <dgm:prSet/>
      <dgm:spPr/>
      <dgm:t>
        <a:bodyPr/>
        <a:lstStyle/>
        <a:p>
          <a:endParaRPr lang="es-ES">
            <a:latin typeface="Arial" panose="020B0604020202020204" pitchFamily="34" charset="0"/>
            <a:cs typeface="Arial" panose="020B0604020202020204" pitchFamily="34" charset="0"/>
          </a:endParaRPr>
        </a:p>
      </dgm:t>
    </dgm:pt>
    <dgm:pt modelId="{6035FABD-46D7-465B-AD37-566403BE90A5}">
      <dgm:prSet/>
      <dgm:spPr/>
      <dgm:t>
        <a:bodyPr/>
        <a:lstStyle/>
        <a:p>
          <a:r>
            <a:rPr lang="es-CO">
              <a:latin typeface="Arial" panose="020B0604020202020204" pitchFamily="34" charset="0"/>
              <a:cs typeface="Arial" panose="020B0604020202020204" pitchFamily="34" charset="0"/>
            </a:rPr>
            <a:t>Periodo de análisis</a:t>
          </a:r>
          <a:endParaRPr lang="en-US">
            <a:latin typeface="Arial" panose="020B0604020202020204" pitchFamily="34" charset="0"/>
            <a:cs typeface="Arial" panose="020B0604020202020204" pitchFamily="34" charset="0"/>
          </a:endParaRPr>
        </a:p>
      </dgm:t>
    </dgm:pt>
    <dgm:pt modelId="{08C93CEA-0EF4-4619-AE39-7EE7E15F1FB7}" type="parTrans" cxnId="{3DBEC1B6-11A8-477E-B7FC-B9DBD6154EF9}">
      <dgm:prSet/>
      <dgm:spPr/>
      <dgm:t>
        <a:bodyPr/>
        <a:lstStyle/>
        <a:p>
          <a:endParaRPr lang="es-ES">
            <a:latin typeface="Arial" panose="020B0604020202020204" pitchFamily="34" charset="0"/>
            <a:cs typeface="Arial" panose="020B0604020202020204" pitchFamily="34" charset="0"/>
          </a:endParaRPr>
        </a:p>
      </dgm:t>
    </dgm:pt>
    <dgm:pt modelId="{697D87DE-B19B-4167-86BF-756E1B81E4F6}" type="sibTrans" cxnId="{3DBEC1B6-11A8-477E-B7FC-B9DBD6154EF9}">
      <dgm:prSet/>
      <dgm:spPr/>
      <dgm:t>
        <a:bodyPr/>
        <a:lstStyle/>
        <a:p>
          <a:endParaRPr lang="es-ES">
            <a:latin typeface="Arial" panose="020B0604020202020204" pitchFamily="34" charset="0"/>
            <a:cs typeface="Arial" panose="020B0604020202020204" pitchFamily="34" charset="0"/>
          </a:endParaRPr>
        </a:p>
      </dgm:t>
    </dgm:pt>
    <dgm:pt modelId="{09B53355-EB04-4B7F-AB4F-D45A5B6FC9AF}">
      <dgm:prSet/>
      <dgm:spPr/>
      <dgm:t>
        <a:bodyPr/>
        <a:lstStyle/>
        <a:p>
          <a:r>
            <a:rPr lang="es-CO">
              <a:latin typeface="Arial" panose="020B0604020202020204" pitchFamily="34" charset="0"/>
              <a:cs typeface="Arial" panose="020B0604020202020204" pitchFamily="34" charset="0"/>
            </a:rPr>
            <a:t>Permite determinar el comportamiento de la utilización durante un intervalo definido.</a:t>
          </a:r>
          <a:endParaRPr lang="en-US">
            <a:latin typeface="Arial" panose="020B0604020202020204" pitchFamily="34" charset="0"/>
            <a:cs typeface="Arial" panose="020B0604020202020204" pitchFamily="34" charset="0"/>
          </a:endParaRPr>
        </a:p>
      </dgm:t>
    </dgm:pt>
    <dgm:pt modelId="{235F5199-31E5-496A-A0E5-5647D0F22949}" type="parTrans" cxnId="{CBAB9A5E-415C-44F2-A288-558EF65EFEAA}">
      <dgm:prSet/>
      <dgm:spPr/>
      <dgm:t>
        <a:bodyPr/>
        <a:lstStyle/>
        <a:p>
          <a:endParaRPr lang="es-ES">
            <a:latin typeface="Arial" panose="020B0604020202020204" pitchFamily="34" charset="0"/>
            <a:cs typeface="Arial" panose="020B0604020202020204" pitchFamily="34" charset="0"/>
          </a:endParaRPr>
        </a:p>
      </dgm:t>
    </dgm:pt>
    <dgm:pt modelId="{7E7F92D7-16AE-4573-ADCB-6B9E68A1E5FF}" type="sibTrans" cxnId="{CBAB9A5E-415C-44F2-A288-558EF65EFEAA}">
      <dgm:prSet/>
      <dgm:spPr/>
      <dgm:t>
        <a:bodyPr/>
        <a:lstStyle/>
        <a:p>
          <a:endParaRPr lang="es-ES">
            <a:latin typeface="Arial" panose="020B0604020202020204" pitchFamily="34" charset="0"/>
            <a:cs typeface="Arial" panose="020B0604020202020204" pitchFamily="34" charset="0"/>
          </a:endParaRPr>
        </a:p>
      </dgm:t>
    </dgm:pt>
    <dgm:pt modelId="{1B740A29-A897-479C-B631-B8646FB2FC26}">
      <dgm:prSet/>
      <dgm:spPr/>
      <dgm:t>
        <a:bodyPr/>
        <a:lstStyle/>
        <a:p>
          <a:r>
            <a:rPr lang="es-CO">
              <a:latin typeface="Arial" panose="020B0604020202020204" pitchFamily="34" charset="0"/>
              <a:cs typeface="Arial" panose="020B0604020202020204" pitchFamily="34" charset="0"/>
            </a:rPr>
            <a:t>Información histórica</a:t>
          </a:r>
          <a:endParaRPr lang="en-US">
            <a:latin typeface="Arial" panose="020B0604020202020204" pitchFamily="34" charset="0"/>
            <a:cs typeface="Arial" panose="020B0604020202020204" pitchFamily="34" charset="0"/>
          </a:endParaRPr>
        </a:p>
      </dgm:t>
    </dgm:pt>
    <dgm:pt modelId="{2E508DCF-F48B-40AA-A1C2-0EF7D2B050D4}" type="parTrans" cxnId="{64598814-363B-4335-AFE9-71BFF2A93855}">
      <dgm:prSet/>
      <dgm:spPr/>
      <dgm:t>
        <a:bodyPr/>
        <a:lstStyle/>
        <a:p>
          <a:endParaRPr lang="es-ES">
            <a:latin typeface="Arial" panose="020B0604020202020204" pitchFamily="34" charset="0"/>
            <a:cs typeface="Arial" panose="020B0604020202020204" pitchFamily="34" charset="0"/>
          </a:endParaRPr>
        </a:p>
      </dgm:t>
    </dgm:pt>
    <dgm:pt modelId="{B2F1E499-A597-4C50-A9FE-12A87787D07A}" type="sibTrans" cxnId="{64598814-363B-4335-AFE9-71BFF2A93855}">
      <dgm:prSet/>
      <dgm:spPr/>
      <dgm:t>
        <a:bodyPr/>
        <a:lstStyle/>
        <a:p>
          <a:endParaRPr lang="es-ES">
            <a:latin typeface="Arial" panose="020B0604020202020204" pitchFamily="34" charset="0"/>
            <a:cs typeface="Arial" panose="020B0604020202020204" pitchFamily="34" charset="0"/>
          </a:endParaRPr>
        </a:p>
      </dgm:t>
    </dgm:pt>
    <dgm:pt modelId="{F40E8641-1C86-414B-A695-0191A99D6B77}">
      <dgm:prSet/>
      <dgm:spPr/>
      <dgm:t>
        <a:bodyPr/>
        <a:lstStyle/>
        <a:p>
          <a:r>
            <a:rPr lang="es-CO">
              <a:latin typeface="Arial" panose="020B0604020202020204" pitchFamily="34" charset="0"/>
              <a:cs typeface="Arial" panose="020B0604020202020204" pitchFamily="34" charset="0"/>
            </a:rPr>
            <a:t>Los registros de utilización de periodos anteriores constituyen un insumo para identificar comportamientos y establecer estimaciones.</a:t>
          </a:r>
          <a:endParaRPr lang="en-US">
            <a:latin typeface="Arial" panose="020B0604020202020204" pitchFamily="34" charset="0"/>
            <a:cs typeface="Arial" panose="020B0604020202020204" pitchFamily="34" charset="0"/>
          </a:endParaRPr>
        </a:p>
      </dgm:t>
    </dgm:pt>
    <dgm:pt modelId="{50FE9E99-1DC1-4827-8E8C-CDF59E57CAC4}" type="parTrans" cxnId="{8A0EAFA9-8C78-4A01-9660-DF7ED6B741FD}">
      <dgm:prSet/>
      <dgm:spPr/>
      <dgm:t>
        <a:bodyPr/>
        <a:lstStyle/>
        <a:p>
          <a:endParaRPr lang="es-ES">
            <a:latin typeface="Arial" panose="020B0604020202020204" pitchFamily="34" charset="0"/>
            <a:cs typeface="Arial" panose="020B0604020202020204" pitchFamily="34" charset="0"/>
          </a:endParaRPr>
        </a:p>
      </dgm:t>
    </dgm:pt>
    <dgm:pt modelId="{7FE482A2-6DAD-4404-992D-14A7486EC17A}" type="sibTrans" cxnId="{8A0EAFA9-8C78-4A01-9660-DF7ED6B741FD}">
      <dgm:prSet/>
      <dgm:spPr/>
      <dgm:t>
        <a:bodyPr/>
        <a:lstStyle/>
        <a:p>
          <a:endParaRPr lang="es-ES">
            <a:latin typeface="Arial" panose="020B0604020202020204" pitchFamily="34" charset="0"/>
            <a:cs typeface="Arial" panose="020B0604020202020204" pitchFamily="34" charset="0"/>
          </a:endParaRPr>
        </a:p>
      </dgm:t>
    </dgm:pt>
    <dgm:pt modelId="{6840AD6A-8325-49F2-AA5E-A6ADEB859E26}">
      <dgm:prSet/>
      <dgm:spPr/>
      <dgm:t>
        <a:bodyPr/>
        <a:lstStyle/>
        <a:p>
          <a:r>
            <a:rPr lang="es-CO">
              <a:latin typeface="Arial" panose="020B0604020202020204" pitchFamily="34" charset="0"/>
              <a:cs typeface="Arial" panose="020B0604020202020204" pitchFamily="34" charset="0"/>
            </a:rPr>
            <a:t>Características de la población</a:t>
          </a:r>
          <a:endParaRPr lang="en-US">
            <a:latin typeface="Arial" panose="020B0604020202020204" pitchFamily="34" charset="0"/>
            <a:cs typeface="Arial" panose="020B0604020202020204" pitchFamily="34" charset="0"/>
          </a:endParaRPr>
        </a:p>
      </dgm:t>
    </dgm:pt>
    <dgm:pt modelId="{F4756B73-7D8E-4086-8B94-0B8B6F3ABF68}" type="parTrans" cxnId="{186F6B6A-6235-4BC5-B699-A6CC26ABD97C}">
      <dgm:prSet/>
      <dgm:spPr/>
      <dgm:t>
        <a:bodyPr/>
        <a:lstStyle/>
        <a:p>
          <a:endParaRPr lang="es-ES">
            <a:latin typeface="Arial" panose="020B0604020202020204" pitchFamily="34" charset="0"/>
            <a:cs typeface="Arial" panose="020B0604020202020204" pitchFamily="34" charset="0"/>
          </a:endParaRPr>
        </a:p>
      </dgm:t>
    </dgm:pt>
    <dgm:pt modelId="{B8055D99-DB4D-49F7-8D4E-C6FD52AEBDBF}" type="sibTrans" cxnId="{186F6B6A-6235-4BC5-B699-A6CC26ABD97C}">
      <dgm:prSet/>
      <dgm:spPr/>
      <dgm:t>
        <a:bodyPr/>
        <a:lstStyle/>
        <a:p>
          <a:endParaRPr lang="es-ES">
            <a:latin typeface="Arial" panose="020B0604020202020204" pitchFamily="34" charset="0"/>
            <a:cs typeface="Arial" panose="020B0604020202020204" pitchFamily="34" charset="0"/>
          </a:endParaRPr>
        </a:p>
      </dgm:t>
    </dgm:pt>
    <dgm:pt modelId="{723CDDD6-340F-4193-99BB-73F3A5F606EE}">
      <dgm:prSet/>
      <dgm:spPr/>
      <dgm:t>
        <a:bodyPr/>
        <a:lstStyle/>
        <a:p>
          <a:r>
            <a:rPr lang="es-CO">
              <a:latin typeface="Arial" panose="020B0604020202020204" pitchFamily="34" charset="0"/>
              <a:cs typeface="Arial" panose="020B0604020202020204" pitchFamily="34" charset="0"/>
            </a:rPr>
            <a:t>Las diferencias demográficas, epidemiológicas y territoriales pueden generar frecuencias de uso diferentes.</a:t>
          </a:r>
          <a:endParaRPr lang="en-US">
            <a:latin typeface="Arial" panose="020B0604020202020204" pitchFamily="34" charset="0"/>
            <a:cs typeface="Arial" panose="020B0604020202020204" pitchFamily="34" charset="0"/>
          </a:endParaRPr>
        </a:p>
      </dgm:t>
    </dgm:pt>
    <dgm:pt modelId="{622DEDC4-3EC4-4F19-AA1C-BE4FCB5D8B2C}" type="parTrans" cxnId="{F275C768-CA80-472F-AC62-4BDD43C74F7E}">
      <dgm:prSet/>
      <dgm:spPr/>
      <dgm:t>
        <a:bodyPr/>
        <a:lstStyle/>
        <a:p>
          <a:endParaRPr lang="es-ES">
            <a:latin typeface="Arial" panose="020B0604020202020204" pitchFamily="34" charset="0"/>
            <a:cs typeface="Arial" panose="020B0604020202020204" pitchFamily="34" charset="0"/>
          </a:endParaRPr>
        </a:p>
      </dgm:t>
    </dgm:pt>
    <dgm:pt modelId="{9224E3A0-623D-4E60-8120-891E714C1558}" type="sibTrans" cxnId="{F275C768-CA80-472F-AC62-4BDD43C74F7E}">
      <dgm:prSet/>
      <dgm:spPr/>
      <dgm:t>
        <a:bodyPr/>
        <a:lstStyle/>
        <a:p>
          <a:endParaRPr lang="es-ES">
            <a:latin typeface="Arial" panose="020B0604020202020204" pitchFamily="34" charset="0"/>
            <a:cs typeface="Arial" panose="020B0604020202020204" pitchFamily="34" charset="0"/>
          </a:endParaRPr>
        </a:p>
      </dgm:t>
    </dgm:pt>
    <dgm:pt modelId="{BE89A74D-30F8-4DAA-9444-E9FC79BC2EF2}">
      <dgm:prSet/>
      <dgm:spPr/>
      <dgm:t>
        <a:bodyPr/>
        <a:lstStyle/>
        <a:p>
          <a:r>
            <a:rPr lang="es-CO">
              <a:latin typeface="Arial" panose="020B0604020202020204" pitchFamily="34" charset="0"/>
              <a:cs typeface="Arial" panose="020B0604020202020204" pitchFamily="34" charset="0"/>
            </a:rPr>
            <a:t>Condiciones operativas</a:t>
          </a:r>
          <a:endParaRPr lang="en-US">
            <a:latin typeface="Arial" panose="020B0604020202020204" pitchFamily="34" charset="0"/>
            <a:cs typeface="Arial" panose="020B0604020202020204" pitchFamily="34" charset="0"/>
          </a:endParaRPr>
        </a:p>
      </dgm:t>
    </dgm:pt>
    <dgm:pt modelId="{CFED8688-5156-499B-82CF-82E157FFAC68}" type="parTrans" cxnId="{1FA7CE3F-8336-4FD6-98E8-907A156D3292}">
      <dgm:prSet/>
      <dgm:spPr/>
      <dgm:t>
        <a:bodyPr/>
        <a:lstStyle/>
        <a:p>
          <a:endParaRPr lang="es-ES">
            <a:latin typeface="Arial" panose="020B0604020202020204" pitchFamily="34" charset="0"/>
            <a:cs typeface="Arial" panose="020B0604020202020204" pitchFamily="34" charset="0"/>
          </a:endParaRPr>
        </a:p>
      </dgm:t>
    </dgm:pt>
    <dgm:pt modelId="{83B66EEB-29FD-4F90-A4A3-7ADC1C538706}" type="sibTrans" cxnId="{1FA7CE3F-8336-4FD6-98E8-907A156D3292}">
      <dgm:prSet/>
      <dgm:spPr/>
      <dgm:t>
        <a:bodyPr/>
        <a:lstStyle/>
        <a:p>
          <a:endParaRPr lang="es-ES">
            <a:latin typeface="Arial" panose="020B0604020202020204" pitchFamily="34" charset="0"/>
            <a:cs typeface="Arial" panose="020B0604020202020204" pitchFamily="34" charset="0"/>
          </a:endParaRPr>
        </a:p>
      </dgm:t>
    </dgm:pt>
    <dgm:pt modelId="{409E978B-7CF5-4B64-B2D8-20AED391FDE1}">
      <dgm:prSet/>
      <dgm:spPr/>
      <dgm:t>
        <a:bodyPr/>
        <a:lstStyle/>
        <a:p>
          <a:r>
            <a:rPr lang="es-CO">
              <a:latin typeface="Arial" panose="020B0604020202020204" pitchFamily="34" charset="0"/>
              <a:cs typeface="Arial" panose="020B0604020202020204" pitchFamily="34" charset="0"/>
            </a:rPr>
            <a:t>La disponibilidad de servicios, las características del territorio y las condiciones de prestación pueden influir en la utilización.</a:t>
          </a:r>
          <a:endParaRPr lang="en-US">
            <a:latin typeface="Arial" panose="020B0604020202020204" pitchFamily="34" charset="0"/>
            <a:cs typeface="Arial" panose="020B0604020202020204" pitchFamily="34" charset="0"/>
          </a:endParaRPr>
        </a:p>
      </dgm:t>
    </dgm:pt>
    <dgm:pt modelId="{7CF40DA8-C16E-4DEE-88A8-AE584540928F}" type="parTrans" cxnId="{EF8E6136-371A-4B51-A553-F441BB6A94AD}">
      <dgm:prSet/>
      <dgm:spPr/>
      <dgm:t>
        <a:bodyPr/>
        <a:lstStyle/>
        <a:p>
          <a:endParaRPr lang="es-ES">
            <a:latin typeface="Arial" panose="020B0604020202020204" pitchFamily="34" charset="0"/>
            <a:cs typeface="Arial" panose="020B0604020202020204" pitchFamily="34" charset="0"/>
          </a:endParaRPr>
        </a:p>
      </dgm:t>
    </dgm:pt>
    <dgm:pt modelId="{45797865-3EA0-4A8D-B55B-C02D866A661B}" type="sibTrans" cxnId="{EF8E6136-371A-4B51-A553-F441BB6A94AD}">
      <dgm:prSet/>
      <dgm:spPr/>
      <dgm:t>
        <a:bodyPr/>
        <a:lstStyle/>
        <a:p>
          <a:endParaRPr lang="es-ES">
            <a:latin typeface="Arial" panose="020B0604020202020204" pitchFamily="34" charset="0"/>
            <a:cs typeface="Arial" panose="020B0604020202020204" pitchFamily="34" charset="0"/>
          </a:endParaRPr>
        </a:p>
      </dgm:t>
    </dgm:pt>
    <dgm:pt modelId="{7D8F3509-6F7F-4BAB-B695-FD208FE0726A}" type="pres">
      <dgm:prSet presAssocID="{060E1503-3B8D-4891-94E4-882AABA88241}" presName="Name0" presStyleCnt="0">
        <dgm:presLayoutVars>
          <dgm:chMax/>
          <dgm:chPref/>
          <dgm:dir/>
          <dgm:animLvl val="lvl"/>
        </dgm:presLayoutVars>
      </dgm:prSet>
      <dgm:spPr/>
      <dgm:t>
        <a:bodyPr/>
        <a:lstStyle/>
        <a:p>
          <a:endParaRPr lang="es-ES"/>
        </a:p>
      </dgm:t>
    </dgm:pt>
    <dgm:pt modelId="{3A27D657-46A1-4D96-A9CF-1E998B4ACF91}" type="pres">
      <dgm:prSet presAssocID="{312D64CB-1D26-47E3-9EFE-317135A55D73}" presName="composite" presStyleCnt="0"/>
      <dgm:spPr/>
    </dgm:pt>
    <dgm:pt modelId="{F3708BAF-C670-48C7-AD7A-CDD651AB537E}" type="pres">
      <dgm:prSet presAssocID="{312D64CB-1D26-47E3-9EFE-317135A55D73}" presName="ParentAccentShape" presStyleLbl="trBgShp" presStyleIdx="0" presStyleCnt="12"/>
      <dgm:spPr/>
    </dgm:pt>
    <dgm:pt modelId="{368E7F70-D29A-4E8A-851F-D06A45DE2470}" type="pres">
      <dgm:prSet presAssocID="{312D64CB-1D26-47E3-9EFE-317135A55D73}" presName="ParentText" presStyleLbl="revTx" presStyleIdx="0" presStyleCnt="12">
        <dgm:presLayoutVars>
          <dgm:chMax val="1"/>
          <dgm:chPref val="1"/>
          <dgm:bulletEnabled val="1"/>
        </dgm:presLayoutVars>
      </dgm:prSet>
      <dgm:spPr/>
      <dgm:t>
        <a:bodyPr/>
        <a:lstStyle/>
        <a:p>
          <a:endParaRPr lang="es-ES"/>
        </a:p>
      </dgm:t>
    </dgm:pt>
    <dgm:pt modelId="{8A14431E-1614-47A6-9AB8-B513C4E6AD08}" type="pres">
      <dgm:prSet presAssocID="{312D64CB-1D26-47E3-9EFE-317135A55D73}" presName="ChildText" presStyleLbl="revTx" presStyleIdx="1" presStyleCnt="12">
        <dgm:presLayoutVars>
          <dgm:chMax val="0"/>
          <dgm:chPref val="0"/>
        </dgm:presLayoutVars>
      </dgm:prSet>
      <dgm:spPr/>
      <dgm:t>
        <a:bodyPr/>
        <a:lstStyle/>
        <a:p>
          <a:endParaRPr lang="es-ES"/>
        </a:p>
      </dgm:t>
    </dgm:pt>
    <dgm:pt modelId="{0E239DA5-9263-4D99-92C6-F984E62F7D66}" type="pres">
      <dgm:prSet presAssocID="{312D64CB-1D26-47E3-9EFE-317135A55D73}" presName="ChildAccentShape" presStyleLbl="trBgShp" presStyleIdx="1" presStyleCnt="12"/>
      <dgm:spPr/>
    </dgm:pt>
    <dgm:pt modelId="{88263D17-72CF-4C4C-A38C-7ADF74CCD5AC}" type="pres">
      <dgm:prSet presAssocID="{312D64CB-1D26-47E3-9EFE-317135A55D73}" presName="Image" presStyleLbl="alignImgPlace1" presStyleIdx="0" presStyleCnt="6"/>
      <dgm:spPr>
        <a:blipFill rotWithShape="1">
          <a:blip xmlns:r="http://schemas.openxmlformats.org/officeDocument/2006/relationships" r:embed="rId1"/>
          <a:stretch>
            <a:fillRect/>
          </a:stretch>
        </a:blipFill>
      </dgm:spPr>
    </dgm:pt>
    <dgm:pt modelId="{6B7122A6-4DD0-402E-80B1-B61AA8690719}" type="pres">
      <dgm:prSet presAssocID="{F5879D31-0405-4424-B28A-6C1FD6206993}" presName="sibTrans" presStyleCnt="0"/>
      <dgm:spPr/>
    </dgm:pt>
    <dgm:pt modelId="{690AE84E-8458-4047-B705-DFB3AAFE0FF2}" type="pres">
      <dgm:prSet presAssocID="{B679FE96-7E4C-42A6-8806-C6C431CDB8D3}" presName="composite" presStyleCnt="0"/>
      <dgm:spPr/>
    </dgm:pt>
    <dgm:pt modelId="{ACE4CF57-D1E7-482E-81D5-0CF361687FAD}" type="pres">
      <dgm:prSet presAssocID="{B679FE96-7E4C-42A6-8806-C6C431CDB8D3}" presName="ParentAccentShape" presStyleLbl="trBgShp" presStyleIdx="2" presStyleCnt="12"/>
      <dgm:spPr/>
    </dgm:pt>
    <dgm:pt modelId="{B6308875-D72D-4C90-9CFC-BA0EA9609378}" type="pres">
      <dgm:prSet presAssocID="{B679FE96-7E4C-42A6-8806-C6C431CDB8D3}" presName="ParentText" presStyleLbl="revTx" presStyleIdx="2" presStyleCnt="12">
        <dgm:presLayoutVars>
          <dgm:chMax val="1"/>
          <dgm:chPref val="1"/>
          <dgm:bulletEnabled val="1"/>
        </dgm:presLayoutVars>
      </dgm:prSet>
      <dgm:spPr/>
      <dgm:t>
        <a:bodyPr/>
        <a:lstStyle/>
        <a:p>
          <a:endParaRPr lang="es-ES"/>
        </a:p>
      </dgm:t>
    </dgm:pt>
    <dgm:pt modelId="{0E8E4183-AD71-40DE-A225-478AB92B0BC9}" type="pres">
      <dgm:prSet presAssocID="{B679FE96-7E4C-42A6-8806-C6C431CDB8D3}" presName="ChildText" presStyleLbl="revTx" presStyleIdx="3" presStyleCnt="12">
        <dgm:presLayoutVars>
          <dgm:chMax val="0"/>
          <dgm:chPref val="0"/>
        </dgm:presLayoutVars>
      </dgm:prSet>
      <dgm:spPr/>
      <dgm:t>
        <a:bodyPr/>
        <a:lstStyle/>
        <a:p>
          <a:endParaRPr lang="es-ES"/>
        </a:p>
      </dgm:t>
    </dgm:pt>
    <dgm:pt modelId="{D4793DB0-651A-4936-9438-F7F15FE438B8}" type="pres">
      <dgm:prSet presAssocID="{B679FE96-7E4C-42A6-8806-C6C431CDB8D3}" presName="ChildAccentShape" presStyleLbl="trBgShp" presStyleIdx="3" presStyleCnt="12"/>
      <dgm:spPr/>
    </dgm:pt>
    <dgm:pt modelId="{606A9348-3EFB-4DA9-91D7-63EDAFFC951B}" type="pres">
      <dgm:prSet presAssocID="{B679FE96-7E4C-42A6-8806-C6C431CDB8D3}" presName="Image" presStyleLbl="alignImgPlace1" presStyleIdx="1" presStyleCnt="6"/>
      <dgm:spPr>
        <a:blipFill rotWithShape="1">
          <a:blip xmlns:r="http://schemas.openxmlformats.org/officeDocument/2006/relationships" r:embed="rId2"/>
          <a:stretch>
            <a:fillRect/>
          </a:stretch>
        </a:blipFill>
      </dgm:spPr>
    </dgm:pt>
    <dgm:pt modelId="{BE05EFD9-E13F-42C1-B085-F7844437091B}" type="pres">
      <dgm:prSet presAssocID="{D68DC12D-DEF5-4845-99EC-863AFF44502D}" presName="sibTrans" presStyleCnt="0"/>
      <dgm:spPr/>
    </dgm:pt>
    <dgm:pt modelId="{E30D555B-872A-4850-ABFC-F918A3C2420C}" type="pres">
      <dgm:prSet presAssocID="{6035FABD-46D7-465B-AD37-566403BE90A5}" presName="composite" presStyleCnt="0"/>
      <dgm:spPr/>
    </dgm:pt>
    <dgm:pt modelId="{03B6E3A7-335E-41BB-B7D4-7BCD255AAA6F}" type="pres">
      <dgm:prSet presAssocID="{6035FABD-46D7-465B-AD37-566403BE90A5}" presName="ParentAccentShape" presStyleLbl="trBgShp" presStyleIdx="4" presStyleCnt="12"/>
      <dgm:spPr/>
    </dgm:pt>
    <dgm:pt modelId="{A01CDF30-650C-4696-AF0F-779CF829FBAB}" type="pres">
      <dgm:prSet presAssocID="{6035FABD-46D7-465B-AD37-566403BE90A5}" presName="ParentText" presStyleLbl="revTx" presStyleIdx="4" presStyleCnt="12">
        <dgm:presLayoutVars>
          <dgm:chMax val="1"/>
          <dgm:chPref val="1"/>
          <dgm:bulletEnabled val="1"/>
        </dgm:presLayoutVars>
      </dgm:prSet>
      <dgm:spPr/>
      <dgm:t>
        <a:bodyPr/>
        <a:lstStyle/>
        <a:p>
          <a:endParaRPr lang="es-ES"/>
        </a:p>
      </dgm:t>
    </dgm:pt>
    <dgm:pt modelId="{F662C990-B877-4731-BDA1-9544D2DC5A28}" type="pres">
      <dgm:prSet presAssocID="{6035FABD-46D7-465B-AD37-566403BE90A5}" presName="ChildText" presStyleLbl="revTx" presStyleIdx="5" presStyleCnt="12">
        <dgm:presLayoutVars>
          <dgm:chMax val="0"/>
          <dgm:chPref val="0"/>
        </dgm:presLayoutVars>
      </dgm:prSet>
      <dgm:spPr/>
      <dgm:t>
        <a:bodyPr/>
        <a:lstStyle/>
        <a:p>
          <a:endParaRPr lang="es-ES"/>
        </a:p>
      </dgm:t>
    </dgm:pt>
    <dgm:pt modelId="{7B32568B-DC22-4354-9FE0-D95BEEEB1874}" type="pres">
      <dgm:prSet presAssocID="{6035FABD-46D7-465B-AD37-566403BE90A5}" presName="ChildAccentShape" presStyleLbl="trBgShp" presStyleIdx="5" presStyleCnt="12"/>
      <dgm:spPr/>
    </dgm:pt>
    <dgm:pt modelId="{6DB8C67A-50A7-4482-9C88-E9769A225600}" type="pres">
      <dgm:prSet presAssocID="{6035FABD-46D7-465B-AD37-566403BE90A5}" presName="Image" presStyleLbl="alignImgPlace1" presStyleIdx="2" presStyleCnt="6"/>
      <dgm:spPr>
        <a:blipFill rotWithShape="1">
          <a:blip xmlns:r="http://schemas.openxmlformats.org/officeDocument/2006/relationships" r:embed="rId3"/>
          <a:stretch>
            <a:fillRect/>
          </a:stretch>
        </a:blipFill>
      </dgm:spPr>
    </dgm:pt>
    <dgm:pt modelId="{1721FD4E-BC59-4949-B17F-1E4AAC25B3FC}" type="pres">
      <dgm:prSet presAssocID="{697D87DE-B19B-4167-86BF-756E1B81E4F6}" presName="sibTrans" presStyleCnt="0"/>
      <dgm:spPr/>
    </dgm:pt>
    <dgm:pt modelId="{4B3CFFA8-BDBA-4172-B284-2ED65484C880}" type="pres">
      <dgm:prSet presAssocID="{1B740A29-A897-479C-B631-B8646FB2FC26}" presName="composite" presStyleCnt="0"/>
      <dgm:spPr/>
    </dgm:pt>
    <dgm:pt modelId="{E393CA21-E021-4404-B4C0-E393E91B5C46}" type="pres">
      <dgm:prSet presAssocID="{1B740A29-A897-479C-B631-B8646FB2FC26}" presName="ParentAccentShape" presStyleLbl="trBgShp" presStyleIdx="6" presStyleCnt="12"/>
      <dgm:spPr/>
    </dgm:pt>
    <dgm:pt modelId="{516CEE60-F586-47B2-A98D-8559FB7325D1}" type="pres">
      <dgm:prSet presAssocID="{1B740A29-A897-479C-B631-B8646FB2FC26}" presName="ParentText" presStyleLbl="revTx" presStyleIdx="6" presStyleCnt="12">
        <dgm:presLayoutVars>
          <dgm:chMax val="1"/>
          <dgm:chPref val="1"/>
          <dgm:bulletEnabled val="1"/>
        </dgm:presLayoutVars>
      </dgm:prSet>
      <dgm:spPr/>
      <dgm:t>
        <a:bodyPr/>
        <a:lstStyle/>
        <a:p>
          <a:endParaRPr lang="es-ES"/>
        </a:p>
      </dgm:t>
    </dgm:pt>
    <dgm:pt modelId="{A6F539F6-344F-4675-AF1D-8CECEFEDAE3B}" type="pres">
      <dgm:prSet presAssocID="{1B740A29-A897-479C-B631-B8646FB2FC26}" presName="ChildText" presStyleLbl="revTx" presStyleIdx="7" presStyleCnt="12">
        <dgm:presLayoutVars>
          <dgm:chMax val="0"/>
          <dgm:chPref val="0"/>
        </dgm:presLayoutVars>
      </dgm:prSet>
      <dgm:spPr/>
      <dgm:t>
        <a:bodyPr/>
        <a:lstStyle/>
        <a:p>
          <a:endParaRPr lang="es-ES"/>
        </a:p>
      </dgm:t>
    </dgm:pt>
    <dgm:pt modelId="{E3604C38-7FAD-4451-BE70-469BC23208E4}" type="pres">
      <dgm:prSet presAssocID="{1B740A29-A897-479C-B631-B8646FB2FC26}" presName="ChildAccentShape" presStyleLbl="trBgShp" presStyleIdx="7" presStyleCnt="12"/>
      <dgm:spPr/>
    </dgm:pt>
    <dgm:pt modelId="{07DFC098-34B1-4024-8CD8-C0F673A4A73B}" type="pres">
      <dgm:prSet presAssocID="{1B740A29-A897-479C-B631-B8646FB2FC26}" presName="Image" presStyleLbl="alignImgPlace1" presStyleIdx="3" presStyleCnt="6"/>
      <dgm:spPr>
        <a:blipFill rotWithShape="1">
          <a:blip xmlns:r="http://schemas.openxmlformats.org/officeDocument/2006/relationships" r:embed="rId4"/>
          <a:stretch>
            <a:fillRect/>
          </a:stretch>
        </a:blipFill>
      </dgm:spPr>
    </dgm:pt>
    <dgm:pt modelId="{4C9635CC-6FD5-4A63-A0D4-0EBBF5671189}" type="pres">
      <dgm:prSet presAssocID="{B2F1E499-A597-4C50-A9FE-12A87787D07A}" presName="sibTrans" presStyleCnt="0"/>
      <dgm:spPr/>
    </dgm:pt>
    <dgm:pt modelId="{AC7CF78C-CB10-4726-85B7-AAD8A77B2FDE}" type="pres">
      <dgm:prSet presAssocID="{6840AD6A-8325-49F2-AA5E-A6ADEB859E26}" presName="composite" presStyleCnt="0"/>
      <dgm:spPr/>
    </dgm:pt>
    <dgm:pt modelId="{3A49AA28-7721-439F-BD53-B850D7A313D2}" type="pres">
      <dgm:prSet presAssocID="{6840AD6A-8325-49F2-AA5E-A6ADEB859E26}" presName="ParentAccentShape" presStyleLbl="trBgShp" presStyleIdx="8" presStyleCnt="12"/>
      <dgm:spPr/>
    </dgm:pt>
    <dgm:pt modelId="{B8C1F95B-49A3-4BFD-94C9-8A2C31DE5DCB}" type="pres">
      <dgm:prSet presAssocID="{6840AD6A-8325-49F2-AA5E-A6ADEB859E26}" presName="ParentText" presStyleLbl="revTx" presStyleIdx="8" presStyleCnt="12">
        <dgm:presLayoutVars>
          <dgm:chMax val="1"/>
          <dgm:chPref val="1"/>
          <dgm:bulletEnabled val="1"/>
        </dgm:presLayoutVars>
      </dgm:prSet>
      <dgm:spPr/>
      <dgm:t>
        <a:bodyPr/>
        <a:lstStyle/>
        <a:p>
          <a:endParaRPr lang="es-ES"/>
        </a:p>
      </dgm:t>
    </dgm:pt>
    <dgm:pt modelId="{579728D8-F399-4393-B439-CFC66DC26776}" type="pres">
      <dgm:prSet presAssocID="{6840AD6A-8325-49F2-AA5E-A6ADEB859E26}" presName="ChildText" presStyleLbl="revTx" presStyleIdx="9" presStyleCnt="12">
        <dgm:presLayoutVars>
          <dgm:chMax val="0"/>
          <dgm:chPref val="0"/>
        </dgm:presLayoutVars>
      </dgm:prSet>
      <dgm:spPr/>
      <dgm:t>
        <a:bodyPr/>
        <a:lstStyle/>
        <a:p>
          <a:endParaRPr lang="es-ES"/>
        </a:p>
      </dgm:t>
    </dgm:pt>
    <dgm:pt modelId="{06CA89B0-8A35-41D4-966B-776A27804A4A}" type="pres">
      <dgm:prSet presAssocID="{6840AD6A-8325-49F2-AA5E-A6ADEB859E26}" presName="ChildAccentShape" presStyleLbl="trBgShp" presStyleIdx="9" presStyleCnt="12"/>
      <dgm:spPr/>
    </dgm:pt>
    <dgm:pt modelId="{926E9470-3987-45FD-A562-CA7252EB9178}" type="pres">
      <dgm:prSet presAssocID="{6840AD6A-8325-49F2-AA5E-A6ADEB859E26}" presName="Image" presStyleLbl="alignImgPlace1" presStyleIdx="4" presStyleCnt="6"/>
      <dgm:spPr>
        <a:blipFill rotWithShape="1">
          <a:blip xmlns:r="http://schemas.openxmlformats.org/officeDocument/2006/relationships" r:embed="rId5"/>
          <a:stretch>
            <a:fillRect/>
          </a:stretch>
        </a:blipFill>
      </dgm:spPr>
    </dgm:pt>
    <dgm:pt modelId="{28FA7DD5-6F96-4A0F-BCEF-26F8E132F8F0}" type="pres">
      <dgm:prSet presAssocID="{B8055D99-DB4D-49F7-8D4E-C6FD52AEBDBF}" presName="sibTrans" presStyleCnt="0"/>
      <dgm:spPr/>
    </dgm:pt>
    <dgm:pt modelId="{2AC9B61D-5AB9-464E-841A-A8F3151AD6FE}" type="pres">
      <dgm:prSet presAssocID="{BE89A74D-30F8-4DAA-9444-E9FC79BC2EF2}" presName="composite" presStyleCnt="0"/>
      <dgm:spPr/>
    </dgm:pt>
    <dgm:pt modelId="{E46481C8-85B4-4BA4-ABF1-6808DEBA4A92}" type="pres">
      <dgm:prSet presAssocID="{BE89A74D-30F8-4DAA-9444-E9FC79BC2EF2}" presName="ParentAccentShape" presStyleLbl="trBgShp" presStyleIdx="10" presStyleCnt="12"/>
      <dgm:spPr/>
    </dgm:pt>
    <dgm:pt modelId="{B78EEF51-92C3-4F50-B752-C38647B538C0}" type="pres">
      <dgm:prSet presAssocID="{BE89A74D-30F8-4DAA-9444-E9FC79BC2EF2}" presName="ParentText" presStyleLbl="revTx" presStyleIdx="10" presStyleCnt="12">
        <dgm:presLayoutVars>
          <dgm:chMax val="1"/>
          <dgm:chPref val="1"/>
          <dgm:bulletEnabled val="1"/>
        </dgm:presLayoutVars>
      </dgm:prSet>
      <dgm:spPr/>
      <dgm:t>
        <a:bodyPr/>
        <a:lstStyle/>
        <a:p>
          <a:endParaRPr lang="es-ES"/>
        </a:p>
      </dgm:t>
    </dgm:pt>
    <dgm:pt modelId="{75BA84A3-CFD2-4E33-AF4B-7F4F4F01902D}" type="pres">
      <dgm:prSet presAssocID="{BE89A74D-30F8-4DAA-9444-E9FC79BC2EF2}" presName="ChildText" presStyleLbl="revTx" presStyleIdx="11" presStyleCnt="12">
        <dgm:presLayoutVars>
          <dgm:chMax val="0"/>
          <dgm:chPref val="0"/>
        </dgm:presLayoutVars>
      </dgm:prSet>
      <dgm:spPr/>
      <dgm:t>
        <a:bodyPr/>
        <a:lstStyle/>
        <a:p>
          <a:endParaRPr lang="es-ES"/>
        </a:p>
      </dgm:t>
    </dgm:pt>
    <dgm:pt modelId="{2F277B35-53CD-48CC-840E-822023E80DE6}" type="pres">
      <dgm:prSet presAssocID="{BE89A74D-30F8-4DAA-9444-E9FC79BC2EF2}" presName="ChildAccentShape" presStyleLbl="trBgShp" presStyleIdx="11" presStyleCnt="12"/>
      <dgm:spPr/>
    </dgm:pt>
    <dgm:pt modelId="{615A5234-EB3B-477D-9AA0-148D89BEB5B0}" type="pres">
      <dgm:prSet presAssocID="{BE89A74D-30F8-4DAA-9444-E9FC79BC2EF2}" presName="Image" presStyleLbl="alignImgPlace1" presStyleIdx="5" presStyleCnt="6"/>
      <dgm:spPr>
        <a:blipFill rotWithShape="1">
          <a:blip xmlns:r="http://schemas.openxmlformats.org/officeDocument/2006/relationships" r:embed="rId6"/>
          <a:stretch>
            <a:fillRect/>
          </a:stretch>
        </a:blipFill>
      </dgm:spPr>
    </dgm:pt>
  </dgm:ptLst>
  <dgm:cxnLst>
    <dgm:cxn modelId="{1039B397-C1FC-480F-803F-0A6D08572A90}" type="presOf" srcId="{1B740A29-A897-479C-B631-B8646FB2FC26}" destId="{516CEE60-F586-47B2-A98D-8559FB7325D1}" srcOrd="0" destOrd="0" presId="urn:microsoft.com/office/officeart/2009/3/layout/SnapshotPictureList"/>
    <dgm:cxn modelId="{1FA7CE3F-8336-4FD6-98E8-907A156D3292}" srcId="{060E1503-3B8D-4891-94E4-882AABA88241}" destId="{BE89A74D-30F8-4DAA-9444-E9FC79BC2EF2}" srcOrd="5" destOrd="0" parTransId="{CFED8688-5156-499B-82CF-82E157FFAC68}" sibTransId="{83B66EEB-29FD-4F90-A4A3-7ADC1C538706}"/>
    <dgm:cxn modelId="{643882A0-F191-45C3-A036-ADAE9A7890CB}" type="presOf" srcId="{723CDDD6-340F-4193-99BB-73F3A5F606EE}" destId="{579728D8-F399-4393-B439-CFC66DC26776}" srcOrd="0" destOrd="0" presId="urn:microsoft.com/office/officeart/2009/3/layout/SnapshotPictureList"/>
    <dgm:cxn modelId="{64598814-363B-4335-AFE9-71BFF2A93855}" srcId="{060E1503-3B8D-4891-94E4-882AABA88241}" destId="{1B740A29-A897-479C-B631-B8646FB2FC26}" srcOrd="3" destOrd="0" parTransId="{2E508DCF-F48B-40AA-A1C2-0EF7D2B050D4}" sibTransId="{B2F1E499-A597-4C50-A9FE-12A87787D07A}"/>
    <dgm:cxn modelId="{C7BBE169-F721-412B-8A5B-507A8D57BDF6}" type="presOf" srcId="{189C9B59-FA16-4FCE-86B6-D3FC8BAF09D4}" destId="{8A14431E-1614-47A6-9AB8-B513C4E6AD08}" srcOrd="0" destOrd="0" presId="urn:microsoft.com/office/officeart/2009/3/layout/SnapshotPictureList"/>
    <dgm:cxn modelId="{D417DADD-3B36-4776-B83C-DFDFF120707A}" type="presOf" srcId="{312D64CB-1D26-47E3-9EFE-317135A55D73}" destId="{368E7F70-D29A-4E8A-851F-D06A45DE2470}" srcOrd="0" destOrd="0" presId="urn:microsoft.com/office/officeart/2009/3/layout/SnapshotPictureList"/>
    <dgm:cxn modelId="{DBCA21CD-73A5-45D4-8D63-3261DDF238B1}" srcId="{060E1503-3B8D-4891-94E4-882AABA88241}" destId="{312D64CB-1D26-47E3-9EFE-317135A55D73}" srcOrd="0" destOrd="0" parTransId="{39EB7B09-A579-47C3-826E-9EC0173E3854}" sibTransId="{F5879D31-0405-4424-B28A-6C1FD6206993}"/>
    <dgm:cxn modelId="{3DBEC1B6-11A8-477E-B7FC-B9DBD6154EF9}" srcId="{060E1503-3B8D-4891-94E4-882AABA88241}" destId="{6035FABD-46D7-465B-AD37-566403BE90A5}" srcOrd="2" destOrd="0" parTransId="{08C93CEA-0EF4-4619-AE39-7EE7E15F1FB7}" sibTransId="{697D87DE-B19B-4167-86BF-756E1B81E4F6}"/>
    <dgm:cxn modelId="{48FFFB79-72D9-423F-898B-AC0B5EF260C1}" type="presOf" srcId="{F40E8641-1C86-414B-A695-0191A99D6B77}" destId="{A6F539F6-344F-4675-AF1D-8CECEFEDAE3B}" srcOrd="0" destOrd="0" presId="urn:microsoft.com/office/officeart/2009/3/layout/SnapshotPictureList"/>
    <dgm:cxn modelId="{767632BF-FAE1-4D67-8A2E-D18D995FB611}" type="presOf" srcId="{BE89A74D-30F8-4DAA-9444-E9FC79BC2EF2}" destId="{B78EEF51-92C3-4F50-B752-C38647B538C0}" srcOrd="0" destOrd="0" presId="urn:microsoft.com/office/officeart/2009/3/layout/SnapshotPictureList"/>
    <dgm:cxn modelId="{1C993118-300F-44E8-9073-63368CD1B037}" srcId="{312D64CB-1D26-47E3-9EFE-317135A55D73}" destId="{189C9B59-FA16-4FCE-86B6-D3FC8BAF09D4}" srcOrd="0" destOrd="0" parTransId="{D2E8B4CE-0F84-4124-9175-11F93BC13677}" sibTransId="{7BD50F50-D7E9-490C-BCEF-2F8B5C08FFEB}"/>
    <dgm:cxn modelId="{70C06D3D-366A-4C37-81C5-3AC657DD69B0}" type="presOf" srcId="{060E1503-3B8D-4891-94E4-882AABA88241}" destId="{7D8F3509-6F7F-4BAB-B695-FD208FE0726A}" srcOrd="0" destOrd="0" presId="urn:microsoft.com/office/officeart/2009/3/layout/SnapshotPictureList"/>
    <dgm:cxn modelId="{976DF201-BF36-4E12-9CC1-9B48389F7983}" type="presOf" srcId="{B679FE96-7E4C-42A6-8806-C6C431CDB8D3}" destId="{B6308875-D72D-4C90-9CFC-BA0EA9609378}" srcOrd="0" destOrd="0" presId="urn:microsoft.com/office/officeart/2009/3/layout/SnapshotPictureList"/>
    <dgm:cxn modelId="{085B96A8-5C7D-478D-ADD3-32F02DF2B040}" srcId="{B679FE96-7E4C-42A6-8806-C6C431CDB8D3}" destId="{E52C4E7A-BB78-4FEA-87C5-425EDA0BBA61}" srcOrd="0" destOrd="0" parTransId="{68D4F350-8A9E-40C1-9743-51331A2B14FF}" sibTransId="{1F432C37-94C5-4EE0-A65B-A9AB5EB3C262}"/>
    <dgm:cxn modelId="{186F6B6A-6235-4BC5-B699-A6CC26ABD97C}" srcId="{060E1503-3B8D-4891-94E4-882AABA88241}" destId="{6840AD6A-8325-49F2-AA5E-A6ADEB859E26}" srcOrd="4" destOrd="0" parTransId="{F4756B73-7D8E-4086-8B94-0B8B6F3ABF68}" sibTransId="{B8055D99-DB4D-49F7-8D4E-C6FD52AEBDBF}"/>
    <dgm:cxn modelId="{A3DD3B62-8266-4BD3-ADCC-7F9663138269}" type="presOf" srcId="{6035FABD-46D7-465B-AD37-566403BE90A5}" destId="{A01CDF30-650C-4696-AF0F-779CF829FBAB}" srcOrd="0" destOrd="0" presId="urn:microsoft.com/office/officeart/2009/3/layout/SnapshotPictureList"/>
    <dgm:cxn modelId="{F275C768-CA80-472F-AC62-4BDD43C74F7E}" srcId="{6840AD6A-8325-49F2-AA5E-A6ADEB859E26}" destId="{723CDDD6-340F-4193-99BB-73F3A5F606EE}" srcOrd="0" destOrd="0" parTransId="{622DEDC4-3EC4-4F19-AA1C-BE4FCB5D8B2C}" sibTransId="{9224E3A0-623D-4E60-8120-891E714C1558}"/>
    <dgm:cxn modelId="{CBAB9A5E-415C-44F2-A288-558EF65EFEAA}" srcId="{6035FABD-46D7-465B-AD37-566403BE90A5}" destId="{09B53355-EB04-4B7F-AB4F-D45A5B6FC9AF}" srcOrd="0" destOrd="0" parTransId="{235F5199-31E5-496A-A0E5-5647D0F22949}" sibTransId="{7E7F92D7-16AE-4573-ADCB-6B9E68A1E5FF}"/>
    <dgm:cxn modelId="{7080A19F-F8FC-4B41-8E0C-666752BBFE3B}" srcId="{060E1503-3B8D-4891-94E4-882AABA88241}" destId="{B679FE96-7E4C-42A6-8806-C6C431CDB8D3}" srcOrd="1" destOrd="0" parTransId="{14943444-2915-4C40-82FC-AB847664D1F1}" sibTransId="{D68DC12D-DEF5-4845-99EC-863AFF44502D}"/>
    <dgm:cxn modelId="{A420888C-A390-4930-A55A-C3C15195F0E4}" type="presOf" srcId="{E52C4E7A-BB78-4FEA-87C5-425EDA0BBA61}" destId="{0E8E4183-AD71-40DE-A225-478AB92B0BC9}" srcOrd="0" destOrd="0" presId="urn:microsoft.com/office/officeart/2009/3/layout/SnapshotPictureList"/>
    <dgm:cxn modelId="{8A0EAFA9-8C78-4A01-9660-DF7ED6B741FD}" srcId="{1B740A29-A897-479C-B631-B8646FB2FC26}" destId="{F40E8641-1C86-414B-A695-0191A99D6B77}" srcOrd="0" destOrd="0" parTransId="{50FE9E99-1DC1-4827-8E8C-CDF59E57CAC4}" sibTransId="{7FE482A2-6DAD-4404-992D-14A7486EC17A}"/>
    <dgm:cxn modelId="{3A8511AC-345A-42AA-90F1-141A83D3D25A}" type="presOf" srcId="{6840AD6A-8325-49F2-AA5E-A6ADEB859E26}" destId="{B8C1F95B-49A3-4BFD-94C9-8A2C31DE5DCB}" srcOrd="0" destOrd="0" presId="urn:microsoft.com/office/officeart/2009/3/layout/SnapshotPictureList"/>
    <dgm:cxn modelId="{EF8E6136-371A-4B51-A553-F441BB6A94AD}" srcId="{BE89A74D-30F8-4DAA-9444-E9FC79BC2EF2}" destId="{409E978B-7CF5-4B64-B2D8-20AED391FDE1}" srcOrd="0" destOrd="0" parTransId="{7CF40DA8-C16E-4DEE-88A8-AE584540928F}" sibTransId="{45797865-3EA0-4A8D-B55B-C02D866A661B}"/>
    <dgm:cxn modelId="{A2470449-7B16-4AD7-B772-30CEDEB16305}" type="presOf" srcId="{09B53355-EB04-4B7F-AB4F-D45A5B6FC9AF}" destId="{F662C990-B877-4731-BDA1-9544D2DC5A28}" srcOrd="0" destOrd="0" presId="urn:microsoft.com/office/officeart/2009/3/layout/SnapshotPictureList"/>
    <dgm:cxn modelId="{A8F29E81-F21B-429F-941C-571F9E9DDDF6}" type="presOf" srcId="{409E978B-7CF5-4B64-B2D8-20AED391FDE1}" destId="{75BA84A3-CFD2-4E33-AF4B-7F4F4F01902D}" srcOrd="0" destOrd="0" presId="urn:microsoft.com/office/officeart/2009/3/layout/SnapshotPictureList"/>
    <dgm:cxn modelId="{72A7B1A0-7A0C-4185-86C5-2A2A600BE476}" type="presParOf" srcId="{7D8F3509-6F7F-4BAB-B695-FD208FE0726A}" destId="{3A27D657-46A1-4D96-A9CF-1E998B4ACF91}" srcOrd="0" destOrd="0" presId="urn:microsoft.com/office/officeart/2009/3/layout/SnapshotPictureList"/>
    <dgm:cxn modelId="{4620719F-B065-4C7A-AA21-8ED6FEA6ADC3}" type="presParOf" srcId="{3A27D657-46A1-4D96-A9CF-1E998B4ACF91}" destId="{F3708BAF-C670-48C7-AD7A-CDD651AB537E}" srcOrd="0" destOrd="0" presId="urn:microsoft.com/office/officeart/2009/3/layout/SnapshotPictureList"/>
    <dgm:cxn modelId="{7BCF7E02-EBC1-4F94-864C-043779ACE409}" type="presParOf" srcId="{3A27D657-46A1-4D96-A9CF-1E998B4ACF91}" destId="{368E7F70-D29A-4E8A-851F-D06A45DE2470}" srcOrd="1" destOrd="0" presId="urn:microsoft.com/office/officeart/2009/3/layout/SnapshotPictureList"/>
    <dgm:cxn modelId="{6F40AEF6-FAD2-4BF1-8AF3-A75A7182232F}" type="presParOf" srcId="{3A27D657-46A1-4D96-A9CF-1E998B4ACF91}" destId="{8A14431E-1614-47A6-9AB8-B513C4E6AD08}" srcOrd="2" destOrd="0" presId="urn:microsoft.com/office/officeart/2009/3/layout/SnapshotPictureList"/>
    <dgm:cxn modelId="{1FFA8BB3-1D30-486B-AAF4-B512BAEFBC24}" type="presParOf" srcId="{3A27D657-46A1-4D96-A9CF-1E998B4ACF91}" destId="{0E239DA5-9263-4D99-92C6-F984E62F7D66}" srcOrd="3" destOrd="0" presId="urn:microsoft.com/office/officeart/2009/3/layout/SnapshotPictureList"/>
    <dgm:cxn modelId="{EF22A295-0295-4483-B872-7ADB3992AD15}" type="presParOf" srcId="{3A27D657-46A1-4D96-A9CF-1E998B4ACF91}" destId="{88263D17-72CF-4C4C-A38C-7ADF74CCD5AC}" srcOrd="4" destOrd="0" presId="urn:microsoft.com/office/officeart/2009/3/layout/SnapshotPictureList"/>
    <dgm:cxn modelId="{E75C955B-CF5B-466D-9E9A-A35F9ACB2C2F}" type="presParOf" srcId="{7D8F3509-6F7F-4BAB-B695-FD208FE0726A}" destId="{6B7122A6-4DD0-402E-80B1-B61AA8690719}" srcOrd="1" destOrd="0" presId="urn:microsoft.com/office/officeart/2009/3/layout/SnapshotPictureList"/>
    <dgm:cxn modelId="{CF745FF3-9922-437A-87EA-E3A27ABA5CD1}" type="presParOf" srcId="{7D8F3509-6F7F-4BAB-B695-FD208FE0726A}" destId="{690AE84E-8458-4047-B705-DFB3AAFE0FF2}" srcOrd="2" destOrd="0" presId="urn:microsoft.com/office/officeart/2009/3/layout/SnapshotPictureList"/>
    <dgm:cxn modelId="{DCC35A05-5BB9-4DC9-B09D-FD9388344C22}" type="presParOf" srcId="{690AE84E-8458-4047-B705-DFB3AAFE0FF2}" destId="{ACE4CF57-D1E7-482E-81D5-0CF361687FAD}" srcOrd="0" destOrd="0" presId="urn:microsoft.com/office/officeart/2009/3/layout/SnapshotPictureList"/>
    <dgm:cxn modelId="{46C991B1-284D-453D-8C8D-44E27EC7B86E}" type="presParOf" srcId="{690AE84E-8458-4047-B705-DFB3AAFE0FF2}" destId="{B6308875-D72D-4C90-9CFC-BA0EA9609378}" srcOrd="1" destOrd="0" presId="urn:microsoft.com/office/officeart/2009/3/layout/SnapshotPictureList"/>
    <dgm:cxn modelId="{EEFF6BDA-B99E-4C72-88CB-B63C44FFF1BB}" type="presParOf" srcId="{690AE84E-8458-4047-B705-DFB3AAFE0FF2}" destId="{0E8E4183-AD71-40DE-A225-478AB92B0BC9}" srcOrd="2" destOrd="0" presId="urn:microsoft.com/office/officeart/2009/3/layout/SnapshotPictureList"/>
    <dgm:cxn modelId="{A2956E97-77BD-4817-8932-0984F27A01F4}" type="presParOf" srcId="{690AE84E-8458-4047-B705-DFB3AAFE0FF2}" destId="{D4793DB0-651A-4936-9438-F7F15FE438B8}" srcOrd="3" destOrd="0" presId="urn:microsoft.com/office/officeart/2009/3/layout/SnapshotPictureList"/>
    <dgm:cxn modelId="{96ACBC66-EFCA-46E0-B1AB-45138D07E73B}" type="presParOf" srcId="{690AE84E-8458-4047-B705-DFB3AAFE0FF2}" destId="{606A9348-3EFB-4DA9-91D7-63EDAFFC951B}" srcOrd="4" destOrd="0" presId="urn:microsoft.com/office/officeart/2009/3/layout/SnapshotPictureList"/>
    <dgm:cxn modelId="{DA11BC6B-455F-4684-91E4-B1ED02EAE224}" type="presParOf" srcId="{7D8F3509-6F7F-4BAB-B695-FD208FE0726A}" destId="{BE05EFD9-E13F-42C1-B085-F7844437091B}" srcOrd="3" destOrd="0" presId="urn:microsoft.com/office/officeart/2009/3/layout/SnapshotPictureList"/>
    <dgm:cxn modelId="{A30A82EC-FCF9-48ED-BF5D-78F70BB2BD04}" type="presParOf" srcId="{7D8F3509-6F7F-4BAB-B695-FD208FE0726A}" destId="{E30D555B-872A-4850-ABFC-F918A3C2420C}" srcOrd="4" destOrd="0" presId="urn:microsoft.com/office/officeart/2009/3/layout/SnapshotPictureList"/>
    <dgm:cxn modelId="{E3F9C7FB-8B74-4948-8ED5-674191D29443}" type="presParOf" srcId="{E30D555B-872A-4850-ABFC-F918A3C2420C}" destId="{03B6E3A7-335E-41BB-B7D4-7BCD255AAA6F}" srcOrd="0" destOrd="0" presId="urn:microsoft.com/office/officeart/2009/3/layout/SnapshotPictureList"/>
    <dgm:cxn modelId="{67AAF57D-7EE6-4625-A236-EC7383D41C28}" type="presParOf" srcId="{E30D555B-872A-4850-ABFC-F918A3C2420C}" destId="{A01CDF30-650C-4696-AF0F-779CF829FBAB}" srcOrd="1" destOrd="0" presId="urn:microsoft.com/office/officeart/2009/3/layout/SnapshotPictureList"/>
    <dgm:cxn modelId="{29D8DDA5-FB45-4691-AE7C-CA2A0399484E}" type="presParOf" srcId="{E30D555B-872A-4850-ABFC-F918A3C2420C}" destId="{F662C990-B877-4731-BDA1-9544D2DC5A28}" srcOrd="2" destOrd="0" presId="urn:microsoft.com/office/officeart/2009/3/layout/SnapshotPictureList"/>
    <dgm:cxn modelId="{35DF35D6-B83F-497F-B471-D17C22482630}" type="presParOf" srcId="{E30D555B-872A-4850-ABFC-F918A3C2420C}" destId="{7B32568B-DC22-4354-9FE0-D95BEEEB1874}" srcOrd="3" destOrd="0" presId="urn:microsoft.com/office/officeart/2009/3/layout/SnapshotPictureList"/>
    <dgm:cxn modelId="{1C98145B-0F4A-4011-AEF6-6E5881A60138}" type="presParOf" srcId="{E30D555B-872A-4850-ABFC-F918A3C2420C}" destId="{6DB8C67A-50A7-4482-9C88-E9769A225600}" srcOrd="4" destOrd="0" presId="urn:microsoft.com/office/officeart/2009/3/layout/SnapshotPictureList"/>
    <dgm:cxn modelId="{E6C98276-2DDE-448E-A65C-131126D0BD5A}" type="presParOf" srcId="{7D8F3509-6F7F-4BAB-B695-FD208FE0726A}" destId="{1721FD4E-BC59-4949-B17F-1E4AAC25B3FC}" srcOrd="5" destOrd="0" presId="urn:microsoft.com/office/officeart/2009/3/layout/SnapshotPictureList"/>
    <dgm:cxn modelId="{7023F5B2-2212-46D7-B0E7-8B5C2C230F06}" type="presParOf" srcId="{7D8F3509-6F7F-4BAB-B695-FD208FE0726A}" destId="{4B3CFFA8-BDBA-4172-B284-2ED65484C880}" srcOrd="6" destOrd="0" presId="urn:microsoft.com/office/officeart/2009/3/layout/SnapshotPictureList"/>
    <dgm:cxn modelId="{C49B5ACD-D290-412C-BC68-59E8C0A93E60}" type="presParOf" srcId="{4B3CFFA8-BDBA-4172-B284-2ED65484C880}" destId="{E393CA21-E021-4404-B4C0-E393E91B5C46}" srcOrd="0" destOrd="0" presId="urn:microsoft.com/office/officeart/2009/3/layout/SnapshotPictureList"/>
    <dgm:cxn modelId="{B3874629-D8DA-41C2-BAD8-ACB7F2979A19}" type="presParOf" srcId="{4B3CFFA8-BDBA-4172-B284-2ED65484C880}" destId="{516CEE60-F586-47B2-A98D-8559FB7325D1}" srcOrd="1" destOrd="0" presId="urn:microsoft.com/office/officeart/2009/3/layout/SnapshotPictureList"/>
    <dgm:cxn modelId="{F6DACE18-8302-459F-ADC8-5E232BE800C3}" type="presParOf" srcId="{4B3CFFA8-BDBA-4172-B284-2ED65484C880}" destId="{A6F539F6-344F-4675-AF1D-8CECEFEDAE3B}" srcOrd="2" destOrd="0" presId="urn:microsoft.com/office/officeart/2009/3/layout/SnapshotPictureList"/>
    <dgm:cxn modelId="{E177D3CC-1B00-43F5-8E06-0B3330122761}" type="presParOf" srcId="{4B3CFFA8-BDBA-4172-B284-2ED65484C880}" destId="{E3604C38-7FAD-4451-BE70-469BC23208E4}" srcOrd="3" destOrd="0" presId="urn:microsoft.com/office/officeart/2009/3/layout/SnapshotPictureList"/>
    <dgm:cxn modelId="{34D00251-8550-4993-B678-4E06B70783E8}" type="presParOf" srcId="{4B3CFFA8-BDBA-4172-B284-2ED65484C880}" destId="{07DFC098-34B1-4024-8CD8-C0F673A4A73B}" srcOrd="4" destOrd="0" presId="urn:microsoft.com/office/officeart/2009/3/layout/SnapshotPictureList"/>
    <dgm:cxn modelId="{A143E6CF-90DE-4F53-A2AF-AB9109B88DDB}" type="presParOf" srcId="{7D8F3509-6F7F-4BAB-B695-FD208FE0726A}" destId="{4C9635CC-6FD5-4A63-A0D4-0EBBF5671189}" srcOrd="7" destOrd="0" presId="urn:microsoft.com/office/officeart/2009/3/layout/SnapshotPictureList"/>
    <dgm:cxn modelId="{2E41BCF3-9699-4CB1-A311-2501AA1F45B5}" type="presParOf" srcId="{7D8F3509-6F7F-4BAB-B695-FD208FE0726A}" destId="{AC7CF78C-CB10-4726-85B7-AAD8A77B2FDE}" srcOrd="8" destOrd="0" presId="urn:microsoft.com/office/officeart/2009/3/layout/SnapshotPictureList"/>
    <dgm:cxn modelId="{02C4A6AD-98A7-47D9-8E84-A59E6EE99F67}" type="presParOf" srcId="{AC7CF78C-CB10-4726-85B7-AAD8A77B2FDE}" destId="{3A49AA28-7721-439F-BD53-B850D7A313D2}" srcOrd="0" destOrd="0" presId="urn:microsoft.com/office/officeart/2009/3/layout/SnapshotPictureList"/>
    <dgm:cxn modelId="{1336EE22-B6F7-46E3-B520-6080D756133D}" type="presParOf" srcId="{AC7CF78C-CB10-4726-85B7-AAD8A77B2FDE}" destId="{B8C1F95B-49A3-4BFD-94C9-8A2C31DE5DCB}" srcOrd="1" destOrd="0" presId="urn:microsoft.com/office/officeart/2009/3/layout/SnapshotPictureList"/>
    <dgm:cxn modelId="{B96105E4-35D0-497A-92A8-5688F0F6D271}" type="presParOf" srcId="{AC7CF78C-CB10-4726-85B7-AAD8A77B2FDE}" destId="{579728D8-F399-4393-B439-CFC66DC26776}" srcOrd="2" destOrd="0" presId="urn:microsoft.com/office/officeart/2009/3/layout/SnapshotPictureList"/>
    <dgm:cxn modelId="{B3CEBDDB-D501-4567-9CD2-616EC180C33E}" type="presParOf" srcId="{AC7CF78C-CB10-4726-85B7-AAD8A77B2FDE}" destId="{06CA89B0-8A35-41D4-966B-776A27804A4A}" srcOrd="3" destOrd="0" presId="urn:microsoft.com/office/officeart/2009/3/layout/SnapshotPictureList"/>
    <dgm:cxn modelId="{CBECA396-DF4E-4C31-8401-6394F3523927}" type="presParOf" srcId="{AC7CF78C-CB10-4726-85B7-AAD8A77B2FDE}" destId="{926E9470-3987-45FD-A562-CA7252EB9178}" srcOrd="4" destOrd="0" presId="urn:microsoft.com/office/officeart/2009/3/layout/SnapshotPictureList"/>
    <dgm:cxn modelId="{FF63A177-64B8-447E-BE90-84284844C274}" type="presParOf" srcId="{7D8F3509-6F7F-4BAB-B695-FD208FE0726A}" destId="{28FA7DD5-6F96-4A0F-BCEF-26F8E132F8F0}" srcOrd="9" destOrd="0" presId="urn:microsoft.com/office/officeart/2009/3/layout/SnapshotPictureList"/>
    <dgm:cxn modelId="{95D5676D-4850-43E7-9530-344D0C47B619}" type="presParOf" srcId="{7D8F3509-6F7F-4BAB-B695-FD208FE0726A}" destId="{2AC9B61D-5AB9-464E-841A-A8F3151AD6FE}" srcOrd="10" destOrd="0" presId="urn:microsoft.com/office/officeart/2009/3/layout/SnapshotPictureList"/>
    <dgm:cxn modelId="{A248B20B-98E7-4CF7-A556-8081D280A2D1}" type="presParOf" srcId="{2AC9B61D-5AB9-464E-841A-A8F3151AD6FE}" destId="{E46481C8-85B4-4BA4-ABF1-6808DEBA4A92}" srcOrd="0" destOrd="0" presId="urn:microsoft.com/office/officeart/2009/3/layout/SnapshotPictureList"/>
    <dgm:cxn modelId="{8BBD0A46-7CD3-4DA4-BD0C-F5A7CB81BA8D}" type="presParOf" srcId="{2AC9B61D-5AB9-464E-841A-A8F3151AD6FE}" destId="{B78EEF51-92C3-4F50-B752-C38647B538C0}" srcOrd="1" destOrd="0" presId="urn:microsoft.com/office/officeart/2009/3/layout/SnapshotPictureList"/>
    <dgm:cxn modelId="{AFA196C2-F528-47D2-BBA2-D0F122360EA2}" type="presParOf" srcId="{2AC9B61D-5AB9-464E-841A-A8F3151AD6FE}" destId="{75BA84A3-CFD2-4E33-AF4B-7F4F4F01902D}" srcOrd="2" destOrd="0" presId="urn:microsoft.com/office/officeart/2009/3/layout/SnapshotPictureList"/>
    <dgm:cxn modelId="{1972613B-98ED-446D-9B13-71986AE15DA0}" type="presParOf" srcId="{2AC9B61D-5AB9-464E-841A-A8F3151AD6FE}" destId="{2F277B35-53CD-48CC-840E-822023E80DE6}" srcOrd="3" destOrd="0" presId="urn:microsoft.com/office/officeart/2009/3/layout/SnapshotPictureList"/>
    <dgm:cxn modelId="{CB3EAC86-5A4F-4F6F-8366-F7DAA734F751}" type="presParOf" srcId="{2AC9B61D-5AB9-464E-841A-A8F3151AD6FE}" destId="{615A5234-EB3B-477D-9AA0-148D89BEB5B0}" srcOrd="4" destOrd="0" presId="urn:microsoft.com/office/officeart/2009/3/layout/SnapshotPictureList"/>
  </dgm:cxnLst>
  <dgm:bg/>
  <dgm:whole/>
  <dgm:extLst>
    <a:ext uri="http://schemas.microsoft.com/office/drawing/2008/diagram">
      <dsp:dataModelExt xmlns:dsp="http://schemas.microsoft.com/office/drawing/2008/diagram" relId="rId37"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19C31806-64D6-4F3C-830E-22D8B3F6E90D}" type="doc">
      <dgm:prSet loTypeId="urn:microsoft.com/office/officeart/2008/layout/PictureStrips" loCatId="picture" qsTypeId="urn:microsoft.com/office/officeart/2005/8/quickstyle/simple1" qsCatId="simple" csTypeId="urn:microsoft.com/office/officeart/2005/8/colors/accent1_2" csCatId="accent1" phldr="1"/>
      <dgm:spPr/>
      <dgm:t>
        <a:bodyPr/>
        <a:lstStyle/>
        <a:p>
          <a:endParaRPr lang="es-ES"/>
        </a:p>
      </dgm:t>
    </dgm:pt>
    <dgm:pt modelId="{E433C4E4-126D-449E-908A-605B53FE460E}">
      <dgm:prSet phldrT="[Texto]"/>
      <dgm:spPr/>
      <dgm:t>
        <a:bodyPr/>
        <a:lstStyle/>
        <a:p>
          <a:r>
            <a:rPr lang="es-CO">
              <a:latin typeface="Arial" panose="020B0604020202020204" pitchFamily="34" charset="0"/>
              <a:cs typeface="Arial" panose="020B0604020202020204" pitchFamily="34" charset="0"/>
            </a:rPr>
            <a:t>La </a:t>
          </a:r>
          <a:r>
            <a:rPr lang="es-CO" b="1">
              <a:latin typeface="Arial" panose="020B0604020202020204" pitchFamily="34" charset="0"/>
              <a:cs typeface="Arial" panose="020B0604020202020204" pitchFamily="34" charset="0"/>
            </a:rPr>
            <a:t>oferta de servicios de salud </a:t>
          </a:r>
          <a:r>
            <a:rPr lang="es-CO">
              <a:latin typeface="Arial" panose="020B0604020202020204" pitchFamily="34" charset="0"/>
              <a:cs typeface="Arial" panose="020B0604020202020204" pitchFamily="34" charset="0"/>
            </a:rPr>
            <a:t>se relaciona con la capacidad disponible para prestar los servicios y tecnologías requeridos por una población. Para su análisis pueden considerarse aspectos como la disponibilidad de talento humano, los servicios habilitados, la infraestructura, los equipos, los horarios de atención y las condiciones territoriales que pueden influir en la prestación.</a:t>
          </a:r>
          <a:endParaRPr lang="es-ES">
            <a:latin typeface="Arial" panose="020B0604020202020204" pitchFamily="34" charset="0"/>
            <a:cs typeface="Arial" panose="020B0604020202020204" pitchFamily="34" charset="0"/>
          </a:endParaRPr>
        </a:p>
      </dgm:t>
    </dgm:pt>
    <dgm:pt modelId="{07D1626C-17E5-4519-B99D-787D1E58F4F2}" type="parTrans" cxnId="{F56E09EF-AEEA-44E7-93E3-146EEF4040EE}">
      <dgm:prSet/>
      <dgm:spPr/>
      <dgm:t>
        <a:bodyPr/>
        <a:lstStyle/>
        <a:p>
          <a:endParaRPr lang="es-ES">
            <a:latin typeface="Arial" panose="020B0604020202020204" pitchFamily="34" charset="0"/>
            <a:cs typeface="Arial" panose="020B0604020202020204" pitchFamily="34" charset="0"/>
          </a:endParaRPr>
        </a:p>
      </dgm:t>
    </dgm:pt>
    <dgm:pt modelId="{63E05215-FE36-40FE-958D-7B0BA2A28328}" type="sibTrans" cxnId="{F56E09EF-AEEA-44E7-93E3-146EEF4040EE}">
      <dgm:prSet/>
      <dgm:spPr/>
      <dgm:t>
        <a:bodyPr/>
        <a:lstStyle/>
        <a:p>
          <a:endParaRPr lang="es-ES">
            <a:latin typeface="Arial" panose="020B0604020202020204" pitchFamily="34" charset="0"/>
            <a:cs typeface="Arial" panose="020B0604020202020204" pitchFamily="34" charset="0"/>
          </a:endParaRPr>
        </a:p>
      </dgm:t>
    </dgm:pt>
    <dgm:pt modelId="{625E7C11-5765-4CCF-93D9-8AA6737BC13A}">
      <dgm:prSet/>
      <dgm:spPr/>
      <dgm:t>
        <a:bodyPr/>
        <a:lstStyle/>
        <a:p>
          <a:r>
            <a:rPr lang="es-CO">
              <a:latin typeface="Arial" panose="020B0604020202020204" pitchFamily="34" charset="0"/>
              <a:cs typeface="Arial" panose="020B0604020202020204" pitchFamily="34" charset="0"/>
            </a:rPr>
            <a:t>La </a:t>
          </a:r>
          <a:r>
            <a:rPr lang="es-CO" b="1">
              <a:latin typeface="Arial" panose="020B0604020202020204" pitchFamily="34" charset="0"/>
              <a:cs typeface="Arial" panose="020B0604020202020204" pitchFamily="34" charset="0"/>
            </a:rPr>
            <a:t>demanda de servicios de salud </a:t>
          </a:r>
          <a:r>
            <a:rPr lang="es-CO">
              <a:latin typeface="Arial" panose="020B0604020202020204" pitchFamily="34" charset="0"/>
              <a:cs typeface="Arial" panose="020B0604020202020204" pitchFamily="34" charset="0"/>
            </a:rPr>
            <a:t>corresponde a los servicios que la población solicita o utiliza efectivamente. Como se explicó anteriormente, la demanda observada no necesariamente representa la totalidad de las necesidades de una población, debido a que pueden existir condiciones que faciliten o limiten el acceso a los servicios.</a:t>
          </a:r>
          <a:endParaRPr lang="en-US">
            <a:latin typeface="Arial" panose="020B0604020202020204" pitchFamily="34" charset="0"/>
            <a:cs typeface="Arial" panose="020B0604020202020204" pitchFamily="34" charset="0"/>
          </a:endParaRPr>
        </a:p>
      </dgm:t>
    </dgm:pt>
    <dgm:pt modelId="{4CF0C229-B5FC-4D65-9483-B0E567B03273}" type="parTrans" cxnId="{BDE43AEB-BB2E-417B-981B-1AE10B535239}">
      <dgm:prSet/>
      <dgm:spPr/>
      <dgm:t>
        <a:bodyPr/>
        <a:lstStyle/>
        <a:p>
          <a:endParaRPr lang="es-ES">
            <a:latin typeface="Arial" panose="020B0604020202020204" pitchFamily="34" charset="0"/>
            <a:cs typeface="Arial" panose="020B0604020202020204" pitchFamily="34" charset="0"/>
          </a:endParaRPr>
        </a:p>
      </dgm:t>
    </dgm:pt>
    <dgm:pt modelId="{0DFA918A-E110-4710-9736-32E50C25EAA2}" type="sibTrans" cxnId="{BDE43AEB-BB2E-417B-981B-1AE10B535239}">
      <dgm:prSet/>
      <dgm:spPr/>
      <dgm:t>
        <a:bodyPr/>
        <a:lstStyle/>
        <a:p>
          <a:endParaRPr lang="es-ES">
            <a:latin typeface="Arial" panose="020B0604020202020204" pitchFamily="34" charset="0"/>
            <a:cs typeface="Arial" panose="020B0604020202020204" pitchFamily="34" charset="0"/>
          </a:endParaRPr>
        </a:p>
      </dgm:t>
    </dgm:pt>
    <dgm:pt modelId="{21C08F2D-D5D3-4CC6-B8DE-FFFD5F1098D7}" type="pres">
      <dgm:prSet presAssocID="{19C31806-64D6-4F3C-830E-22D8B3F6E90D}" presName="Name0" presStyleCnt="0">
        <dgm:presLayoutVars>
          <dgm:dir/>
          <dgm:resizeHandles val="exact"/>
        </dgm:presLayoutVars>
      </dgm:prSet>
      <dgm:spPr/>
      <dgm:t>
        <a:bodyPr/>
        <a:lstStyle/>
        <a:p>
          <a:endParaRPr lang="es-ES"/>
        </a:p>
      </dgm:t>
    </dgm:pt>
    <dgm:pt modelId="{D2FC0DE9-37DB-4746-A6DE-BDD38BB34556}" type="pres">
      <dgm:prSet presAssocID="{E433C4E4-126D-449E-908A-605B53FE460E}" presName="composite" presStyleCnt="0"/>
      <dgm:spPr/>
    </dgm:pt>
    <dgm:pt modelId="{4789AE8F-1718-4D27-8E43-4ED6D7EC5B05}" type="pres">
      <dgm:prSet presAssocID="{E433C4E4-126D-449E-908A-605B53FE460E}" presName="rect1" presStyleLbl="trAlignAcc1" presStyleIdx="0" presStyleCnt="2">
        <dgm:presLayoutVars>
          <dgm:bulletEnabled val="1"/>
        </dgm:presLayoutVars>
      </dgm:prSet>
      <dgm:spPr/>
      <dgm:t>
        <a:bodyPr/>
        <a:lstStyle/>
        <a:p>
          <a:endParaRPr lang="es-ES"/>
        </a:p>
      </dgm:t>
    </dgm:pt>
    <dgm:pt modelId="{E01731B5-526F-4BF1-92F5-E2FF0B9D4054}" type="pres">
      <dgm:prSet presAssocID="{E433C4E4-126D-449E-908A-605B53FE460E}" presName="rect2" presStyleLbl="fgImgPlace1" presStyleIdx="0" presStyleCnt="2"/>
      <dgm:spPr>
        <a:blipFill rotWithShape="1">
          <a:blip xmlns:r="http://schemas.openxmlformats.org/officeDocument/2006/relationships" r:embed="rId1"/>
          <a:stretch>
            <a:fillRect/>
          </a:stretch>
        </a:blipFill>
      </dgm:spPr>
    </dgm:pt>
    <dgm:pt modelId="{41F9DB37-7064-4DF0-8A4A-8A76EC2EB6C5}" type="pres">
      <dgm:prSet presAssocID="{63E05215-FE36-40FE-958D-7B0BA2A28328}" presName="sibTrans" presStyleCnt="0"/>
      <dgm:spPr/>
    </dgm:pt>
    <dgm:pt modelId="{ECFEAF38-4CEE-4DDC-88B9-7DA343D9EAC4}" type="pres">
      <dgm:prSet presAssocID="{625E7C11-5765-4CCF-93D9-8AA6737BC13A}" presName="composite" presStyleCnt="0"/>
      <dgm:spPr/>
    </dgm:pt>
    <dgm:pt modelId="{CF924CF8-1D5B-4EBF-A451-651C0D93F03A}" type="pres">
      <dgm:prSet presAssocID="{625E7C11-5765-4CCF-93D9-8AA6737BC13A}" presName="rect1" presStyleLbl="trAlignAcc1" presStyleIdx="1" presStyleCnt="2">
        <dgm:presLayoutVars>
          <dgm:bulletEnabled val="1"/>
        </dgm:presLayoutVars>
      </dgm:prSet>
      <dgm:spPr/>
      <dgm:t>
        <a:bodyPr/>
        <a:lstStyle/>
        <a:p>
          <a:endParaRPr lang="es-ES"/>
        </a:p>
      </dgm:t>
    </dgm:pt>
    <dgm:pt modelId="{83284C92-A504-4F87-860A-A170D0F14C6A}" type="pres">
      <dgm:prSet presAssocID="{625E7C11-5765-4CCF-93D9-8AA6737BC13A}" presName="rect2" presStyleLbl="fgImgPlace1" presStyleIdx="1" presStyleCnt="2"/>
      <dgm:spPr>
        <a:blipFill rotWithShape="1">
          <a:blip xmlns:r="http://schemas.openxmlformats.org/officeDocument/2006/relationships" r:embed="rId2"/>
          <a:stretch>
            <a:fillRect/>
          </a:stretch>
        </a:blipFill>
      </dgm:spPr>
    </dgm:pt>
  </dgm:ptLst>
  <dgm:cxnLst>
    <dgm:cxn modelId="{BDE43AEB-BB2E-417B-981B-1AE10B535239}" srcId="{19C31806-64D6-4F3C-830E-22D8B3F6E90D}" destId="{625E7C11-5765-4CCF-93D9-8AA6737BC13A}" srcOrd="1" destOrd="0" parTransId="{4CF0C229-B5FC-4D65-9483-B0E567B03273}" sibTransId="{0DFA918A-E110-4710-9736-32E50C25EAA2}"/>
    <dgm:cxn modelId="{90890857-B07A-4469-ABB8-E14C326C435D}" type="presOf" srcId="{625E7C11-5765-4CCF-93D9-8AA6737BC13A}" destId="{CF924CF8-1D5B-4EBF-A451-651C0D93F03A}" srcOrd="0" destOrd="0" presId="urn:microsoft.com/office/officeart/2008/layout/PictureStrips"/>
    <dgm:cxn modelId="{2BA3AD72-116A-4E3D-ACB9-46BE4E07E225}" type="presOf" srcId="{E433C4E4-126D-449E-908A-605B53FE460E}" destId="{4789AE8F-1718-4D27-8E43-4ED6D7EC5B05}" srcOrd="0" destOrd="0" presId="urn:microsoft.com/office/officeart/2008/layout/PictureStrips"/>
    <dgm:cxn modelId="{71AD82DF-B9B9-4A2C-B0FF-18A7808E5317}" type="presOf" srcId="{19C31806-64D6-4F3C-830E-22D8B3F6E90D}" destId="{21C08F2D-D5D3-4CC6-B8DE-FFFD5F1098D7}" srcOrd="0" destOrd="0" presId="urn:microsoft.com/office/officeart/2008/layout/PictureStrips"/>
    <dgm:cxn modelId="{F56E09EF-AEEA-44E7-93E3-146EEF4040EE}" srcId="{19C31806-64D6-4F3C-830E-22D8B3F6E90D}" destId="{E433C4E4-126D-449E-908A-605B53FE460E}" srcOrd="0" destOrd="0" parTransId="{07D1626C-17E5-4519-B99D-787D1E58F4F2}" sibTransId="{63E05215-FE36-40FE-958D-7B0BA2A28328}"/>
    <dgm:cxn modelId="{3734ED95-8413-40DF-A6AA-8735B0A80E67}" type="presParOf" srcId="{21C08F2D-D5D3-4CC6-B8DE-FFFD5F1098D7}" destId="{D2FC0DE9-37DB-4746-A6DE-BDD38BB34556}" srcOrd="0" destOrd="0" presId="urn:microsoft.com/office/officeart/2008/layout/PictureStrips"/>
    <dgm:cxn modelId="{EBFF6BE0-145A-4EBE-AE63-3D74C6326198}" type="presParOf" srcId="{D2FC0DE9-37DB-4746-A6DE-BDD38BB34556}" destId="{4789AE8F-1718-4D27-8E43-4ED6D7EC5B05}" srcOrd="0" destOrd="0" presId="urn:microsoft.com/office/officeart/2008/layout/PictureStrips"/>
    <dgm:cxn modelId="{1EF665E9-328A-47AD-8588-CA538090089C}" type="presParOf" srcId="{D2FC0DE9-37DB-4746-A6DE-BDD38BB34556}" destId="{E01731B5-526F-4BF1-92F5-E2FF0B9D4054}" srcOrd="1" destOrd="0" presId="urn:microsoft.com/office/officeart/2008/layout/PictureStrips"/>
    <dgm:cxn modelId="{866E9824-5F59-4C04-B735-18B9ED7B6A6F}" type="presParOf" srcId="{21C08F2D-D5D3-4CC6-B8DE-FFFD5F1098D7}" destId="{41F9DB37-7064-4DF0-8A4A-8A76EC2EB6C5}" srcOrd="1" destOrd="0" presId="urn:microsoft.com/office/officeart/2008/layout/PictureStrips"/>
    <dgm:cxn modelId="{2EA83F47-AC69-4427-A2CE-9E58F92F98D9}" type="presParOf" srcId="{21C08F2D-D5D3-4CC6-B8DE-FFFD5F1098D7}" destId="{ECFEAF38-4CEE-4DDC-88B9-7DA343D9EAC4}" srcOrd="2" destOrd="0" presId="urn:microsoft.com/office/officeart/2008/layout/PictureStrips"/>
    <dgm:cxn modelId="{31262AFB-ED76-420E-A5EC-26DDA5DA4C58}" type="presParOf" srcId="{ECFEAF38-4CEE-4DDC-88B9-7DA343D9EAC4}" destId="{CF924CF8-1D5B-4EBF-A451-651C0D93F03A}" srcOrd="0" destOrd="0" presId="urn:microsoft.com/office/officeart/2008/layout/PictureStrips"/>
    <dgm:cxn modelId="{ECE7030C-19C4-47D7-B01B-5291298BE343}" type="presParOf" srcId="{ECFEAF38-4CEE-4DDC-88B9-7DA343D9EAC4}" destId="{83284C92-A504-4F87-860A-A170D0F14C6A}" srcOrd="1" destOrd="0" presId="urn:microsoft.com/office/officeart/2008/layout/PictureStrips"/>
  </dgm:cxnLst>
  <dgm:bg/>
  <dgm:whole/>
  <dgm:extLst>
    <a:ext uri="http://schemas.microsoft.com/office/drawing/2008/diagram">
      <dsp:dataModelExt xmlns:dsp="http://schemas.microsoft.com/office/drawing/2008/diagram" relId="rId42"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C5D16F23-6788-42C5-A380-9F953DF07AEA}" type="doc">
      <dgm:prSet loTypeId="urn:microsoft.com/office/officeart/2005/8/layout/lProcess2" loCatId="list" qsTypeId="urn:microsoft.com/office/officeart/2005/8/quickstyle/simple1" qsCatId="simple" csTypeId="urn:microsoft.com/office/officeart/2005/8/colors/colorful3" csCatId="colorful" phldr="1"/>
      <dgm:spPr/>
      <dgm:t>
        <a:bodyPr/>
        <a:lstStyle/>
        <a:p>
          <a:endParaRPr lang="es-ES"/>
        </a:p>
      </dgm:t>
    </dgm:pt>
    <dgm:pt modelId="{00B346AA-2069-45CA-B999-DF0C1108DA7F}">
      <dgm:prSet phldrT="[Texto]"/>
      <dgm:spPr/>
      <dgm:t>
        <a:bodyPr/>
        <a:lstStyle/>
        <a:p>
          <a:r>
            <a:rPr lang="es-CO">
              <a:latin typeface="Arial" panose="020B0604020202020204" pitchFamily="34" charset="0"/>
              <a:cs typeface="Arial" panose="020B0604020202020204" pitchFamily="34" charset="0"/>
            </a:rPr>
            <a:t>Manual Tarifario SOAT</a:t>
          </a:r>
          <a:endParaRPr lang="es-ES">
            <a:latin typeface="Arial" panose="020B0604020202020204" pitchFamily="34" charset="0"/>
            <a:cs typeface="Arial" panose="020B0604020202020204" pitchFamily="34" charset="0"/>
          </a:endParaRPr>
        </a:p>
      </dgm:t>
    </dgm:pt>
    <dgm:pt modelId="{4553890C-F4E6-49E5-99C6-84B1EE907B71}" type="parTrans" cxnId="{BD7DAEF4-FABE-4DC7-8566-EFDC1B962A6F}">
      <dgm:prSet/>
      <dgm:spPr/>
      <dgm:t>
        <a:bodyPr/>
        <a:lstStyle/>
        <a:p>
          <a:endParaRPr lang="es-ES">
            <a:latin typeface="Arial" panose="020B0604020202020204" pitchFamily="34" charset="0"/>
            <a:cs typeface="Arial" panose="020B0604020202020204" pitchFamily="34" charset="0"/>
          </a:endParaRPr>
        </a:p>
      </dgm:t>
    </dgm:pt>
    <dgm:pt modelId="{5504D611-D244-4258-9699-F420B5C31DD3}" type="sibTrans" cxnId="{BD7DAEF4-FABE-4DC7-8566-EFDC1B962A6F}">
      <dgm:prSet/>
      <dgm:spPr/>
      <dgm:t>
        <a:bodyPr/>
        <a:lstStyle/>
        <a:p>
          <a:endParaRPr lang="es-ES">
            <a:latin typeface="Arial" panose="020B0604020202020204" pitchFamily="34" charset="0"/>
            <a:cs typeface="Arial" panose="020B0604020202020204" pitchFamily="34" charset="0"/>
          </a:endParaRPr>
        </a:p>
      </dgm:t>
    </dgm:pt>
    <dgm:pt modelId="{1F74445E-AF54-423C-BADD-90CB2E8E352F}">
      <dgm:prSet/>
      <dgm:spPr/>
      <dgm:t>
        <a:bodyPr/>
        <a:lstStyle/>
        <a:p>
          <a:r>
            <a:rPr lang="es-CO">
              <a:latin typeface="Arial" panose="020B0604020202020204" pitchFamily="34" charset="0"/>
              <a:cs typeface="Arial" panose="020B0604020202020204" pitchFamily="34" charset="0"/>
            </a:rPr>
            <a:t>El Manual Tarifario SOAT tiene como antecedente el régimen tarifario establecido mediante el Decreto 2423 de 1996, posteriormente compilado en el Decreto 780 de 2016. Este referente establece la nomenclatura, clasificación y tarifas para determinados procedimientos médico-quirúrgicos y hospitalarios.</a:t>
          </a:r>
          <a:endParaRPr lang="en-US">
            <a:latin typeface="Arial" panose="020B0604020202020204" pitchFamily="34" charset="0"/>
            <a:cs typeface="Arial" panose="020B0604020202020204" pitchFamily="34" charset="0"/>
          </a:endParaRPr>
        </a:p>
      </dgm:t>
    </dgm:pt>
    <dgm:pt modelId="{473233CF-D0AB-41ED-94B6-DB35CC962C3D}" type="parTrans" cxnId="{548596C5-CF61-4ED3-A092-F943F8C8F701}">
      <dgm:prSet/>
      <dgm:spPr/>
      <dgm:t>
        <a:bodyPr/>
        <a:lstStyle/>
        <a:p>
          <a:endParaRPr lang="es-ES">
            <a:latin typeface="Arial" panose="020B0604020202020204" pitchFamily="34" charset="0"/>
            <a:cs typeface="Arial" panose="020B0604020202020204" pitchFamily="34" charset="0"/>
          </a:endParaRPr>
        </a:p>
      </dgm:t>
    </dgm:pt>
    <dgm:pt modelId="{BE14FC30-F827-4BA8-9E48-1CBE3F162C62}" type="sibTrans" cxnId="{548596C5-CF61-4ED3-A092-F943F8C8F701}">
      <dgm:prSet/>
      <dgm:spPr/>
      <dgm:t>
        <a:bodyPr/>
        <a:lstStyle/>
        <a:p>
          <a:endParaRPr lang="es-ES">
            <a:latin typeface="Arial" panose="020B0604020202020204" pitchFamily="34" charset="0"/>
            <a:cs typeface="Arial" panose="020B0604020202020204" pitchFamily="34" charset="0"/>
          </a:endParaRPr>
        </a:p>
      </dgm:t>
    </dgm:pt>
    <dgm:pt modelId="{15F4F485-F74E-436A-8810-96E0868AC398}">
      <dgm:prSet/>
      <dgm:spPr/>
      <dgm:t>
        <a:bodyPr/>
        <a:lstStyle/>
        <a:p>
          <a:r>
            <a:rPr lang="es-CO">
              <a:latin typeface="Arial" panose="020B0604020202020204" pitchFamily="34" charset="0"/>
              <a:cs typeface="Arial" panose="020B0604020202020204" pitchFamily="34" charset="0"/>
            </a:rPr>
            <a:t>Su aplicación obligatoria está asociada a situaciones específicas establecidas en la normativa, entre ellas la atención de víctimas de accidentes de tránsito y determinados eventos catastróficos, así como la atención inicial de urgencias cuando no existe un acuerdo previo entre las partes. Para otros procesos de contratación, puede utilizarse como referente cuando así se establezca en el acuerdo de voluntades.</a:t>
          </a:r>
          <a:endParaRPr lang="en-US">
            <a:latin typeface="Arial" panose="020B0604020202020204" pitchFamily="34" charset="0"/>
            <a:cs typeface="Arial" panose="020B0604020202020204" pitchFamily="34" charset="0"/>
          </a:endParaRPr>
        </a:p>
      </dgm:t>
    </dgm:pt>
    <dgm:pt modelId="{0C8A092B-A73F-462B-9D36-927878AC9012}" type="parTrans" cxnId="{2A695789-3532-4640-9571-63C56495D163}">
      <dgm:prSet/>
      <dgm:spPr/>
      <dgm:t>
        <a:bodyPr/>
        <a:lstStyle/>
        <a:p>
          <a:endParaRPr lang="es-ES">
            <a:latin typeface="Arial" panose="020B0604020202020204" pitchFamily="34" charset="0"/>
            <a:cs typeface="Arial" panose="020B0604020202020204" pitchFamily="34" charset="0"/>
          </a:endParaRPr>
        </a:p>
      </dgm:t>
    </dgm:pt>
    <dgm:pt modelId="{50352DF1-4B1F-4F21-A162-DFFA49F228D6}" type="sibTrans" cxnId="{2A695789-3532-4640-9571-63C56495D163}">
      <dgm:prSet/>
      <dgm:spPr/>
      <dgm:t>
        <a:bodyPr/>
        <a:lstStyle/>
        <a:p>
          <a:endParaRPr lang="es-ES">
            <a:latin typeface="Arial" panose="020B0604020202020204" pitchFamily="34" charset="0"/>
            <a:cs typeface="Arial" panose="020B0604020202020204" pitchFamily="34" charset="0"/>
          </a:endParaRPr>
        </a:p>
      </dgm:t>
    </dgm:pt>
    <dgm:pt modelId="{D8D52510-88C2-40CF-B4E7-21E4B1EACD1D}">
      <dgm:prSet/>
      <dgm:spPr/>
      <dgm:t>
        <a:bodyPr/>
        <a:lstStyle/>
        <a:p>
          <a:r>
            <a:rPr lang="es-CO">
              <a:latin typeface="Arial" panose="020B0604020202020204" pitchFamily="34" charset="0"/>
              <a:cs typeface="Arial" panose="020B0604020202020204" pitchFamily="34" charset="0"/>
            </a:rPr>
            <a:t>Manual Tarifario ISS 2001</a:t>
          </a:r>
          <a:endParaRPr lang="en-US">
            <a:latin typeface="Arial" panose="020B0604020202020204" pitchFamily="34" charset="0"/>
            <a:cs typeface="Arial" panose="020B0604020202020204" pitchFamily="34" charset="0"/>
          </a:endParaRPr>
        </a:p>
      </dgm:t>
    </dgm:pt>
    <dgm:pt modelId="{116422C5-93F7-4B80-9065-3B18FF4CD0A6}" type="parTrans" cxnId="{90493C75-51A1-4407-A8B7-681A248AA883}">
      <dgm:prSet/>
      <dgm:spPr/>
      <dgm:t>
        <a:bodyPr/>
        <a:lstStyle/>
        <a:p>
          <a:endParaRPr lang="es-ES">
            <a:latin typeface="Arial" panose="020B0604020202020204" pitchFamily="34" charset="0"/>
            <a:cs typeface="Arial" panose="020B0604020202020204" pitchFamily="34" charset="0"/>
          </a:endParaRPr>
        </a:p>
      </dgm:t>
    </dgm:pt>
    <dgm:pt modelId="{E2D27385-77FF-498F-B118-2EB0847E0122}" type="sibTrans" cxnId="{90493C75-51A1-4407-A8B7-681A248AA883}">
      <dgm:prSet/>
      <dgm:spPr/>
      <dgm:t>
        <a:bodyPr/>
        <a:lstStyle/>
        <a:p>
          <a:endParaRPr lang="es-ES">
            <a:latin typeface="Arial" panose="020B0604020202020204" pitchFamily="34" charset="0"/>
            <a:cs typeface="Arial" panose="020B0604020202020204" pitchFamily="34" charset="0"/>
          </a:endParaRPr>
        </a:p>
      </dgm:t>
    </dgm:pt>
    <dgm:pt modelId="{1FAD5740-687A-4D56-BD03-35746A7F2A5C}">
      <dgm:prSet/>
      <dgm:spPr/>
      <dgm:t>
        <a:bodyPr/>
        <a:lstStyle/>
        <a:p>
          <a:r>
            <a:rPr lang="es-CO">
              <a:latin typeface="Arial" panose="020B0604020202020204" pitchFamily="34" charset="0"/>
              <a:cs typeface="Arial" panose="020B0604020202020204" pitchFamily="34" charset="0"/>
            </a:rPr>
            <a:t>El denominado Manual Tarifario ISS 2001 corresponde a un referente histórico utilizado en procesos de negociación de servicios de salud. Aunque no ha tenido una actualización oficial posterior a su expedición, puede encontrarse como referencia en algunos procesos de contratación cuando las partes acuerdan utilizarlo.</a:t>
          </a:r>
          <a:endParaRPr lang="en-US">
            <a:latin typeface="Arial" panose="020B0604020202020204" pitchFamily="34" charset="0"/>
            <a:cs typeface="Arial" panose="020B0604020202020204" pitchFamily="34" charset="0"/>
          </a:endParaRPr>
        </a:p>
      </dgm:t>
    </dgm:pt>
    <dgm:pt modelId="{31181C62-7F53-4F6B-9186-C9DAF42DE59B}" type="parTrans" cxnId="{F4C59B08-5B71-4BC2-BD4F-53C06C0A0724}">
      <dgm:prSet/>
      <dgm:spPr/>
      <dgm:t>
        <a:bodyPr/>
        <a:lstStyle/>
        <a:p>
          <a:endParaRPr lang="es-ES">
            <a:latin typeface="Arial" panose="020B0604020202020204" pitchFamily="34" charset="0"/>
            <a:cs typeface="Arial" panose="020B0604020202020204" pitchFamily="34" charset="0"/>
          </a:endParaRPr>
        </a:p>
      </dgm:t>
    </dgm:pt>
    <dgm:pt modelId="{840D09BE-B7BB-41C1-A20B-11408FEE759E}" type="sibTrans" cxnId="{F4C59B08-5B71-4BC2-BD4F-53C06C0A0724}">
      <dgm:prSet/>
      <dgm:spPr/>
      <dgm:t>
        <a:bodyPr/>
        <a:lstStyle/>
        <a:p>
          <a:endParaRPr lang="es-ES">
            <a:latin typeface="Arial" panose="020B0604020202020204" pitchFamily="34" charset="0"/>
            <a:cs typeface="Arial" panose="020B0604020202020204" pitchFamily="34" charset="0"/>
          </a:endParaRPr>
        </a:p>
      </dgm:t>
    </dgm:pt>
    <dgm:pt modelId="{4AD08FE8-CE8D-4A8C-B979-69D96D365204}">
      <dgm:prSet/>
      <dgm:spPr/>
      <dgm:t>
        <a:bodyPr/>
        <a:lstStyle/>
        <a:p>
          <a:r>
            <a:rPr lang="es-CO">
              <a:latin typeface="Arial" panose="020B0604020202020204" pitchFamily="34" charset="0"/>
              <a:cs typeface="Arial" panose="020B0604020202020204" pitchFamily="34" charset="0"/>
            </a:rPr>
            <a:t>Es importante diferenciar entre un manual utilizado como referente de negociación y una tarifa de aplicación obligatoria. La utilización de un manual como referente depende de las condiciones pactadas por las partes y del marco normativo aplicable al acuerdo.</a:t>
          </a:r>
          <a:endParaRPr lang="en-US">
            <a:latin typeface="Arial" panose="020B0604020202020204" pitchFamily="34" charset="0"/>
            <a:cs typeface="Arial" panose="020B0604020202020204" pitchFamily="34" charset="0"/>
          </a:endParaRPr>
        </a:p>
      </dgm:t>
    </dgm:pt>
    <dgm:pt modelId="{17956A63-FB4A-4718-AAD3-3AC22F264613}" type="parTrans" cxnId="{6C6637AD-BF1A-4860-8722-0CB1C4FC1170}">
      <dgm:prSet/>
      <dgm:spPr/>
      <dgm:t>
        <a:bodyPr/>
        <a:lstStyle/>
        <a:p>
          <a:endParaRPr lang="es-ES">
            <a:latin typeface="Arial" panose="020B0604020202020204" pitchFamily="34" charset="0"/>
            <a:cs typeface="Arial" panose="020B0604020202020204" pitchFamily="34" charset="0"/>
          </a:endParaRPr>
        </a:p>
      </dgm:t>
    </dgm:pt>
    <dgm:pt modelId="{906C6D18-E074-4276-8677-E310809052C5}" type="sibTrans" cxnId="{6C6637AD-BF1A-4860-8722-0CB1C4FC1170}">
      <dgm:prSet/>
      <dgm:spPr/>
      <dgm:t>
        <a:bodyPr/>
        <a:lstStyle/>
        <a:p>
          <a:endParaRPr lang="es-ES">
            <a:latin typeface="Arial" panose="020B0604020202020204" pitchFamily="34" charset="0"/>
            <a:cs typeface="Arial" panose="020B0604020202020204" pitchFamily="34" charset="0"/>
          </a:endParaRPr>
        </a:p>
      </dgm:t>
    </dgm:pt>
    <dgm:pt modelId="{EAD5CCD1-D03A-49F6-83CF-392295B9DBF2}" type="pres">
      <dgm:prSet presAssocID="{C5D16F23-6788-42C5-A380-9F953DF07AEA}" presName="theList" presStyleCnt="0">
        <dgm:presLayoutVars>
          <dgm:dir/>
          <dgm:animLvl val="lvl"/>
          <dgm:resizeHandles val="exact"/>
        </dgm:presLayoutVars>
      </dgm:prSet>
      <dgm:spPr/>
      <dgm:t>
        <a:bodyPr/>
        <a:lstStyle/>
        <a:p>
          <a:endParaRPr lang="es-ES"/>
        </a:p>
      </dgm:t>
    </dgm:pt>
    <dgm:pt modelId="{04035F7B-6696-4101-B593-FE636588DAD5}" type="pres">
      <dgm:prSet presAssocID="{00B346AA-2069-45CA-B999-DF0C1108DA7F}" presName="compNode" presStyleCnt="0"/>
      <dgm:spPr/>
      <dgm:t>
        <a:bodyPr/>
        <a:lstStyle/>
        <a:p>
          <a:endParaRPr lang="es-ES"/>
        </a:p>
      </dgm:t>
    </dgm:pt>
    <dgm:pt modelId="{4B80CC44-E68D-407D-B96E-54ED6C6EDD63}" type="pres">
      <dgm:prSet presAssocID="{00B346AA-2069-45CA-B999-DF0C1108DA7F}" presName="aNode" presStyleLbl="bgShp" presStyleIdx="0" presStyleCnt="2"/>
      <dgm:spPr/>
      <dgm:t>
        <a:bodyPr/>
        <a:lstStyle/>
        <a:p>
          <a:endParaRPr lang="es-ES"/>
        </a:p>
      </dgm:t>
    </dgm:pt>
    <dgm:pt modelId="{67660799-18DB-4741-B49A-929A5CEEDA55}" type="pres">
      <dgm:prSet presAssocID="{00B346AA-2069-45CA-B999-DF0C1108DA7F}" presName="textNode" presStyleLbl="bgShp" presStyleIdx="0" presStyleCnt="2"/>
      <dgm:spPr/>
      <dgm:t>
        <a:bodyPr/>
        <a:lstStyle/>
        <a:p>
          <a:endParaRPr lang="es-ES"/>
        </a:p>
      </dgm:t>
    </dgm:pt>
    <dgm:pt modelId="{658831F2-AED3-4DBA-B48A-54E7D6AE9032}" type="pres">
      <dgm:prSet presAssocID="{00B346AA-2069-45CA-B999-DF0C1108DA7F}" presName="compChildNode" presStyleCnt="0"/>
      <dgm:spPr/>
      <dgm:t>
        <a:bodyPr/>
        <a:lstStyle/>
        <a:p>
          <a:endParaRPr lang="es-ES"/>
        </a:p>
      </dgm:t>
    </dgm:pt>
    <dgm:pt modelId="{DEF127EF-E9DC-4E36-90D2-B735ABA0ADB2}" type="pres">
      <dgm:prSet presAssocID="{00B346AA-2069-45CA-B999-DF0C1108DA7F}" presName="theInnerList" presStyleCnt="0"/>
      <dgm:spPr/>
      <dgm:t>
        <a:bodyPr/>
        <a:lstStyle/>
        <a:p>
          <a:endParaRPr lang="es-ES"/>
        </a:p>
      </dgm:t>
    </dgm:pt>
    <dgm:pt modelId="{D5373C8D-3912-4BD4-90E9-20FA265ED65C}" type="pres">
      <dgm:prSet presAssocID="{1F74445E-AF54-423C-BADD-90CB2E8E352F}" presName="childNode" presStyleLbl="node1" presStyleIdx="0" presStyleCnt="4">
        <dgm:presLayoutVars>
          <dgm:bulletEnabled val="1"/>
        </dgm:presLayoutVars>
      </dgm:prSet>
      <dgm:spPr/>
      <dgm:t>
        <a:bodyPr/>
        <a:lstStyle/>
        <a:p>
          <a:endParaRPr lang="es-ES"/>
        </a:p>
      </dgm:t>
    </dgm:pt>
    <dgm:pt modelId="{BA3B3CA9-03FD-478D-AC2F-5D9EB4957FB5}" type="pres">
      <dgm:prSet presAssocID="{1F74445E-AF54-423C-BADD-90CB2E8E352F}" presName="aSpace2" presStyleCnt="0"/>
      <dgm:spPr/>
      <dgm:t>
        <a:bodyPr/>
        <a:lstStyle/>
        <a:p>
          <a:endParaRPr lang="es-ES"/>
        </a:p>
      </dgm:t>
    </dgm:pt>
    <dgm:pt modelId="{F81F8DF3-610B-42F2-BCF0-309E749B0A89}" type="pres">
      <dgm:prSet presAssocID="{15F4F485-F74E-436A-8810-96E0868AC398}" presName="childNode" presStyleLbl="node1" presStyleIdx="1" presStyleCnt="4">
        <dgm:presLayoutVars>
          <dgm:bulletEnabled val="1"/>
        </dgm:presLayoutVars>
      </dgm:prSet>
      <dgm:spPr/>
      <dgm:t>
        <a:bodyPr/>
        <a:lstStyle/>
        <a:p>
          <a:endParaRPr lang="es-ES"/>
        </a:p>
      </dgm:t>
    </dgm:pt>
    <dgm:pt modelId="{77B77E5E-2D48-4895-8919-41EAE718E586}" type="pres">
      <dgm:prSet presAssocID="{00B346AA-2069-45CA-B999-DF0C1108DA7F}" presName="aSpace" presStyleCnt="0"/>
      <dgm:spPr/>
      <dgm:t>
        <a:bodyPr/>
        <a:lstStyle/>
        <a:p>
          <a:endParaRPr lang="es-ES"/>
        </a:p>
      </dgm:t>
    </dgm:pt>
    <dgm:pt modelId="{ED7D8222-B86A-4208-862F-31909983AAC0}" type="pres">
      <dgm:prSet presAssocID="{D8D52510-88C2-40CF-B4E7-21E4B1EACD1D}" presName="compNode" presStyleCnt="0"/>
      <dgm:spPr/>
      <dgm:t>
        <a:bodyPr/>
        <a:lstStyle/>
        <a:p>
          <a:endParaRPr lang="es-ES"/>
        </a:p>
      </dgm:t>
    </dgm:pt>
    <dgm:pt modelId="{DE6B8FBC-D5EF-4416-ACCA-05879E5E79A8}" type="pres">
      <dgm:prSet presAssocID="{D8D52510-88C2-40CF-B4E7-21E4B1EACD1D}" presName="aNode" presStyleLbl="bgShp" presStyleIdx="1" presStyleCnt="2"/>
      <dgm:spPr/>
      <dgm:t>
        <a:bodyPr/>
        <a:lstStyle/>
        <a:p>
          <a:endParaRPr lang="es-ES"/>
        </a:p>
      </dgm:t>
    </dgm:pt>
    <dgm:pt modelId="{DA198AD7-7B64-4E1E-808F-84086CACAE88}" type="pres">
      <dgm:prSet presAssocID="{D8D52510-88C2-40CF-B4E7-21E4B1EACD1D}" presName="textNode" presStyleLbl="bgShp" presStyleIdx="1" presStyleCnt="2"/>
      <dgm:spPr/>
      <dgm:t>
        <a:bodyPr/>
        <a:lstStyle/>
        <a:p>
          <a:endParaRPr lang="es-ES"/>
        </a:p>
      </dgm:t>
    </dgm:pt>
    <dgm:pt modelId="{D1DBE324-08C5-4695-8E7F-107060CAC117}" type="pres">
      <dgm:prSet presAssocID="{D8D52510-88C2-40CF-B4E7-21E4B1EACD1D}" presName="compChildNode" presStyleCnt="0"/>
      <dgm:spPr/>
      <dgm:t>
        <a:bodyPr/>
        <a:lstStyle/>
        <a:p>
          <a:endParaRPr lang="es-ES"/>
        </a:p>
      </dgm:t>
    </dgm:pt>
    <dgm:pt modelId="{C1A1DE4F-5337-4F4D-80F6-FE8282098DFC}" type="pres">
      <dgm:prSet presAssocID="{D8D52510-88C2-40CF-B4E7-21E4B1EACD1D}" presName="theInnerList" presStyleCnt="0"/>
      <dgm:spPr/>
      <dgm:t>
        <a:bodyPr/>
        <a:lstStyle/>
        <a:p>
          <a:endParaRPr lang="es-ES"/>
        </a:p>
      </dgm:t>
    </dgm:pt>
    <dgm:pt modelId="{93CC2AFA-B8DB-42BD-880F-83C56682AD12}" type="pres">
      <dgm:prSet presAssocID="{1FAD5740-687A-4D56-BD03-35746A7F2A5C}" presName="childNode" presStyleLbl="node1" presStyleIdx="2" presStyleCnt="4">
        <dgm:presLayoutVars>
          <dgm:bulletEnabled val="1"/>
        </dgm:presLayoutVars>
      </dgm:prSet>
      <dgm:spPr/>
      <dgm:t>
        <a:bodyPr/>
        <a:lstStyle/>
        <a:p>
          <a:endParaRPr lang="es-ES"/>
        </a:p>
      </dgm:t>
    </dgm:pt>
    <dgm:pt modelId="{5C446D86-3034-4AF6-AEE0-FE57F65D6C2C}" type="pres">
      <dgm:prSet presAssocID="{1FAD5740-687A-4D56-BD03-35746A7F2A5C}" presName="aSpace2" presStyleCnt="0"/>
      <dgm:spPr/>
      <dgm:t>
        <a:bodyPr/>
        <a:lstStyle/>
        <a:p>
          <a:endParaRPr lang="es-ES"/>
        </a:p>
      </dgm:t>
    </dgm:pt>
    <dgm:pt modelId="{65A05116-7DDF-4DD3-8A6A-CAEE40B1D8FA}" type="pres">
      <dgm:prSet presAssocID="{4AD08FE8-CE8D-4A8C-B979-69D96D365204}" presName="childNode" presStyleLbl="node1" presStyleIdx="3" presStyleCnt="4">
        <dgm:presLayoutVars>
          <dgm:bulletEnabled val="1"/>
        </dgm:presLayoutVars>
      </dgm:prSet>
      <dgm:spPr/>
      <dgm:t>
        <a:bodyPr/>
        <a:lstStyle/>
        <a:p>
          <a:endParaRPr lang="es-ES"/>
        </a:p>
      </dgm:t>
    </dgm:pt>
  </dgm:ptLst>
  <dgm:cxnLst>
    <dgm:cxn modelId="{BD7DAEF4-FABE-4DC7-8566-EFDC1B962A6F}" srcId="{C5D16F23-6788-42C5-A380-9F953DF07AEA}" destId="{00B346AA-2069-45CA-B999-DF0C1108DA7F}" srcOrd="0" destOrd="0" parTransId="{4553890C-F4E6-49E5-99C6-84B1EE907B71}" sibTransId="{5504D611-D244-4258-9699-F420B5C31DD3}"/>
    <dgm:cxn modelId="{2A695789-3532-4640-9571-63C56495D163}" srcId="{00B346AA-2069-45CA-B999-DF0C1108DA7F}" destId="{15F4F485-F74E-436A-8810-96E0868AC398}" srcOrd="1" destOrd="0" parTransId="{0C8A092B-A73F-462B-9D36-927878AC9012}" sibTransId="{50352DF1-4B1F-4F21-A162-DFFA49F228D6}"/>
    <dgm:cxn modelId="{49C2B708-5CBC-42ED-AD04-746E89D7ED39}" type="presOf" srcId="{4AD08FE8-CE8D-4A8C-B979-69D96D365204}" destId="{65A05116-7DDF-4DD3-8A6A-CAEE40B1D8FA}" srcOrd="0" destOrd="0" presId="urn:microsoft.com/office/officeart/2005/8/layout/lProcess2"/>
    <dgm:cxn modelId="{5BF8C897-560F-4E3D-BA7D-3359805B85F4}" type="presOf" srcId="{00B346AA-2069-45CA-B999-DF0C1108DA7F}" destId="{4B80CC44-E68D-407D-B96E-54ED6C6EDD63}" srcOrd="0" destOrd="0" presId="urn:microsoft.com/office/officeart/2005/8/layout/lProcess2"/>
    <dgm:cxn modelId="{548596C5-CF61-4ED3-A092-F943F8C8F701}" srcId="{00B346AA-2069-45CA-B999-DF0C1108DA7F}" destId="{1F74445E-AF54-423C-BADD-90CB2E8E352F}" srcOrd="0" destOrd="0" parTransId="{473233CF-D0AB-41ED-94B6-DB35CC962C3D}" sibTransId="{BE14FC30-F827-4BA8-9E48-1CBE3F162C62}"/>
    <dgm:cxn modelId="{00447846-8182-4045-B275-FDD92B833C3D}" type="presOf" srcId="{15F4F485-F74E-436A-8810-96E0868AC398}" destId="{F81F8DF3-610B-42F2-BCF0-309E749B0A89}" srcOrd="0" destOrd="0" presId="urn:microsoft.com/office/officeart/2005/8/layout/lProcess2"/>
    <dgm:cxn modelId="{20EB1F00-DD4B-42E2-B9D5-FFD5F6E2FD73}" type="presOf" srcId="{D8D52510-88C2-40CF-B4E7-21E4B1EACD1D}" destId="{DA198AD7-7B64-4E1E-808F-84086CACAE88}" srcOrd="1" destOrd="0" presId="urn:microsoft.com/office/officeart/2005/8/layout/lProcess2"/>
    <dgm:cxn modelId="{4EE2C98F-34B1-4C9A-86F6-2E8F4ECC4B77}" type="presOf" srcId="{1FAD5740-687A-4D56-BD03-35746A7F2A5C}" destId="{93CC2AFA-B8DB-42BD-880F-83C56682AD12}" srcOrd="0" destOrd="0" presId="urn:microsoft.com/office/officeart/2005/8/layout/lProcess2"/>
    <dgm:cxn modelId="{0386C0EE-938D-42F6-B453-EA8B47E1E8FD}" type="presOf" srcId="{00B346AA-2069-45CA-B999-DF0C1108DA7F}" destId="{67660799-18DB-4741-B49A-929A5CEEDA55}" srcOrd="1" destOrd="0" presId="urn:microsoft.com/office/officeart/2005/8/layout/lProcess2"/>
    <dgm:cxn modelId="{43256790-69C8-4D59-92C0-B491364E1762}" type="presOf" srcId="{C5D16F23-6788-42C5-A380-9F953DF07AEA}" destId="{EAD5CCD1-D03A-49F6-83CF-392295B9DBF2}" srcOrd="0" destOrd="0" presId="urn:microsoft.com/office/officeart/2005/8/layout/lProcess2"/>
    <dgm:cxn modelId="{6C6637AD-BF1A-4860-8722-0CB1C4FC1170}" srcId="{D8D52510-88C2-40CF-B4E7-21E4B1EACD1D}" destId="{4AD08FE8-CE8D-4A8C-B979-69D96D365204}" srcOrd="1" destOrd="0" parTransId="{17956A63-FB4A-4718-AAD3-3AC22F264613}" sibTransId="{906C6D18-E074-4276-8677-E310809052C5}"/>
    <dgm:cxn modelId="{F4C59B08-5B71-4BC2-BD4F-53C06C0A0724}" srcId="{D8D52510-88C2-40CF-B4E7-21E4B1EACD1D}" destId="{1FAD5740-687A-4D56-BD03-35746A7F2A5C}" srcOrd="0" destOrd="0" parTransId="{31181C62-7F53-4F6B-9186-C9DAF42DE59B}" sibTransId="{840D09BE-B7BB-41C1-A20B-11408FEE759E}"/>
    <dgm:cxn modelId="{90493C75-51A1-4407-A8B7-681A248AA883}" srcId="{C5D16F23-6788-42C5-A380-9F953DF07AEA}" destId="{D8D52510-88C2-40CF-B4E7-21E4B1EACD1D}" srcOrd="1" destOrd="0" parTransId="{116422C5-93F7-4B80-9065-3B18FF4CD0A6}" sibTransId="{E2D27385-77FF-498F-B118-2EB0847E0122}"/>
    <dgm:cxn modelId="{BAB70AD8-1AE3-494B-B79D-87C9F59F74F1}" type="presOf" srcId="{D8D52510-88C2-40CF-B4E7-21E4B1EACD1D}" destId="{DE6B8FBC-D5EF-4416-ACCA-05879E5E79A8}" srcOrd="0" destOrd="0" presId="urn:microsoft.com/office/officeart/2005/8/layout/lProcess2"/>
    <dgm:cxn modelId="{ACC0BAF8-6584-42C2-ACD2-185B7DB8EBC7}" type="presOf" srcId="{1F74445E-AF54-423C-BADD-90CB2E8E352F}" destId="{D5373C8D-3912-4BD4-90E9-20FA265ED65C}" srcOrd="0" destOrd="0" presId="urn:microsoft.com/office/officeart/2005/8/layout/lProcess2"/>
    <dgm:cxn modelId="{7A8B1792-D058-421D-9FA8-B000F5B84409}" type="presParOf" srcId="{EAD5CCD1-D03A-49F6-83CF-392295B9DBF2}" destId="{04035F7B-6696-4101-B593-FE636588DAD5}" srcOrd="0" destOrd="0" presId="urn:microsoft.com/office/officeart/2005/8/layout/lProcess2"/>
    <dgm:cxn modelId="{90035A2A-A0FB-414C-80BB-698AEFEF1D03}" type="presParOf" srcId="{04035F7B-6696-4101-B593-FE636588DAD5}" destId="{4B80CC44-E68D-407D-B96E-54ED6C6EDD63}" srcOrd="0" destOrd="0" presId="urn:microsoft.com/office/officeart/2005/8/layout/lProcess2"/>
    <dgm:cxn modelId="{98118F4A-557C-4E47-A73D-56925BF876CD}" type="presParOf" srcId="{04035F7B-6696-4101-B593-FE636588DAD5}" destId="{67660799-18DB-4741-B49A-929A5CEEDA55}" srcOrd="1" destOrd="0" presId="urn:microsoft.com/office/officeart/2005/8/layout/lProcess2"/>
    <dgm:cxn modelId="{6C6161D6-6B06-431C-AE75-4505D05BD5F8}" type="presParOf" srcId="{04035F7B-6696-4101-B593-FE636588DAD5}" destId="{658831F2-AED3-4DBA-B48A-54E7D6AE9032}" srcOrd="2" destOrd="0" presId="urn:microsoft.com/office/officeart/2005/8/layout/lProcess2"/>
    <dgm:cxn modelId="{F0063309-F689-4934-A7C4-232D4EB4BC06}" type="presParOf" srcId="{658831F2-AED3-4DBA-B48A-54E7D6AE9032}" destId="{DEF127EF-E9DC-4E36-90D2-B735ABA0ADB2}" srcOrd="0" destOrd="0" presId="urn:microsoft.com/office/officeart/2005/8/layout/lProcess2"/>
    <dgm:cxn modelId="{78AB07D8-DF5B-4E0B-AE0B-CE21B276CC05}" type="presParOf" srcId="{DEF127EF-E9DC-4E36-90D2-B735ABA0ADB2}" destId="{D5373C8D-3912-4BD4-90E9-20FA265ED65C}" srcOrd="0" destOrd="0" presId="urn:microsoft.com/office/officeart/2005/8/layout/lProcess2"/>
    <dgm:cxn modelId="{B7C1D7A9-F90E-43F4-8DEB-1998EBAB3D02}" type="presParOf" srcId="{DEF127EF-E9DC-4E36-90D2-B735ABA0ADB2}" destId="{BA3B3CA9-03FD-478D-AC2F-5D9EB4957FB5}" srcOrd="1" destOrd="0" presId="urn:microsoft.com/office/officeart/2005/8/layout/lProcess2"/>
    <dgm:cxn modelId="{7C6A40A5-26D2-4899-98FB-38EBE25CA1DC}" type="presParOf" srcId="{DEF127EF-E9DC-4E36-90D2-B735ABA0ADB2}" destId="{F81F8DF3-610B-42F2-BCF0-309E749B0A89}" srcOrd="2" destOrd="0" presId="urn:microsoft.com/office/officeart/2005/8/layout/lProcess2"/>
    <dgm:cxn modelId="{E700FB0A-B090-44DC-8955-6A16B3D88A39}" type="presParOf" srcId="{EAD5CCD1-D03A-49F6-83CF-392295B9DBF2}" destId="{77B77E5E-2D48-4895-8919-41EAE718E586}" srcOrd="1" destOrd="0" presId="urn:microsoft.com/office/officeart/2005/8/layout/lProcess2"/>
    <dgm:cxn modelId="{0D7D9618-4859-46E7-9932-A0ADA7C6C7BA}" type="presParOf" srcId="{EAD5CCD1-D03A-49F6-83CF-392295B9DBF2}" destId="{ED7D8222-B86A-4208-862F-31909983AAC0}" srcOrd="2" destOrd="0" presId="urn:microsoft.com/office/officeart/2005/8/layout/lProcess2"/>
    <dgm:cxn modelId="{409E4FC1-6870-4442-99DA-5D229408D601}" type="presParOf" srcId="{ED7D8222-B86A-4208-862F-31909983AAC0}" destId="{DE6B8FBC-D5EF-4416-ACCA-05879E5E79A8}" srcOrd="0" destOrd="0" presId="urn:microsoft.com/office/officeart/2005/8/layout/lProcess2"/>
    <dgm:cxn modelId="{35DCD2CC-7BEC-45B5-8A20-98B849DE905F}" type="presParOf" srcId="{ED7D8222-B86A-4208-862F-31909983AAC0}" destId="{DA198AD7-7B64-4E1E-808F-84086CACAE88}" srcOrd="1" destOrd="0" presId="urn:microsoft.com/office/officeart/2005/8/layout/lProcess2"/>
    <dgm:cxn modelId="{F9FD04F3-3C20-4B93-86AC-6FB4E3B90179}" type="presParOf" srcId="{ED7D8222-B86A-4208-862F-31909983AAC0}" destId="{D1DBE324-08C5-4695-8E7F-107060CAC117}" srcOrd="2" destOrd="0" presId="urn:microsoft.com/office/officeart/2005/8/layout/lProcess2"/>
    <dgm:cxn modelId="{E8317751-44FD-4D61-B24E-D07BD0AE676F}" type="presParOf" srcId="{D1DBE324-08C5-4695-8E7F-107060CAC117}" destId="{C1A1DE4F-5337-4F4D-80F6-FE8282098DFC}" srcOrd="0" destOrd="0" presId="urn:microsoft.com/office/officeart/2005/8/layout/lProcess2"/>
    <dgm:cxn modelId="{B8793C78-22BE-4818-BC22-0DACDCD3EBAA}" type="presParOf" srcId="{C1A1DE4F-5337-4F4D-80F6-FE8282098DFC}" destId="{93CC2AFA-B8DB-42BD-880F-83C56682AD12}" srcOrd="0" destOrd="0" presId="urn:microsoft.com/office/officeart/2005/8/layout/lProcess2"/>
    <dgm:cxn modelId="{A85D70D6-11BB-4803-8A62-0E35D1C662E6}" type="presParOf" srcId="{C1A1DE4F-5337-4F4D-80F6-FE8282098DFC}" destId="{5C446D86-3034-4AF6-AEE0-FE57F65D6C2C}" srcOrd="1" destOrd="0" presId="urn:microsoft.com/office/officeart/2005/8/layout/lProcess2"/>
    <dgm:cxn modelId="{C6989694-137D-468F-A780-BB353FD9E4DB}" type="presParOf" srcId="{C1A1DE4F-5337-4F4D-80F6-FE8282098DFC}" destId="{65A05116-7DDF-4DD3-8A6A-CAEE40B1D8FA}" srcOrd="2" destOrd="0" presId="urn:microsoft.com/office/officeart/2005/8/layout/lProcess2"/>
  </dgm:cxnLst>
  <dgm:bg/>
  <dgm:whole/>
  <dgm:extLst>
    <a:ext uri="http://schemas.microsoft.com/office/drawing/2008/diagram">
      <dsp:dataModelExt xmlns:dsp="http://schemas.microsoft.com/office/drawing/2008/diagram" relId="rId47"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5971904E-D3CD-40E5-86E6-5FC6DEE1C755}" type="doc">
      <dgm:prSet loTypeId="urn:microsoft.com/office/officeart/2005/8/layout/pList1" loCatId="picture" qsTypeId="urn:microsoft.com/office/officeart/2005/8/quickstyle/simple1" qsCatId="simple" csTypeId="urn:microsoft.com/office/officeart/2005/8/colors/accent1_2" csCatId="accent1" phldr="1"/>
      <dgm:spPr/>
      <dgm:t>
        <a:bodyPr/>
        <a:lstStyle/>
        <a:p>
          <a:endParaRPr lang="es-ES"/>
        </a:p>
      </dgm:t>
    </dgm:pt>
    <dgm:pt modelId="{347F6F37-279F-4A10-BBE7-621431E594BD}">
      <dgm:prSet phldrT="[Texto]"/>
      <dgm:spPr/>
      <dgm:t>
        <a:bodyPr/>
        <a:lstStyle/>
        <a:p>
          <a:r>
            <a:rPr lang="es-CO" b="1">
              <a:latin typeface="Arial" panose="020B0604020202020204" pitchFamily="34" charset="0"/>
              <a:cs typeface="Arial" panose="020B0604020202020204" pitchFamily="34" charset="0"/>
            </a:rPr>
            <a:t>Técnica:</a:t>
          </a:r>
          <a:r>
            <a:rPr lang="es-CO">
              <a:latin typeface="Arial" panose="020B0604020202020204" pitchFamily="34" charset="0"/>
              <a:cs typeface="Arial" panose="020B0604020202020204" pitchFamily="34" charset="0"/>
            </a:rPr>
            <a:t> se fundamenta en información poblacional, epidemiológica, asistencial y económica.</a:t>
          </a:r>
          <a:endParaRPr lang="es-ES">
            <a:latin typeface="Arial" panose="020B0604020202020204" pitchFamily="34" charset="0"/>
            <a:cs typeface="Arial" panose="020B0604020202020204" pitchFamily="34" charset="0"/>
          </a:endParaRPr>
        </a:p>
      </dgm:t>
    </dgm:pt>
    <dgm:pt modelId="{7B5539C9-A95C-4EE0-B375-DCDFD874442C}" type="parTrans" cxnId="{77CC31B5-9114-40EA-B3B7-F1878B631285}">
      <dgm:prSet/>
      <dgm:spPr/>
      <dgm:t>
        <a:bodyPr/>
        <a:lstStyle/>
        <a:p>
          <a:endParaRPr lang="es-ES">
            <a:latin typeface="Arial" panose="020B0604020202020204" pitchFamily="34" charset="0"/>
            <a:cs typeface="Arial" panose="020B0604020202020204" pitchFamily="34" charset="0"/>
          </a:endParaRPr>
        </a:p>
      </dgm:t>
    </dgm:pt>
    <dgm:pt modelId="{9F02AF89-022A-4478-ACF9-D32423C9F514}" type="sibTrans" cxnId="{77CC31B5-9114-40EA-B3B7-F1878B631285}">
      <dgm:prSet/>
      <dgm:spPr/>
      <dgm:t>
        <a:bodyPr/>
        <a:lstStyle/>
        <a:p>
          <a:endParaRPr lang="es-ES">
            <a:latin typeface="Arial" panose="020B0604020202020204" pitchFamily="34" charset="0"/>
            <a:cs typeface="Arial" panose="020B0604020202020204" pitchFamily="34" charset="0"/>
          </a:endParaRPr>
        </a:p>
      </dgm:t>
    </dgm:pt>
    <dgm:pt modelId="{FEE0324D-E850-4363-B9D4-A9DE7C1ED0EA}">
      <dgm:prSet/>
      <dgm:spPr/>
      <dgm:t>
        <a:bodyPr/>
        <a:lstStyle/>
        <a:p>
          <a:r>
            <a:rPr lang="es-CO" b="1">
              <a:latin typeface="Arial" panose="020B0604020202020204" pitchFamily="34" charset="0"/>
              <a:cs typeface="Arial" panose="020B0604020202020204" pitchFamily="34" charset="0"/>
            </a:rPr>
            <a:t>Estimativa:</a:t>
          </a:r>
          <a:r>
            <a:rPr lang="es-CO">
              <a:latin typeface="Arial" panose="020B0604020202020204" pitchFamily="34" charset="0"/>
              <a:cs typeface="Arial" panose="020B0604020202020204" pitchFamily="34" charset="0"/>
            </a:rPr>
            <a:t> utiliza información disponible para proyectar frecuencias, costos y valores esperados.</a:t>
          </a:r>
          <a:endParaRPr lang="en-US">
            <a:latin typeface="Arial" panose="020B0604020202020204" pitchFamily="34" charset="0"/>
            <a:cs typeface="Arial" panose="020B0604020202020204" pitchFamily="34" charset="0"/>
          </a:endParaRPr>
        </a:p>
      </dgm:t>
    </dgm:pt>
    <dgm:pt modelId="{5AFCC0CD-2A89-4EE2-A10A-E2E761A2EBED}" type="parTrans" cxnId="{8E146F90-2B86-4409-A6EA-94242339A033}">
      <dgm:prSet/>
      <dgm:spPr/>
      <dgm:t>
        <a:bodyPr/>
        <a:lstStyle/>
        <a:p>
          <a:endParaRPr lang="es-ES">
            <a:latin typeface="Arial" panose="020B0604020202020204" pitchFamily="34" charset="0"/>
            <a:cs typeface="Arial" panose="020B0604020202020204" pitchFamily="34" charset="0"/>
          </a:endParaRPr>
        </a:p>
      </dgm:t>
    </dgm:pt>
    <dgm:pt modelId="{27A50C07-E4FF-4791-AF7D-E86AB8E9367E}" type="sibTrans" cxnId="{8E146F90-2B86-4409-A6EA-94242339A033}">
      <dgm:prSet/>
      <dgm:spPr/>
      <dgm:t>
        <a:bodyPr/>
        <a:lstStyle/>
        <a:p>
          <a:endParaRPr lang="es-ES">
            <a:latin typeface="Arial" panose="020B0604020202020204" pitchFamily="34" charset="0"/>
            <a:cs typeface="Arial" panose="020B0604020202020204" pitchFamily="34" charset="0"/>
          </a:endParaRPr>
        </a:p>
      </dgm:t>
    </dgm:pt>
    <dgm:pt modelId="{908D1F57-185A-418B-87B5-679C427CE46A}">
      <dgm:prSet/>
      <dgm:spPr/>
      <dgm:t>
        <a:bodyPr/>
        <a:lstStyle/>
        <a:p>
          <a:r>
            <a:rPr lang="es-CO" b="1">
              <a:latin typeface="Arial" panose="020B0604020202020204" pitchFamily="34" charset="0"/>
              <a:cs typeface="Arial" panose="020B0604020202020204" pitchFamily="34" charset="0"/>
            </a:rPr>
            <a:t>Detallada:</a:t>
          </a:r>
          <a:r>
            <a:rPr lang="es-CO">
              <a:latin typeface="Arial" panose="020B0604020202020204" pitchFamily="34" charset="0"/>
              <a:cs typeface="Arial" panose="020B0604020202020204" pitchFamily="34" charset="0"/>
            </a:rPr>
            <a:t> relaciona los servicios y tecnologías con sus frecuencias y valores.</a:t>
          </a:r>
          <a:endParaRPr lang="en-US">
            <a:latin typeface="Arial" panose="020B0604020202020204" pitchFamily="34" charset="0"/>
            <a:cs typeface="Arial" panose="020B0604020202020204" pitchFamily="34" charset="0"/>
          </a:endParaRPr>
        </a:p>
      </dgm:t>
    </dgm:pt>
    <dgm:pt modelId="{DFC15E9F-8C3C-46A6-9B6A-F8129741E499}" type="parTrans" cxnId="{514BB6EA-49BD-472E-BDAE-0426A60A0804}">
      <dgm:prSet/>
      <dgm:spPr/>
      <dgm:t>
        <a:bodyPr/>
        <a:lstStyle/>
        <a:p>
          <a:endParaRPr lang="es-ES">
            <a:latin typeface="Arial" panose="020B0604020202020204" pitchFamily="34" charset="0"/>
            <a:cs typeface="Arial" panose="020B0604020202020204" pitchFamily="34" charset="0"/>
          </a:endParaRPr>
        </a:p>
      </dgm:t>
    </dgm:pt>
    <dgm:pt modelId="{DAA03926-3208-467D-B177-6104D53CD25E}" type="sibTrans" cxnId="{514BB6EA-49BD-472E-BDAE-0426A60A0804}">
      <dgm:prSet/>
      <dgm:spPr/>
      <dgm:t>
        <a:bodyPr/>
        <a:lstStyle/>
        <a:p>
          <a:endParaRPr lang="es-ES">
            <a:latin typeface="Arial" panose="020B0604020202020204" pitchFamily="34" charset="0"/>
            <a:cs typeface="Arial" panose="020B0604020202020204" pitchFamily="34" charset="0"/>
          </a:endParaRPr>
        </a:p>
      </dgm:t>
    </dgm:pt>
    <dgm:pt modelId="{24D95982-CCE7-4910-BF78-3A7927E45001}">
      <dgm:prSet/>
      <dgm:spPr/>
      <dgm:t>
        <a:bodyPr/>
        <a:lstStyle/>
        <a:p>
          <a:r>
            <a:rPr lang="es-CO" b="1">
              <a:latin typeface="Arial" panose="020B0604020202020204" pitchFamily="34" charset="0"/>
              <a:cs typeface="Arial" panose="020B0604020202020204" pitchFamily="34" charset="0"/>
            </a:rPr>
            <a:t>Relacionada con la población:</a:t>
          </a:r>
          <a:r>
            <a:rPr lang="es-CO">
              <a:latin typeface="Arial" panose="020B0604020202020204" pitchFamily="34" charset="0"/>
              <a:cs typeface="Arial" panose="020B0604020202020204" pitchFamily="34" charset="0"/>
            </a:rPr>
            <a:t> las estimaciones corresponden a una población o grupo de riesgo determinado.</a:t>
          </a:r>
          <a:endParaRPr lang="en-US">
            <a:latin typeface="Arial" panose="020B0604020202020204" pitchFamily="34" charset="0"/>
            <a:cs typeface="Arial" panose="020B0604020202020204" pitchFamily="34" charset="0"/>
          </a:endParaRPr>
        </a:p>
      </dgm:t>
    </dgm:pt>
    <dgm:pt modelId="{FF378F65-A799-433D-BDBC-38AA3ADB2110}" type="parTrans" cxnId="{C3CA99A5-FAED-411D-BDB2-C166E760C1C0}">
      <dgm:prSet/>
      <dgm:spPr/>
      <dgm:t>
        <a:bodyPr/>
        <a:lstStyle/>
        <a:p>
          <a:endParaRPr lang="es-ES">
            <a:latin typeface="Arial" panose="020B0604020202020204" pitchFamily="34" charset="0"/>
            <a:cs typeface="Arial" panose="020B0604020202020204" pitchFamily="34" charset="0"/>
          </a:endParaRPr>
        </a:p>
      </dgm:t>
    </dgm:pt>
    <dgm:pt modelId="{44809389-74D9-49C3-A224-804C422FDB23}" type="sibTrans" cxnId="{C3CA99A5-FAED-411D-BDB2-C166E760C1C0}">
      <dgm:prSet/>
      <dgm:spPr/>
      <dgm:t>
        <a:bodyPr/>
        <a:lstStyle/>
        <a:p>
          <a:endParaRPr lang="es-ES">
            <a:latin typeface="Arial" panose="020B0604020202020204" pitchFamily="34" charset="0"/>
            <a:cs typeface="Arial" panose="020B0604020202020204" pitchFamily="34" charset="0"/>
          </a:endParaRPr>
        </a:p>
      </dgm:t>
    </dgm:pt>
    <dgm:pt modelId="{4689603A-727E-4237-9966-F065A35C0134}">
      <dgm:prSet/>
      <dgm:spPr/>
      <dgm:t>
        <a:bodyPr/>
        <a:lstStyle/>
        <a:p>
          <a:r>
            <a:rPr lang="es-CO" b="1">
              <a:latin typeface="Arial" panose="020B0604020202020204" pitchFamily="34" charset="0"/>
              <a:cs typeface="Arial" panose="020B0604020202020204" pitchFamily="34" charset="0"/>
            </a:rPr>
            <a:t>Vinculada al acuerdo de voluntades:</a:t>
          </a:r>
          <a:r>
            <a:rPr lang="es-CO">
              <a:latin typeface="Arial" panose="020B0604020202020204" pitchFamily="34" charset="0"/>
              <a:cs typeface="Arial" panose="020B0604020202020204" pitchFamily="34" charset="0"/>
            </a:rPr>
            <a:t> sus elementos deben guardar correspondencia con las condiciones y modalidad de pago pactadas.</a:t>
          </a:r>
          <a:endParaRPr lang="en-US">
            <a:latin typeface="Arial" panose="020B0604020202020204" pitchFamily="34" charset="0"/>
            <a:cs typeface="Arial" panose="020B0604020202020204" pitchFamily="34" charset="0"/>
          </a:endParaRPr>
        </a:p>
      </dgm:t>
    </dgm:pt>
    <dgm:pt modelId="{B9FEBBEF-FD17-4505-AB66-38D596315365}" type="parTrans" cxnId="{EF9250D6-63A4-4A39-A542-94FBD777BFE2}">
      <dgm:prSet/>
      <dgm:spPr/>
      <dgm:t>
        <a:bodyPr/>
        <a:lstStyle/>
        <a:p>
          <a:endParaRPr lang="es-ES">
            <a:latin typeface="Arial" panose="020B0604020202020204" pitchFamily="34" charset="0"/>
            <a:cs typeface="Arial" panose="020B0604020202020204" pitchFamily="34" charset="0"/>
          </a:endParaRPr>
        </a:p>
      </dgm:t>
    </dgm:pt>
    <dgm:pt modelId="{34F7E62C-6F24-4981-BF85-6C8766A90B68}" type="sibTrans" cxnId="{EF9250D6-63A4-4A39-A542-94FBD777BFE2}">
      <dgm:prSet/>
      <dgm:spPr/>
      <dgm:t>
        <a:bodyPr/>
        <a:lstStyle/>
        <a:p>
          <a:endParaRPr lang="es-ES">
            <a:latin typeface="Arial" panose="020B0604020202020204" pitchFamily="34" charset="0"/>
            <a:cs typeface="Arial" panose="020B0604020202020204" pitchFamily="34" charset="0"/>
          </a:endParaRPr>
        </a:p>
      </dgm:t>
    </dgm:pt>
    <dgm:pt modelId="{8AF1EE6E-0F40-4B90-BB52-5A2377DBEE95}">
      <dgm:prSet/>
      <dgm:spPr/>
      <dgm:t>
        <a:bodyPr/>
        <a:lstStyle/>
        <a:p>
          <a:r>
            <a:rPr lang="es-CO" b="1">
              <a:latin typeface="Arial" panose="020B0604020202020204" pitchFamily="34" charset="0"/>
              <a:cs typeface="Arial" panose="020B0604020202020204" pitchFamily="34" charset="0"/>
            </a:rPr>
            <a:t>Útil para el seguimiento:</a:t>
          </a:r>
          <a:r>
            <a:rPr lang="es-CO">
              <a:latin typeface="Arial" panose="020B0604020202020204" pitchFamily="34" charset="0"/>
              <a:cs typeface="Arial" panose="020B0604020202020204" pitchFamily="34" charset="0"/>
            </a:rPr>
            <a:t> permite comparar el comportamiento observado durante la ejecución con las estimaciones realizadas.</a:t>
          </a:r>
          <a:endParaRPr lang="en-US">
            <a:latin typeface="Arial" panose="020B0604020202020204" pitchFamily="34" charset="0"/>
            <a:cs typeface="Arial" panose="020B0604020202020204" pitchFamily="34" charset="0"/>
          </a:endParaRPr>
        </a:p>
      </dgm:t>
    </dgm:pt>
    <dgm:pt modelId="{72AF5386-3D46-41B9-8739-3918AEA69433}" type="parTrans" cxnId="{1452FE25-3355-44EE-88B0-F13CDE418D42}">
      <dgm:prSet/>
      <dgm:spPr/>
      <dgm:t>
        <a:bodyPr/>
        <a:lstStyle/>
        <a:p>
          <a:endParaRPr lang="es-ES">
            <a:latin typeface="Arial" panose="020B0604020202020204" pitchFamily="34" charset="0"/>
            <a:cs typeface="Arial" panose="020B0604020202020204" pitchFamily="34" charset="0"/>
          </a:endParaRPr>
        </a:p>
      </dgm:t>
    </dgm:pt>
    <dgm:pt modelId="{1394C6DE-A809-4E81-A01D-B083C9BAF6FB}" type="sibTrans" cxnId="{1452FE25-3355-44EE-88B0-F13CDE418D42}">
      <dgm:prSet/>
      <dgm:spPr/>
      <dgm:t>
        <a:bodyPr/>
        <a:lstStyle/>
        <a:p>
          <a:endParaRPr lang="es-ES">
            <a:latin typeface="Arial" panose="020B0604020202020204" pitchFamily="34" charset="0"/>
            <a:cs typeface="Arial" panose="020B0604020202020204" pitchFamily="34" charset="0"/>
          </a:endParaRPr>
        </a:p>
      </dgm:t>
    </dgm:pt>
    <dgm:pt modelId="{F3663384-9AC6-4EE0-A989-85EA13E4123F}" type="pres">
      <dgm:prSet presAssocID="{5971904E-D3CD-40E5-86E6-5FC6DEE1C755}" presName="Name0" presStyleCnt="0">
        <dgm:presLayoutVars>
          <dgm:dir/>
          <dgm:resizeHandles val="exact"/>
        </dgm:presLayoutVars>
      </dgm:prSet>
      <dgm:spPr/>
    </dgm:pt>
    <dgm:pt modelId="{24184E91-DD04-49E6-B415-77C1368F16A2}" type="pres">
      <dgm:prSet presAssocID="{347F6F37-279F-4A10-BBE7-621431E594BD}" presName="compNode" presStyleCnt="0"/>
      <dgm:spPr/>
    </dgm:pt>
    <dgm:pt modelId="{8A14922B-BEB7-4722-922B-8801EC2A1C76}" type="pres">
      <dgm:prSet presAssocID="{347F6F37-279F-4A10-BBE7-621431E594BD}" presName="pictRect" presStyleLbl="node1" presStyleIdx="0" presStyleCnt="6"/>
      <dgm:spPr>
        <a:blipFill rotWithShape="1">
          <a:blip xmlns:r="http://schemas.openxmlformats.org/officeDocument/2006/relationships" r:embed="rId1"/>
          <a:stretch>
            <a:fillRect/>
          </a:stretch>
        </a:blipFill>
      </dgm:spPr>
      <dgm:t>
        <a:bodyPr/>
        <a:lstStyle/>
        <a:p>
          <a:endParaRPr lang="es-ES"/>
        </a:p>
      </dgm:t>
    </dgm:pt>
    <dgm:pt modelId="{F9D5138B-BC8D-4F6B-8CFE-1EF9926023EB}" type="pres">
      <dgm:prSet presAssocID="{347F6F37-279F-4A10-BBE7-621431E594BD}" presName="textRect" presStyleLbl="revTx" presStyleIdx="0" presStyleCnt="6">
        <dgm:presLayoutVars>
          <dgm:bulletEnabled val="1"/>
        </dgm:presLayoutVars>
      </dgm:prSet>
      <dgm:spPr/>
    </dgm:pt>
    <dgm:pt modelId="{AA79A97C-39E7-4D2D-AD22-8CD72C1E91B9}" type="pres">
      <dgm:prSet presAssocID="{9F02AF89-022A-4478-ACF9-D32423C9F514}" presName="sibTrans" presStyleLbl="sibTrans2D1" presStyleIdx="0" presStyleCnt="0"/>
      <dgm:spPr/>
    </dgm:pt>
    <dgm:pt modelId="{1AD731B6-2FE9-4220-85EE-FA024AAD7A8A}" type="pres">
      <dgm:prSet presAssocID="{FEE0324D-E850-4363-B9D4-A9DE7C1ED0EA}" presName="compNode" presStyleCnt="0"/>
      <dgm:spPr/>
    </dgm:pt>
    <dgm:pt modelId="{1EAA460B-704C-4BE8-A941-E6EAE850F1F0}" type="pres">
      <dgm:prSet presAssocID="{FEE0324D-E850-4363-B9D4-A9DE7C1ED0EA}" presName="pictRect" presStyleLbl="node1" presStyleIdx="1" presStyleCnt="6"/>
      <dgm:spPr>
        <a:blipFill rotWithShape="1">
          <a:blip xmlns:r="http://schemas.openxmlformats.org/officeDocument/2006/relationships" r:embed="rId2"/>
          <a:stretch>
            <a:fillRect/>
          </a:stretch>
        </a:blipFill>
      </dgm:spPr>
    </dgm:pt>
    <dgm:pt modelId="{28D7BED6-F0CA-4314-8AF8-DD5C222888C0}" type="pres">
      <dgm:prSet presAssocID="{FEE0324D-E850-4363-B9D4-A9DE7C1ED0EA}" presName="textRect" presStyleLbl="revTx" presStyleIdx="1" presStyleCnt="6">
        <dgm:presLayoutVars>
          <dgm:bulletEnabled val="1"/>
        </dgm:presLayoutVars>
      </dgm:prSet>
      <dgm:spPr/>
    </dgm:pt>
    <dgm:pt modelId="{4337C22D-CE97-461F-9E26-78D922F728B8}" type="pres">
      <dgm:prSet presAssocID="{27A50C07-E4FF-4791-AF7D-E86AB8E9367E}" presName="sibTrans" presStyleLbl="sibTrans2D1" presStyleIdx="0" presStyleCnt="0"/>
      <dgm:spPr/>
    </dgm:pt>
    <dgm:pt modelId="{242FE1DE-BCD4-4A16-93C6-23325EA07344}" type="pres">
      <dgm:prSet presAssocID="{908D1F57-185A-418B-87B5-679C427CE46A}" presName="compNode" presStyleCnt="0"/>
      <dgm:spPr/>
    </dgm:pt>
    <dgm:pt modelId="{B58A2E27-E60A-4A82-9604-5B0648562ED6}" type="pres">
      <dgm:prSet presAssocID="{908D1F57-185A-418B-87B5-679C427CE46A}" presName="pictRect" presStyleLbl="node1" presStyleIdx="2" presStyleCnt="6"/>
      <dgm:spPr>
        <a:blipFill rotWithShape="1">
          <a:blip xmlns:r="http://schemas.openxmlformats.org/officeDocument/2006/relationships" r:embed="rId3"/>
          <a:stretch>
            <a:fillRect/>
          </a:stretch>
        </a:blipFill>
      </dgm:spPr>
    </dgm:pt>
    <dgm:pt modelId="{2412C798-3A20-44AC-B9B5-00B9A953CDAF}" type="pres">
      <dgm:prSet presAssocID="{908D1F57-185A-418B-87B5-679C427CE46A}" presName="textRect" presStyleLbl="revTx" presStyleIdx="2" presStyleCnt="6">
        <dgm:presLayoutVars>
          <dgm:bulletEnabled val="1"/>
        </dgm:presLayoutVars>
      </dgm:prSet>
      <dgm:spPr/>
    </dgm:pt>
    <dgm:pt modelId="{89CED3E2-ABDB-4E45-9D3F-14054DAD73B5}" type="pres">
      <dgm:prSet presAssocID="{DAA03926-3208-467D-B177-6104D53CD25E}" presName="sibTrans" presStyleLbl="sibTrans2D1" presStyleIdx="0" presStyleCnt="0"/>
      <dgm:spPr/>
    </dgm:pt>
    <dgm:pt modelId="{9BA113C3-F999-4D4F-A5DD-BEF46AAFFDF7}" type="pres">
      <dgm:prSet presAssocID="{24D95982-CCE7-4910-BF78-3A7927E45001}" presName="compNode" presStyleCnt="0"/>
      <dgm:spPr/>
    </dgm:pt>
    <dgm:pt modelId="{52B428EB-8263-46C2-AD71-974B563A53BC}" type="pres">
      <dgm:prSet presAssocID="{24D95982-CCE7-4910-BF78-3A7927E45001}" presName="pictRect" presStyleLbl="node1" presStyleIdx="3" presStyleCnt="6"/>
      <dgm:spPr>
        <a:blipFill rotWithShape="1">
          <a:blip xmlns:r="http://schemas.openxmlformats.org/officeDocument/2006/relationships" r:embed="rId4"/>
          <a:stretch>
            <a:fillRect/>
          </a:stretch>
        </a:blipFill>
      </dgm:spPr>
    </dgm:pt>
    <dgm:pt modelId="{CB913D63-EE93-4E53-85F3-B7951D96E51A}" type="pres">
      <dgm:prSet presAssocID="{24D95982-CCE7-4910-BF78-3A7927E45001}" presName="textRect" presStyleLbl="revTx" presStyleIdx="3" presStyleCnt="6">
        <dgm:presLayoutVars>
          <dgm:bulletEnabled val="1"/>
        </dgm:presLayoutVars>
      </dgm:prSet>
      <dgm:spPr/>
    </dgm:pt>
    <dgm:pt modelId="{0B2F0180-A9F3-474E-9307-F4D79D9CF11A}" type="pres">
      <dgm:prSet presAssocID="{44809389-74D9-49C3-A224-804C422FDB23}" presName="sibTrans" presStyleLbl="sibTrans2D1" presStyleIdx="0" presStyleCnt="0"/>
      <dgm:spPr/>
    </dgm:pt>
    <dgm:pt modelId="{8EA302B1-E185-4914-A28C-8C1F45238CBC}" type="pres">
      <dgm:prSet presAssocID="{4689603A-727E-4237-9966-F065A35C0134}" presName="compNode" presStyleCnt="0"/>
      <dgm:spPr/>
    </dgm:pt>
    <dgm:pt modelId="{9C9042A8-96EF-4B95-8484-4CCF157F43F4}" type="pres">
      <dgm:prSet presAssocID="{4689603A-727E-4237-9966-F065A35C0134}" presName="pictRect" presStyleLbl="node1" presStyleIdx="4" presStyleCnt="6"/>
      <dgm:spPr>
        <a:blipFill rotWithShape="1">
          <a:blip xmlns:r="http://schemas.openxmlformats.org/officeDocument/2006/relationships" r:embed="rId5"/>
          <a:stretch>
            <a:fillRect/>
          </a:stretch>
        </a:blipFill>
      </dgm:spPr>
    </dgm:pt>
    <dgm:pt modelId="{0BD30D02-6D53-40F7-B0C0-5713144E2C53}" type="pres">
      <dgm:prSet presAssocID="{4689603A-727E-4237-9966-F065A35C0134}" presName="textRect" presStyleLbl="revTx" presStyleIdx="4" presStyleCnt="6">
        <dgm:presLayoutVars>
          <dgm:bulletEnabled val="1"/>
        </dgm:presLayoutVars>
      </dgm:prSet>
      <dgm:spPr/>
    </dgm:pt>
    <dgm:pt modelId="{FC5C3730-7FAD-45F9-A2EF-61328176D1F7}" type="pres">
      <dgm:prSet presAssocID="{34F7E62C-6F24-4981-BF85-6C8766A90B68}" presName="sibTrans" presStyleLbl="sibTrans2D1" presStyleIdx="0" presStyleCnt="0"/>
      <dgm:spPr/>
    </dgm:pt>
    <dgm:pt modelId="{4093FD9D-ABEF-4C4E-8C9C-99E62AD44316}" type="pres">
      <dgm:prSet presAssocID="{8AF1EE6E-0F40-4B90-BB52-5A2377DBEE95}" presName="compNode" presStyleCnt="0"/>
      <dgm:spPr/>
    </dgm:pt>
    <dgm:pt modelId="{55FB6076-2A6C-44C2-8EAB-1BBF35F2346E}" type="pres">
      <dgm:prSet presAssocID="{8AF1EE6E-0F40-4B90-BB52-5A2377DBEE95}" presName="pictRect" presStyleLbl="node1" presStyleIdx="5" presStyleCnt="6"/>
      <dgm:spPr>
        <a:blipFill rotWithShape="1">
          <a:blip xmlns:r="http://schemas.openxmlformats.org/officeDocument/2006/relationships" r:embed="rId6"/>
          <a:stretch>
            <a:fillRect/>
          </a:stretch>
        </a:blipFill>
      </dgm:spPr>
    </dgm:pt>
    <dgm:pt modelId="{52F1023F-C1C5-48CF-A092-9AF3E68DD56A}" type="pres">
      <dgm:prSet presAssocID="{8AF1EE6E-0F40-4B90-BB52-5A2377DBEE95}" presName="textRect" presStyleLbl="revTx" presStyleIdx="5" presStyleCnt="6">
        <dgm:presLayoutVars>
          <dgm:bulletEnabled val="1"/>
        </dgm:presLayoutVars>
      </dgm:prSet>
      <dgm:spPr/>
    </dgm:pt>
  </dgm:ptLst>
  <dgm:cxnLst>
    <dgm:cxn modelId="{514BB6EA-49BD-472E-BDAE-0426A60A0804}" srcId="{5971904E-D3CD-40E5-86E6-5FC6DEE1C755}" destId="{908D1F57-185A-418B-87B5-679C427CE46A}" srcOrd="2" destOrd="0" parTransId="{DFC15E9F-8C3C-46A6-9B6A-F8129741E499}" sibTransId="{DAA03926-3208-467D-B177-6104D53CD25E}"/>
    <dgm:cxn modelId="{E8A554E0-867B-44E0-B8D7-69CD5071C739}" type="presOf" srcId="{9F02AF89-022A-4478-ACF9-D32423C9F514}" destId="{AA79A97C-39E7-4D2D-AD22-8CD72C1E91B9}" srcOrd="0" destOrd="0" presId="urn:microsoft.com/office/officeart/2005/8/layout/pList1"/>
    <dgm:cxn modelId="{77CC31B5-9114-40EA-B3B7-F1878B631285}" srcId="{5971904E-D3CD-40E5-86E6-5FC6DEE1C755}" destId="{347F6F37-279F-4A10-BBE7-621431E594BD}" srcOrd="0" destOrd="0" parTransId="{7B5539C9-A95C-4EE0-B375-DCDFD874442C}" sibTransId="{9F02AF89-022A-4478-ACF9-D32423C9F514}"/>
    <dgm:cxn modelId="{DCFC2C1B-C024-4281-AC3D-7A95B0EF97B2}" type="presOf" srcId="{908D1F57-185A-418B-87B5-679C427CE46A}" destId="{2412C798-3A20-44AC-B9B5-00B9A953CDAF}" srcOrd="0" destOrd="0" presId="urn:microsoft.com/office/officeart/2005/8/layout/pList1"/>
    <dgm:cxn modelId="{EF9250D6-63A4-4A39-A542-94FBD777BFE2}" srcId="{5971904E-D3CD-40E5-86E6-5FC6DEE1C755}" destId="{4689603A-727E-4237-9966-F065A35C0134}" srcOrd="4" destOrd="0" parTransId="{B9FEBBEF-FD17-4505-AB66-38D596315365}" sibTransId="{34F7E62C-6F24-4981-BF85-6C8766A90B68}"/>
    <dgm:cxn modelId="{8E146F90-2B86-4409-A6EA-94242339A033}" srcId="{5971904E-D3CD-40E5-86E6-5FC6DEE1C755}" destId="{FEE0324D-E850-4363-B9D4-A9DE7C1ED0EA}" srcOrd="1" destOrd="0" parTransId="{5AFCC0CD-2A89-4EE2-A10A-E2E761A2EBED}" sibTransId="{27A50C07-E4FF-4791-AF7D-E86AB8E9367E}"/>
    <dgm:cxn modelId="{F0D601BC-2256-49A6-9646-4C2EA0067FE3}" type="presOf" srcId="{4689603A-727E-4237-9966-F065A35C0134}" destId="{0BD30D02-6D53-40F7-B0C0-5713144E2C53}" srcOrd="0" destOrd="0" presId="urn:microsoft.com/office/officeart/2005/8/layout/pList1"/>
    <dgm:cxn modelId="{FDE84B17-D9FE-40DE-B094-A59BA6C995BD}" type="presOf" srcId="{FEE0324D-E850-4363-B9D4-A9DE7C1ED0EA}" destId="{28D7BED6-F0CA-4314-8AF8-DD5C222888C0}" srcOrd="0" destOrd="0" presId="urn:microsoft.com/office/officeart/2005/8/layout/pList1"/>
    <dgm:cxn modelId="{C29DD8BB-BDDC-459E-9324-8F8C3BD6F1C4}" type="presOf" srcId="{347F6F37-279F-4A10-BBE7-621431E594BD}" destId="{F9D5138B-BC8D-4F6B-8CFE-1EF9926023EB}" srcOrd="0" destOrd="0" presId="urn:microsoft.com/office/officeart/2005/8/layout/pList1"/>
    <dgm:cxn modelId="{07D84261-CD57-4836-8431-0CBBA36D155C}" type="presOf" srcId="{44809389-74D9-49C3-A224-804C422FDB23}" destId="{0B2F0180-A9F3-474E-9307-F4D79D9CF11A}" srcOrd="0" destOrd="0" presId="urn:microsoft.com/office/officeart/2005/8/layout/pList1"/>
    <dgm:cxn modelId="{A7CA423C-1FA0-4F42-B83B-64A676E02837}" type="presOf" srcId="{DAA03926-3208-467D-B177-6104D53CD25E}" destId="{89CED3E2-ABDB-4E45-9D3F-14054DAD73B5}" srcOrd="0" destOrd="0" presId="urn:microsoft.com/office/officeart/2005/8/layout/pList1"/>
    <dgm:cxn modelId="{94970A0E-FF2E-48FF-AE44-5F23A6CA751E}" type="presOf" srcId="{34F7E62C-6F24-4981-BF85-6C8766A90B68}" destId="{FC5C3730-7FAD-45F9-A2EF-61328176D1F7}" srcOrd="0" destOrd="0" presId="urn:microsoft.com/office/officeart/2005/8/layout/pList1"/>
    <dgm:cxn modelId="{C3CA99A5-FAED-411D-BDB2-C166E760C1C0}" srcId="{5971904E-D3CD-40E5-86E6-5FC6DEE1C755}" destId="{24D95982-CCE7-4910-BF78-3A7927E45001}" srcOrd="3" destOrd="0" parTransId="{FF378F65-A799-433D-BDBC-38AA3ADB2110}" sibTransId="{44809389-74D9-49C3-A224-804C422FDB23}"/>
    <dgm:cxn modelId="{407FB62D-690E-4538-B5D2-31F65EF3B25B}" type="presOf" srcId="{27A50C07-E4FF-4791-AF7D-E86AB8E9367E}" destId="{4337C22D-CE97-461F-9E26-78D922F728B8}" srcOrd="0" destOrd="0" presId="urn:microsoft.com/office/officeart/2005/8/layout/pList1"/>
    <dgm:cxn modelId="{1452FE25-3355-44EE-88B0-F13CDE418D42}" srcId="{5971904E-D3CD-40E5-86E6-5FC6DEE1C755}" destId="{8AF1EE6E-0F40-4B90-BB52-5A2377DBEE95}" srcOrd="5" destOrd="0" parTransId="{72AF5386-3D46-41B9-8739-3918AEA69433}" sibTransId="{1394C6DE-A809-4E81-A01D-B083C9BAF6FB}"/>
    <dgm:cxn modelId="{00383787-3C74-4E2F-A112-93BAED1DD389}" type="presOf" srcId="{8AF1EE6E-0F40-4B90-BB52-5A2377DBEE95}" destId="{52F1023F-C1C5-48CF-A092-9AF3E68DD56A}" srcOrd="0" destOrd="0" presId="urn:microsoft.com/office/officeart/2005/8/layout/pList1"/>
    <dgm:cxn modelId="{AB566B24-52A8-44AF-8D66-20F5F994D2D7}" type="presOf" srcId="{5971904E-D3CD-40E5-86E6-5FC6DEE1C755}" destId="{F3663384-9AC6-4EE0-A989-85EA13E4123F}" srcOrd="0" destOrd="0" presId="urn:microsoft.com/office/officeart/2005/8/layout/pList1"/>
    <dgm:cxn modelId="{D1328DAC-8AC1-4965-89A1-1235AE641192}" type="presOf" srcId="{24D95982-CCE7-4910-BF78-3A7927E45001}" destId="{CB913D63-EE93-4E53-85F3-B7951D96E51A}" srcOrd="0" destOrd="0" presId="urn:microsoft.com/office/officeart/2005/8/layout/pList1"/>
    <dgm:cxn modelId="{418BBCFE-DD35-4BEF-874C-070ABDEA3144}" type="presParOf" srcId="{F3663384-9AC6-4EE0-A989-85EA13E4123F}" destId="{24184E91-DD04-49E6-B415-77C1368F16A2}" srcOrd="0" destOrd="0" presId="urn:microsoft.com/office/officeart/2005/8/layout/pList1"/>
    <dgm:cxn modelId="{0B9F7E99-B926-489E-B7D3-1980FDC1CBB1}" type="presParOf" srcId="{24184E91-DD04-49E6-B415-77C1368F16A2}" destId="{8A14922B-BEB7-4722-922B-8801EC2A1C76}" srcOrd="0" destOrd="0" presId="urn:microsoft.com/office/officeart/2005/8/layout/pList1"/>
    <dgm:cxn modelId="{53700C0E-560F-4E65-A4C6-FB52C236D02F}" type="presParOf" srcId="{24184E91-DD04-49E6-B415-77C1368F16A2}" destId="{F9D5138B-BC8D-4F6B-8CFE-1EF9926023EB}" srcOrd="1" destOrd="0" presId="urn:microsoft.com/office/officeart/2005/8/layout/pList1"/>
    <dgm:cxn modelId="{078C90B9-5CC2-4CF9-8687-BBDC8859CED3}" type="presParOf" srcId="{F3663384-9AC6-4EE0-A989-85EA13E4123F}" destId="{AA79A97C-39E7-4D2D-AD22-8CD72C1E91B9}" srcOrd="1" destOrd="0" presId="urn:microsoft.com/office/officeart/2005/8/layout/pList1"/>
    <dgm:cxn modelId="{ED3D078D-5A0D-49AE-9643-F2D81CBDCFE6}" type="presParOf" srcId="{F3663384-9AC6-4EE0-A989-85EA13E4123F}" destId="{1AD731B6-2FE9-4220-85EE-FA024AAD7A8A}" srcOrd="2" destOrd="0" presId="urn:microsoft.com/office/officeart/2005/8/layout/pList1"/>
    <dgm:cxn modelId="{B294AD85-E2AA-4B60-8B31-3920A3B22E11}" type="presParOf" srcId="{1AD731B6-2FE9-4220-85EE-FA024AAD7A8A}" destId="{1EAA460B-704C-4BE8-A941-E6EAE850F1F0}" srcOrd="0" destOrd="0" presId="urn:microsoft.com/office/officeart/2005/8/layout/pList1"/>
    <dgm:cxn modelId="{0E5192F4-CB61-4D20-B896-AE49CFEA78B3}" type="presParOf" srcId="{1AD731B6-2FE9-4220-85EE-FA024AAD7A8A}" destId="{28D7BED6-F0CA-4314-8AF8-DD5C222888C0}" srcOrd="1" destOrd="0" presId="urn:microsoft.com/office/officeart/2005/8/layout/pList1"/>
    <dgm:cxn modelId="{7EB10165-0E8C-4672-A9BA-D59DC51C4D9E}" type="presParOf" srcId="{F3663384-9AC6-4EE0-A989-85EA13E4123F}" destId="{4337C22D-CE97-461F-9E26-78D922F728B8}" srcOrd="3" destOrd="0" presId="urn:microsoft.com/office/officeart/2005/8/layout/pList1"/>
    <dgm:cxn modelId="{7DF8E5F5-AD2E-4845-9884-6870899405EE}" type="presParOf" srcId="{F3663384-9AC6-4EE0-A989-85EA13E4123F}" destId="{242FE1DE-BCD4-4A16-93C6-23325EA07344}" srcOrd="4" destOrd="0" presId="urn:microsoft.com/office/officeart/2005/8/layout/pList1"/>
    <dgm:cxn modelId="{D0AF9C92-E8EA-4F66-BCC4-3C941ADC9E56}" type="presParOf" srcId="{242FE1DE-BCD4-4A16-93C6-23325EA07344}" destId="{B58A2E27-E60A-4A82-9604-5B0648562ED6}" srcOrd="0" destOrd="0" presId="urn:microsoft.com/office/officeart/2005/8/layout/pList1"/>
    <dgm:cxn modelId="{917DDEE3-020C-44DA-A2F5-CE71CD8EFF96}" type="presParOf" srcId="{242FE1DE-BCD4-4A16-93C6-23325EA07344}" destId="{2412C798-3A20-44AC-B9B5-00B9A953CDAF}" srcOrd="1" destOrd="0" presId="urn:microsoft.com/office/officeart/2005/8/layout/pList1"/>
    <dgm:cxn modelId="{2F57C001-9439-4CB0-8F04-F0A009022F47}" type="presParOf" srcId="{F3663384-9AC6-4EE0-A989-85EA13E4123F}" destId="{89CED3E2-ABDB-4E45-9D3F-14054DAD73B5}" srcOrd="5" destOrd="0" presId="urn:microsoft.com/office/officeart/2005/8/layout/pList1"/>
    <dgm:cxn modelId="{41A0EC37-2676-410D-84DC-C28165DA2C3F}" type="presParOf" srcId="{F3663384-9AC6-4EE0-A989-85EA13E4123F}" destId="{9BA113C3-F999-4D4F-A5DD-BEF46AAFFDF7}" srcOrd="6" destOrd="0" presId="urn:microsoft.com/office/officeart/2005/8/layout/pList1"/>
    <dgm:cxn modelId="{3503EF70-A454-4502-99C8-38298CA16B68}" type="presParOf" srcId="{9BA113C3-F999-4D4F-A5DD-BEF46AAFFDF7}" destId="{52B428EB-8263-46C2-AD71-974B563A53BC}" srcOrd="0" destOrd="0" presId="urn:microsoft.com/office/officeart/2005/8/layout/pList1"/>
    <dgm:cxn modelId="{E755A59D-C511-42DD-951A-555B027D6481}" type="presParOf" srcId="{9BA113C3-F999-4D4F-A5DD-BEF46AAFFDF7}" destId="{CB913D63-EE93-4E53-85F3-B7951D96E51A}" srcOrd="1" destOrd="0" presId="urn:microsoft.com/office/officeart/2005/8/layout/pList1"/>
    <dgm:cxn modelId="{D8E0970D-A21E-438B-973D-6E84CBD455C5}" type="presParOf" srcId="{F3663384-9AC6-4EE0-A989-85EA13E4123F}" destId="{0B2F0180-A9F3-474E-9307-F4D79D9CF11A}" srcOrd="7" destOrd="0" presId="urn:microsoft.com/office/officeart/2005/8/layout/pList1"/>
    <dgm:cxn modelId="{C9DAB780-771E-4DFD-A7DC-ECA9945CB493}" type="presParOf" srcId="{F3663384-9AC6-4EE0-A989-85EA13E4123F}" destId="{8EA302B1-E185-4914-A28C-8C1F45238CBC}" srcOrd="8" destOrd="0" presId="urn:microsoft.com/office/officeart/2005/8/layout/pList1"/>
    <dgm:cxn modelId="{4503CEB0-1BE5-4859-8548-7FE75F0B5736}" type="presParOf" srcId="{8EA302B1-E185-4914-A28C-8C1F45238CBC}" destId="{9C9042A8-96EF-4B95-8484-4CCF157F43F4}" srcOrd="0" destOrd="0" presId="urn:microsoft.com/office/officeart/2005/8/layout/pList1"/>
    <dgm:cxn modelId="{B35F6B9B-D4F5-494C-80A4-85A51B5DC918}" type="presParOf" srcId="{8EA302B1-E185-4914-A28C-8C1F45238CBC}" destId="{0BD30D02-6D53-40F7-B0C0-5713144E2C53}" srcOrd="1" destOrd="0" presId="urn:microsoft.com/office/officeart/2005/8/layout/pList1"/>
    <dgm:cxn modelId="{BBF8B50B-DC57-432C-BF4E-17E0F78BDEA8}" type="presParOf" srcId="{F3663384-9AC6-4EE0-A989-85EA13E4123F}" destId="{FC5C3730-7FAD-45F9-A2EF-61328176D1F7}" srcOrd="9" destOrd="0" presId="urn:microsoft.com/office/officeart/2005/8/layout/pList1"/>
    <dgm:cxn modelId="{272608F9-D67D-4955-99FB-F8DAAF4C27C1}" type="presParOf" srcId="{F3663384-9AC6-4EE0-A989-85EA13E4123F}" destId="{4093FD9D-ABEF-4C4E-8C9C-99E62AD44316}" srcOrd="10" destOrd="0" presId="urn:microsoft.com/office/officeart/2005/8/layout/pList1"/>
    <dgm:cxn modelId="{2B4B2BB3-DBF9-4568-8E33-C7847E2BE056}" type="presParOf" srcId="{4093FD9D-ABEF-4C4E-8C9C-99E62AD44316}" destId="{55FB6076-2A6C-44C2-8EAB-1BBF35F2346E}" srcOrd="0" destOrd="0" presId="urn:microsoft.com/office/officeart/2005/8/layout/pList1"/>
    <dgm:cxn modelId="{A99E0A17-DA56-4BB6-AC91-93DDB77C88A0}" type="presParOf" srcId="{4093FD9D-ABEF-4C4E-8C9C-99E62AD44316}" destId="{52F1023F-C1C5-48CF-A092-9AF3E68DD56A}" srcOrd="1" destOrd="0" presId="urn:microsoft.com/office/officeart/2005/8/layout/pList1"/>
  </dgm:cxnLst>
  <dgm:bg/>
  <dgm:whole/>
  <dgm:extLst>
    <a:ext uri="http://schemas.microsoft.com/office/drawing/2008/diagram">
      <dsp:dataModelExt xmlns:dsp="http://schemas.microsoft.com/office/drawing/2008/diagram" relId="rId52"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1DB22F5-76F2-4791-9493-210D7F90DB0D}">
      <dsp:nvSpPr>
        <dsp:cNvPr id="0" name=""/>
        <dsp:cNvSpPr/>
      </dsp:nvSpPr>
      <dsp:spPr>
        <a:xfrm>
          <a:off x="0" y="0"/>
          <a:ext cx="6410325" cy="2293143"/>
        </a:xfrm>
        <a:prstGeom prst="roundRect">
          <a:avLst>
            <a:gd name="adj" fmla="val 10000"/>
          </a:avLst>
        </a:prstGeom>
        <a:solidFill>
          <a:schemeClr val="accent1">
            <a:alpha val="90000"/>
            <a:tint val="40000"/>
            <a:hueOff val="0"/>
            <a:satOff val="0"/>
            <a:lumOff val="0"/>
            <a:alphaOff val="0"/>
          </a:schemeClr>
        </a:solidFill>
        <a:ln w="25400" cap="flat" cmpd="sng" algn="ctr">
          <a:solidFill>
            <a:schemeClr val="accent1">
              <a:alpha val="90000"/>
              <a:tint val="4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BD37B797-07EF-4A38-9025-BA09C0399223}">
      <dsp:nvSpPr>
        <dsp:cNvPr id="0" name=""/>
        <dsp:cNvSpPr/>
      </dsp:nvSpPr>
      <dsp:spPr>
        <a:xfrm>
          <a:off x="192309" y="305752"/>
          <a:ext cx="1883032" cy="1681638"/>
        </a:xfrm>
        <a:prstGeom prst="roundRect">
          <a:avLst>
            <a:gd name="adj" fmla="val 10000"/>
          </a:avLst>
        </a:prstGeom>
        <a:blipFill rotWithShape="1">
          <a:blip xmlns:r="http://schemas.openxmlformats.org/officeDocument/2006/relationships" r:embed="rId1"/>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A4DCBC81-41FE-4F65-B2D7-5A70A7E6FDE5}">
      <dsp:nvSpPr>
        <dsp:cNvPr id="0" name=""/>
        <dsp:cNvSpPr/>
      </dsp:nvSpPr>
      <dsp:spPr>
        <a:xfrm rot="10800000">
          <a:off x="192309" y="2293143"/>
          <a:ext cx="1883032" cy="2802731"/>
        </a:xfrm>
        <a:prstGeom prst="round2SameRect">
          <a:avLst>
            <a:gd name="adj1" fmla="val 10500"/>
            <a:gd name="adj2" fmla="val 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5344" tIns="85344" rIns="85344" bIns="85344" numCol="1" spcCol="1270" anchor="t" anchorCtr="0">
          <a:noAutofit/>
        </a:bodyPr>
        <a:lstStyle/>
        <a:p>
          <a:pPr lvl="0" algn="ctr" defTabSz="533400">
            <a:lnSpc>
              <a:spcPct val="90000"/>
            </a:lnSpc>
            <a:spcBef>
              <a:spcPct val="0"/>
            </a:spcBef>
            <a:spcAft>
              <a:spcPct val="35000"/>
            </a:spcAft>
          </a:pPr>
          <a:r>
            <a:rPr lang="es-CO" sz="1200" b="1" kern="1200">
              <a:latin typeface="Arial" panose="020B0604020202020204" pitchFamily="34" charset="0"/>
              <a:cs typeface="Arial" panose="020B0604020202020204" pitchFamily="34" charset="0"/>
            </a:rPr>
            <a:t>Necesidad: </a:t>
          </a:r>
          <a:r>
            <a:rPr lang="es-CO" sz="1200" kern="1200">
              <a:latin typeface="Arial" panose="020B0604020202020204" pitchFamily="34" charset="0"/>
              <a:cs typeface="Arial" panose="020B0604020202020204" pitchFamily="34" charset="0"/>
            </a:rPr>
            <a:t>corresponde a los servicios y tecnologías que una población requiere de acuerdo con sus condiciones de salud, riesgos y características epidemiológicas. Su identificación permite establecer las atenciones que pueden requerirse para responder a las condiciones de salud de la población objeto.</a:t>
          </a:r>
          <a:endParaRPr lang="es-ES" sz="1200" kern="1200">
            <a:latin typeface="Arial" panose="020B0604020202020204" pitchFamily="34" charset="0"/>
            <a:cs typeface="Arial" panose="020B0604020202020204" pitchFamily="34" charset="0"/>
          </a:endParaRPr>
        </a:p>
      </dsp:txBody>
      <dsp:txXfrm rot="10800000">
        <a:off x="250219" y="2293143"/>
        <a:ext cx="1767212" cy="2744821"/>
      </dsp:txXfrm>
    </dsp:sp>
    <dsp:sp modelId="{7D8D4AE3-AFF5-4D79-AE15-386ADAE005C4}">
      <dsp:nvSpPr>
        <dsp:cNvPr id="0" name=""/>
        <dsp:cNvSpPr/>
      </dsp:nvSpPr>
      <dsp:spPr>
        <a:xfrm>
          <a:off x="2263646" y="305752"/>
          <a:ext cx="1883032" cy="1681638"/>
        </a:xfrm>
        <a:prstGeom prst="roundRect">
          <a:avLst>
            <a:gd name="adj" fmla="val 10000"/>
          </a:avLst>
        </a:prstGeom>
        <a:blipFill rotWithShape="1">
          <a:blip xmlns:r="http://schemas.openxmlformats.org/officeDocument/2006/relationships" r:embed="rId2"/>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6C2DFC8C-61A3-4965-AF47-19DA63CBF778}">
      <dsp:nvSpPr>
        <dsp:cNvPr id="0" name=""/>
        <dsp:cNvSpPr/>
      </dsp:nvSpPr>
      <dsp:spPr>
        <a:xfrm rot="10800000">
          <a:off x="2263646" y="2293143"/>
          <a:ext cx="1883032" cy="2802731"/>
        </a:xfrm>
        <a:prstGeom prst="round2SameRect">
          <a:avLst>
            <a:gd name="adj1" fmla="val 10500"/>
            <a:gd name="adj2" fmla="val 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5344" tIns="85344" rIns="85344" bIns="85344" numCol="1" spcCol="1270" anchor="t" anchorCtr="0">
          <a:noAutofit/>
        </a:bodyPr>
        <a:lstStyle/>
        <a:p>
          <a:pPr lvl="0" algn="ctr" defTabSz="533400">
            <a:lnSpc>
              <a:spcPct val="90000"/>
            </a:lnSpc>
            <a:spcBef>
              <a:spcPct val="0"/>
            </a:spcBef>
            <a:spcAft>
              <a:spcPct val="35000"/>
            </a:spcAft>
          </a:pPr>
          <a:r>
            <a:rPr lang="es-CO" sz="1200" b="1" kern="1200">
              <a:latin typeface="Arial" panose="020B0604020202020204" pitchFamily="34" charset="0"/>
              <a:cs typeface="Arial" panose="020B0604020202020204" pitchFamily="34" charset="0"/>
            </a:rPr>
            <a:t>Demanda: </a:t>
          </a:r>
          <a:r>
            <a:rPr lang="es-CO" sz="1200" kern="1200">
              <a:latin typeface="Arial" panose="020B0604020202020204" pitchFamily="34" charset="0"/>
              <a:cs typeface="Arial" panose="020B0604020202020204" pitchFamily="34" charset="0"/>
            </a:rPr>
            <a:t>corresponde a los servicios que la población solicita o utiliza efectivamente. Esta puede diferir de la necesidad debido a condiciones que facilitan o limitan el acceso a los servicios de salud. Por ello, la demanda observada no necesariamente representa la totalidad de las necesidades de la población.</a:t>
          </a:r>
          <a:endParaRPr lang="en-US" sz="1200" kern="1200">
            <a:latin typeface="Arial" panose="020B0604020202020204" pitchFamily="34" charset="0"/>
            <a:cs typeface="Arial" panose="020B0604020202020204" pitchFamily="34" charset="0"/>
          </a:endParaRPr>
        </a:p>
      </dsp:txBody>
      <dsp:txXfrm rot="10800000">
        <a:off x="2321556" y="2293143"/>
        <a:ext cx="1767212" cy="2744821"/>
      </dsp:txXfrm>
    </dsp:sp>
    <dsp:sp modelId="{63A35042-B740-4AC9-9235-27981BD92812}">
      <dsp:nvSpPr>
        <dsp:cNvPr id="0" name=""/>
        <dsp:cNvSpPr/>
      </dsp:nvSpPr>
      <dsp:spPr>
        <a:xfrm>
          <a:off x="4334982" y="305752"/>
          <a:ext cx="1883032" cy="1681638"/>
        </a:xfrm>
        <a:prstGeom prst="roundRect">
          <a:avLst>
            <a:gd name="adj" fmla="val 10000"/>
          </a:avLst>
        </a:prstGeom>
        <a:blipFill rotWithShape="1">
          <a:blip xmlns:r="http://schemas.openxmlformats.org/officeDocument/2006/relationships" r:embed="rId3"/>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BB87D699-7670-485C-980D-C9EF4D21D4FF}">
      <dsp:nvSpPr>
        <dsp:cNvPr id="0" name=""/>
        <dsp:cNvSpPr/>
      </dsp:nvSpPr>
      <dsp:spPr>
        <a:xfrm rot="10800000">
          <a:off x="4334982" y="2293143"/>
          <a:ext cx="1883032" cy="2802731"/>
        </a:xfrm>
        <a:prstGeom prst="round2SameRect">
          <a:avLst>
            <a:gd name="adj1" fmla="val 10500"/>
            <a:gd name="adj2" fmla="val 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5344" tIns="85344" rIns="85344" bIns="85344" numCol="1" spcCol="1270" anchor="t" anchorCtr="0">
          <a:noAutofit/>
        </a:bodyPr>
        <a:lstStyle/>
        <a:p>
          <a:pPr lvl="0" algn="ctr" defTabSz="533400">
            <a:lnSpc>
              <a:spcPct val="90000"/>
            </a:lnSpc>
            <a:spcBef>
              <a:spcPct val="0"/>
            </a:spcBef>
            <a:spcAft>
              <a:spcPct val="35000"/>
            </a:spcAft>
          </a:pPr>
          <a:r>
            <a:rPr lang="es-CO" sz="1200" b="1" kern="1200">
              <a:latin typeface="Arial" panose="020B0604020202020204" pitchFamily="34" charset="0"/>
              <a:cs typeface="Arial" panose="020B0604020202020204" pitchFamily="34" charset="0"/>
            </a:rPr>
            <a:t>Riesgo: </a:t>
          </a:r>
          <a:r>
            <a:rPr lang="es-CO" sz="1200" kern="1200">
              <a:latin typeface="Arial" panose="020B0604020202020204" pitchFamily="34" charset="0"/>
              <a:cs typeface="Arial" panose="020B0604020202020204" pitchFamily="34" charset="0"/>
            </a:rPr>
            <a:t>se relaciona con la probabilidad de ocurrencia de un evento en salud y sus posibles consecuencias. Su análisis permite considerar condiciones que pueden modificar las necesidades de atención y las proyecciones realizadas en la nota técnica.</a:t>
          </a:r>
          <a:endParaRPr lang="en-US" sz="1200" kern="1200">
            <a:latin typeface="Arial" panose="020B0604020202020204" pitchFamily="34" charset="0"/>
            <a:cs typeface="Arial" panose="020B0604020202020204" pitchFamily="34" charset="0"/>
          </a:endParaRPr>
        </a:p>
      </dsp:txBody>
      <dsp:txXfrm rot="10800000">
        <a:off x="4392892" y="2293143"/>
        <a:ext cx="1767212" cy="2744821"/>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CA36F39-28EA-4E35-BBC8-E43321FF75FA}">
      <dsp:nvSpPr>
        <dsp:cNvPr id="0" name=""/>
        <dsp:cNvSpPr/>
      </dsp:nvSpPr>
      <dsp:spPr>
        <a:xfrm>
          <a:off x="5816249" y="3495305"/>
          <a:ext cx="130261" cy="2410863"/>
        </a:xfrm>
        <a:prstGeom prst="rect">
          <a:avLst/>
        </a:prstGeom>
        <a:solidFill>
          <a:schemeClr val="accent1">
            <a:tint val="50000"/>
            <a:alpha val="40000"/>
            <a:hueOff val="0"/>
            <a:satOff val="0"/>
            <a:lumOff val="0"/>
            <a:alphaOff val="0"/>
          </a:schemeClr>
        </a:solidFill>
        <a:ln>
          <a:noFill/>
        </a:ln>
        <a:effectLst/>
      </dsp:spPr>
      <dsp:style>
        <a:lnRef idx="0">
          <a:scrgbClr r="0" g="0" b="0"/>
        </a:lnRef>
        <a:fillRef idx="1">
          <a:scrgbClr r="0" g="0" b="0"/>
        </a:fillRef>
        <a:effectRef idx="0">
          <a:scrgbClr r="0" g="0" b="0"/>
        </a:effectRef>
        <a:fontRef idx="minor"/>
      </dsp:style>
    </dsp:sp>
    <dsp:sp modelId="{13C4F109-A37D-40CE-9AD8-59A17658442C}">
      <dsp:nvSpPr>
        <dsp:cNvPr id="0" name=""/>
        <dsp:cNvSpPr/>
      </dsp:nvSpPr>
      <dsp:spPr>
        <a:xfrm>
          <a:off x="603600" y="3495305"/>
          <a:ext cx="3387894" cy="2410863"/>
        </a:xfrm>
        <a:prstGeom prst="frame">
          <a:avLst>
            <a:gd name="adj1" fmla="val 5450"/>
          </a:avLst>
        </a:prstGeom>
        <a:solidFill>
          <a:schemeClr val="accent1">
            <a:tint val="50000"/>
            <a:alpha val="40000"/>
            <a:hueOff val="0"/>
            <a:satOff val="0"/>
            <a:lumOff val="0"/>
            <a:alphaOff val="0"/>
          </a:schemeClr>
        </a:solidFill>
        <a:ln>
          <a:noFill/>
        </a:ln>
        <a:effectLst/>
      </dsp:spPr>
      <dsp:style>
        <a:lnRef idx="0">
          <a:scrgbClr r="0" g="0" b="0"/>
        </a:lnRef>
        <a:fillRef idx="1">
          <a:scrgbClr r="0" g="0" b="0"/>
        </a:fillRef>
        <a:effectRef idx="0">
          <a:scrgbClr r="0" g="0" b="0"/>
        </a:effectRef>
        <a:fontRef idx="minor"/>
      </dsp:style>
    </dsp:sp>
    <dsp:sp modelId="{9F4CB645-C42E-470E-9D23-0CFF46E7F7F1}">
      <dsp:nvSpPr>
        <dsp:cNvPr id="0" name=""/>
        <dsp:cNvSpPr/>
      </dsp:nvSpPr>
      <dsp:spPr>
        <a:xfrm>
          <a:off x="603600" y="291797"/>
          <a:ext cx="3387894" cy="2410863"/>
        </a:xfrm>
        <a:prstGeom prst="frame">
          <a:avLst>
            <a:gd name="adj1" fmla="val 5450"/>
          </a:avLst>
        </a:prstGeom>
        <a:solidFill>
          <a:schemeClr val="accent1">
            <a:tint val="50000"/>
            <a:alpha val="40000"/>
            <a:hueOff val="0"/>
            <a:satOff val="0"/>
            <a:lumOff val="0"/>
            <a:alphaOff val="0"/>
          </a:schemeClr>
        </a:solidFill>
        <a:ln>
          <a:noFill/>
        </a:ln>
        <a:effectLst/>
      </dsp:spPr>
      <dsp:style>
        <a:lnRef idx="0">
          <a:scrgbClr r="0" g="0" b="0"/>
        </a:lnRef>
        <a:fillRef idx="1">
          <a:scrgbClr r="0" g="0" b="0"/>
        </a:fillRef>
        <a:effectRef idx="0">
          <a:scrgbClr r="0" g="0" b="0"/>
        </a:effectRef>
        <a:fontRef idx="minor"/>
      </dsp:style>
    </dsp:sp>
    <dsp:sp modelId="{8D1A68E1-8F84-4B2C-A8DC-8F24AC8A8E26}">
      <dsp:nvSpPr>
        <dsp:cNvPr id="0" name=""/>
        <dsp:cNvSpPr/>
      </dsp:nvSpPr>
      <dsp:spPr>
        <a:xfrm>
          <a:off x="5816249" y="291797"/>
          <a:ext cx="130261" cy="2410863"/>
        </a:xfrm>
        <a:prstGeom prst="rect">
          <a:avLst/>
        </a:prstGeom>
        <a:solidFill>
          <a:schemeClr val="accent1">
            <a:tint val="50000"/>
            <a:alpha val="40000"/>
            <a:hueOff val="0"/>
            <a:satOff val="0"/>
            <a:lumOff val="0"/>
            <a:alphaOff val="0"/>
          </a:schemeClr>
        </a:solidFill>
        <a:ln>
          <a:noFill/>
        </a:ln>
        <a:effectLst/>
      </dsp:spPr>
      <dsp:style>
        <a:lnRef idx="0">
          <a:scrgbClr r="0" g="0" b="0"/>
        </a:lnRef>
        <a:fillRef idx="1">
          <a:scrgbClr r="0" g="0" b="0"/>
        </a:fillRef>
        <a:effectRef idx="0">
          <a:scrgbClr r="0" g="0" b="0"/>
        </a:effectRef>
        <a:fontRef idx="minor"/>
      </dsp:style>
    </dsp:sp>
    <dsp:sp modelId="{B85681E3-70C7-42E5-B376-3B8D95000214}">
      <dsp:nvSpPr>
        <dsp:cNvPr id="0" name=""/>
        <dsp:cNvSpPr/>
      </dsp:nvSpPr>
      <dsp:spPr>
        <a:xfrm>
          <a:off x="473338" y="2925"/>
          <a:ext cx="3257632" cy="2280466"/>
        </a:xfrm>
        <a:prstGeom prst="rect">
          <a:avLst/>
        </a:prstGeom>
        <a:blipFill rotWithShape="1">
          <a:blip xmlns:r="http://schemas.openxmlformats.org/officeDocument/2006/relationships" r:embed="rId1"/>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397D759E-F67E-4760-BC29-2A902294CAE7}">
      <dsp:nvSpPr>
        <dsp:cNvPr id="0" name=""/>
        <dsp:cNvSpPr/>
      </dsp:nvSpPr>
      <dsp:spPr>
        <a:xfrm>
          <a:off x="736050" y="2284201"/>
          <a:ext cx="3125181" cy="2861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2080" tIns="49530" rIns="132080" bIns="49530" numCol="1" spcCol="1270" anchor="ctr" anchorCtr="0">
          <a:noAutofit/>
        </a:bodyPr>
        <a:lstStyle/>
        <a:p>
          <a:pPr lvl="0" algn="l" defTabSz="577850">
            <a:lnSpc>
              <a:spcPct val="90000"/>
            </a:lnSpc>
            <a:spcBef>
              <a:spcPct val="0"/>
            </a:spcBef>
            <a:spcAft>
              <a:spcPct val="35000"/>
            </a:spcAft>
          </a:pPr>
          <a:r>
            <a:rPr lang="es-CO" sz="1300" kern="1200">
              <a:latin typeface="Arial" panose="020B0604020202020204" pitchFamily="34" charset="0"/>
              <a:cs typeface="Arial" panose="020B0604020202020204" pitchFamily="34" charset="0"/>
            </a:rPr>
            <a:t>Población objeto total</a:t>
          </a:r>
          <a:endParaRPr lang="es-ES" sz="1300" kern="1200">
            <a:latin typeface="Arial" panose="020B0604020202020204" pitchFamily="34" charset="0"/>
            <a:cs typeface="Arial" panose="020B0604020202020204" pitchFamily="34" charset="0"/>
          </a:endParaRPr>
        </a:p>
      </dsp:txBody>
      <dsp:txXfrm>
        <a:off x="736050" y="2284201"/>
        <a:ext cx="3125181" cy="286171"/>
      </dsp:txXfrm>
    </dsp:sp>
    <dsp:sp modelId="{978F9549-9E3E-44DC-840B-74433F578A72}">
      <dsp:nvSpPr>
        <dsp:cNvPr id="0" name=""/>
        <dsp:cNvSpPr/>
      </dsp:nvSpPr>
      <dsp:spPr>
        <a:xfrm>
          <a:off x="4129418" y="291797"/>
          <a:ext cx="1548907" cy="2410863"/>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0" tIns="0" rIns="0" bIns="0" numCol="1" spcCol="1270" anchor="t" anchorCtr="0">
          <a:noAutofit/>
        </a:bodyPr>
        <a:lstStyle/>
        <a:p>
          <a:pPr lvl="0" algn="l" defTabSz="444500">
            <a:lnSpc>
              <a:spcPct val="90000"/>
            </a:lnSpc>
            <a:spcBef>
              <a:spcPct val="0"/>
            </a:spcBef>
            <a:spcAft>
              <a:spcPct val="35000"/>
            </a:spcAft>
          </a:pPr>
          <a:r>
            <a:rPr lang="es-CO" sz="1000" kern="1200">
              <a:latin typeface="Arial" panose="020B0604020202020204" pitchFamily="34" charset="0"/>
              <a:cs typeface="Arial" panose="020B0604020202020204" pitchFamily="34" charset="0"/>
            </a:rPr>
            <a:t>Corresponde al universo de personas que se encuentra comprendido dentro del objeto del acuerdo de voluntades. Su tamaño depende de las condiciones y del alcance definido en dicho acuerdo y generalmente se expresa mediante un número absoluto.</a:t>
          </a:r>
          <a:endParaRPr lang="en-US" sz="1000" kern="1200">
            <a:latin typeface="Arial" panose="020B0604020202020204" pitchFamily="34" charset="0"/>
            <a:cs typeface="Arial" panose="020B0604020202020204" pitchFamily="34" charset="0"/>
          </a:endParaRPr>
        </a:p>
      </dsp:txBody>
      <dsp:txXfrm>
        <a:off x="4129418" y="291797"/>
        <a:ext cx="1548907" cy="2410863"/>
      </dsp:txXfrm>
    </dsp:sp>
    <dsp:sp modelId="{5803DBBF-69B2-4766-A3A7-3AA92DE3AF8B}">
      <dsp:nvSpPr>
        <dsp:cNvPr id="0" name=""/>
        <dsp:cNvSpPr/>
      </dsp:nvSpPr>
      <dsp:spPr>
        <a:xfrm>
          <a:off x="473338" y="3206434"/>
          <a:ext cx="3257632" cy="2280466"/>
        </a:xfrm>
        <a:prstGeom prst="rect">
          <a:avLst/>
        </a:prstGeom>
        <a:blipFill rotWithShape="1">
          <a:blip xmlns:r="http://schemas.openxmlformats.org/officeDocument/2006/relationships" r:embed="rId2"/>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7E0DE6F2-9254-4B30-ACD0-2D225715E0C3}">
      <dsp:nvSpPr>
        <dsp:cNvPr id="0" name=""/>
        <dsp:cNvSpPr/>
      </dsp:nvSpPr>
      <dsp:spPr>
        <a:xfrm>
          <a:off x="736050" y="5487710"/>
          <a:ext cx="3125181" cy="2861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2080" tIns="49530" rIns="132080" bIns="49530" numCol="1" spcCol="1270" anchor="ctr" anchorCtr="0">
          <a:noAutofit/>
        </a:bodyPr>
        <a:lstStyle/>
        <a:p>
          <a:pPr lvl="0" algn="l" defTabSz="577850">
            <a:lnSpc>
              <a:spcPct val="90000"/>
            </a:lnSpc>
            <a:spcBef>
              <a:spcPct val="0"/>
            </a:spcBef>
            <a:spcAft>
              <a:spcPct val="35000"/>
            </a:spcAft>
          </a:pPr>
          <a:r>
            <a:rPr lang="es-CO" sz="1300" kern="1200">
              <a:latin typeface="Arial" panose="020B0604020202020204" pitchFamily="34" charset="0"/>
              <a:cs typeface="Arial" panose="020B0604020202020204" pitchFamily="34" charset="0"/>
            </a:rPr>
            <a:t>Población susceptible</a:t>
          </a:r>
          <a:endParaRPr lang="en-US" sz="1300" kern="1200">
            <a:latin typeface="Arial" panose="020B0604020202020204" pitchFamily="34" charset="0"/>
            <a:cs typeface="Arial" panose="020B0604020202020204" pitchFamily="34" charset="0"/>
          </a:endParaRPr>
        </a:p>
      </dsp:txBody>
      <dsp:txXfrm>
        <a:off x="736050" y="5487710"/>
        <a:ext cx="3125181" cy="286171"/>
      </dsp:txXfrm>
    </dsp:sp>
    <dsp:sp modelId="{5DEF90BA-22C2-4924-8A13-037339CD2C8B}">
      <dsp:nvSpPr>
        <dsp:cNvPr id="0" name=""/>
        <dsp:cNvSpPr/>
      </dsp:nvSpPr>
      <dsp:spPr>
        <a:xfrm>
          <a:off x="4129418" y="3495305"/>
          <a:ext cx="1548907" cy="2410863"/>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0" tIns="0" rIns="0" bIns="0" numCol="1" spcCol="1270" anchor="t" anchorCtr="0">
          <a:noAutofit/>
        </a:bodyPr>
        <a:lstStyle/>
        <a:p>
          <a:pPr lvl="0" algn="l" defTabSz="444500">
            <a:lnSpc>
              <a:spcPct val="90000"/>
            </a:lnSpc>
            <a:spcBef>
              <a:spcPct val="0"/>
            </a:spcBef>
            <a:spcAft>
              <a:spcPct val="35000"/>
            </a:spcAft>
          </a:pPr>
          <a:r>
            <a:rPr lang="es-CO" sz="1000" kern="1200">
              <a:latin typeface="Arial" panose="020B0604020202020204" pitchFamily="34" charset="0"/>
              <a:cs typeface="Arial" panose="020B0604020202020204" pitchFamily="34" charset="0"/>
            </a:rPr>
            <a:t>Corresponde al grupo de personas dentro de la población objeto total que, de acuerdo con sus características, condiciones de salud, riesgos o necesidades, puede requerir un servicio o tecnología específico. Por esta razón, la población susceptible puede variar de un servicio o tecnología a otro y no necesariamente corresponde al total de la población objeto.</a:t>
          </a:r>
          <a:endParaRPr lang="en-US" sz="1000" kern="1200">
            <a:latin typeface="Arial" panose="020B0604020202020204" pitchFamily="34" charset="0"/>
            <a:cs typeface="Arial" panose="020B0604020202020204" pitchFamily="34" charset="0"/>
          </a:endParaRPr>
        </a:p>
      </dsp:txBody>
      <dsp:txXfrm>
        <a:off x="4129418" y="3495305"/>
        <a:ext cx="1548907" cy="2410863"/>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ECBE716-11CA-49C0-9C00-E73315948352}">
      <dsp:nvSpPr>
        <dsp:cNvPr id="0" name=""/>
        <dsp:cNvSpPr/>
      </dsp:nvSpPr>
      <dsp:spPr>
        <a:xfrm>
          <a:off x="770" y="0"/>
          <a:ext cx="2004296" cy="4972050"/>
        </a:xfrm>
        <a:prstGeom prst="roundRect">
          <a:avLst>
            <a:gd name="adj" fmla="val 10000"/>
          </a:avLst>
        </a:prstGeom>
        <a:solidFill>
          <a:schemeClr val="accent3">
            <a:tint val="40000"/>
            <a:hueOff val="0"/>
            <a:satOff val="0"/>
            <a:lumOff val="0"/>
            <a:alphaOff val="0"/>
          </a:schemeClr>
        </a:solidFill>
        <a:ln>
          <a:noFill/>
        </a:ln>
        <a:effectLst/>
      </dsp:spPr>
      <dsp:style>
        <a:lnRef idx="0">
          <a:scrgbClr r="0" g="0" b="0"/>
        </a:lnRef>
        <a:fillRef idx="1">
          <a:scrgbClr r="0" g="0" b="0"/>
        </a:fillRef>
        <a:effectRef idx="0">
          <a:scrgbClr r="0" g="0" b="0"/>
        </a:effectRef>
        <a:fontRef idx="minor"/>
      </dsp:style>
      <dsp:txBody>
        <a:bodyPr spcFirstLastPara="0" vert="horz" wrap="square" lIns="102870" tIns="102870" rIns="102870" bIns="102870" numCol="1" spcCol="1270" anchor="ctr" anchorCtr="0">
          <a:noAutofit/>
        </a:bodyPr>
        <a:lstStyle/>
        <a:p>
          <a:pPr lvl="0" algn="ctr" defTabSz="1200150">
            <a:lnSpc>
              <a:spcPct val="90000"/>
            </a:lnSpc>
            <a:spcBef>
              <a:spcPct val="0"/>
            </a:spcBef>
            <a:spcAft>
              <a:spcPct val="35000"/>
            </a:spcAft>
          </a:pPr>
          <a:r>
            <a:rPr lang="es-CO" sz="2700" kern="1200">
              <a:latin typeface="Arial" panose="020B0604020202020204" pitchFamily="34" charset="0"/>
              <a:cs typeface="Arial" panose="020B0604020202020204" pitchFamily="34" charset="0"/>
            </a:rPr>
            <a:t>Incidencia</a:t>
          </a:r>
          <a:endParaRPr lang="es-ES" sz="2700" kern="1200">
            <a:latin typeface="Arial" panose="020B0604020202020204" pitchFamily="34" charset="0"/>
            <a:cs typeface="Arial" panose="020B0604020202020204" pitchFamily="34" charset="0"/>
          </a:endParaRPr>
        </a:p>
      </dsp:txBody>
      <dsp:txXfrm>
        <a:off x="770" y="0"/>
        <a:ext cx="2004296" cy="1491615"/>
      </dsp:txXfrm>
    </dsp:sp>
    <dsp:sp modelId="{FA0F94C1-A3D0-41F6-BC7E-DB733D856932}">
      <dsp:nvSpPr>
        <dsp:cNvPr id="0" name=""/>
        <dsp:cNvSpPr/>
      </dsp:nvSpPr>
      <dsp:spPr>
        <a:xfrm>
          <a:off x="201200" y="1493071"/>
          <a:ext cx="1603437" cy="1499141"/>
        </a:xfrm>
        <a:prstGeom prst="roundRect">
          <a:avLst>
            <a:gd name="adj" fmla="val 10000"/>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0320" tIns="15240" rIns="20320" bIns="15240" numCol="1" spcCol="1270" anchor="ctr" anchorCtr="0">
          <a:noAutofit/>
        </a:bodyPr>
        <a:lstStyle/>
        <a:p>
          <a:pPr lvl="0" algn="ctr" defTabSz="355600">
            <a:lnSpc>
              <a:spcPct val="90000"/>
            </a:lnSpc>
            <a:spcBef>
              <a:spcPct val="0"/>
            </a:spcBef>
            <a:spcAft>
              <a:spcPct val="35000"/>
            </a:spcAft>
          </a:pPr>
          <a:r>
            <a:rPr lang="es-CO" sz="800" kern="1200">
              <a:latin typeface="Arial" panose="020B0604020202020204" pitchFamily="34" charset="0"/>
              <a:cs typeface="Arial" panose="020B0604020202020204" pitchFamily="34" charset="0"/>
            </a:rPr>
            <a:t>La incidencia se relaciona con la aparición de casos nuevos de una enfermedad o evento de salud en una población durante un periodo determinado. Este parámetro resulta útil para analizar eventos que se presentan por primera vez y estimar el comportamiento esperado de nuevos casos.</a:t>
          </a:r>
          <a:endParaRPr lang="en-US" sz="800" kern="1200">
            <a:latin typeface="Arial" panose="020B0604020202020204" pitchFamily="34" charset="0"/>
            <a:cs typeface="Arial" panose="020B0604020202020204" pitchFamily="34" charset="0"/>
          </a:endParaRPr>
        </a:p>
      </dsp:txBody>
      <dsp:txXfrm>
        <a:off x="245108" y="1536979"/>
        <a:ext cx="1515621" cy="1411325"/>
      </dsp:txXfrm>
    </dsp:sp>
    <dsp:sp modelId="{C9DF3FE7-CFBC-4F55-AC9A-46528E393027}">
      <dsp:nvSpPr>
        <dsp:cNvPr id="0" name=""/>
        <dsp:cNvSpPr/>
      </dsp:nvSpPr>
      <dsp:spPr>
        <a:xfrm>
          <a:off x="201200" y="3222849"/>
          <a:ext cx="1603437" cy="1499141"/>
        </a:xfrm>
        <a:prstGeom prst="roundRect">
          <a:avLst>
            <a:gd name="adj" fmla="val 10000"/>
          </a:avLst>
        </a:prstGeom>
        <a:solidFill>
          <a:schemeClr val="accent3">
            <a:hueOff val="2250053"/>
            <a:satOff val="-3376"/>
            <a:lumOff val="-549"/>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0320" tIns="15240" rIns="20320" bIns="15240" numCol="1" spcCol="1270" anchor="ctr" anchorCtr="0">
          <a:noAutofit/>
        </a:bodyPr>
        <a:lstStyle/>
        <a:p>
          <a:pPr lvl="0" algn="ctr" defTabSz="355600">
            <a:lnSpc>
              <a:spcPct val="90000"/>
            </a:lnSpc>
            <a:spcBef>
              <a:spcPct val="0"/>
            </a:spcBef>
            <a:spcAft>
              <a:spcPct val="35000"/>
            </a:spcAft>
          </a:pPr>
          <a:r>
            <a:rPr lang="es-CO" sz="800" kern="1200">
              <a:latin typeface="Arial" panose="020B0604020202020204" pitchFamily="34" charset="0"/>
              <a:cs typeface="Arial" panose="020B0604020202020204" pitchFamily="34" charset="0"/>
            </a:rPr>
            <a:t>En la nota técnica, la incidencia puede utilizarse cuando el servicio o tecnología está relacionado con la atención de eventos o condiciones cuya aparición durante un periodo sea relevante para establecer la población susceptible.</a:t>
          </a:r>
          <a:endParaRPr lang="en-US" sz="800" kern="1200">
            <a:latin typeface="Arial" panose="020B0604020202020204" pitchFamily="34" charset="0"/>
            <a:cs typeface="Arial" panose="020B0604020202020204" pitchFamily="34" charset="0"/>
          </a:endParaRPr>
        </a:p>
      </dsp:txBody>
      <dsp:txXfrm>
        <a:off x="245108" y="3266757"/>
        <a:ext cx="1515621" cy="1411325"/>
      </dsp:txXfrm>
    </dsp:sp>
    <dsp:sp modelId="{AEC4A3C0-47C0-4537-B647-D47C0827A2EA}">
      <dsp:nvSpPr>
        <dsp:cNvPr id="0" name=""/>
        <dsp:cNvSpPr/>
      </dsp:nvSpPr>
      <dsp:spPr>
        <a:xfrm>
          <a:off x="2155389" y="0"/>
          <a:ext cx="2004296" cy="4972050"/>
        </a:xfrm>
        <a:prstGeom prst="roundRect">
          <a:avLst>
            <a:gd name="adj" fmla="val 10000"/>
          </a:avLst>
        </a:prstGeom>
        <a:solidFill>
          <a:schemeClr val="accent3">
            <a:tint val="40000"/>
            <a:hueOff val="0"/>
            <a:satOff val="0"/>
            <a:lumOff val="0"/>
            <a:alphaOff val="0"/>
          </a:schemeClr>
        </a:solidFill>
        <a:ln>
          <a:noFill/>
        </a:ln>
        <a:effectLst/>
      </dsp:spPr>
      <dsp:style>
        <a:lnRef idx="0">
          <a:scrgbClr r="0" g="0" b="0"/>
        </a:lnRef>
        <a:fillRef idx="1">
          <a:scrgbClr r="0" g="0" b="0"/>
        </a:fillRef>
        <a:effectRef idx="0">
          <a:scrgbClr r="0" g="0" b="0"/>
        </a:effectRef>
        <a:fontRef idx="minor"/>
      </dsp:style>
      <dsp:txBody>
        <a:bodyPr spcFirstLastPara="0" vert="horz" wrap="square" lIns="102870" tIns="102870" rIns="102870" bIns="102870" numCol="1" spcCol="1270" anchor="ctr" anchorCtr="0">
          <a:noAutofit/>
        </a:bodyPr>
        <a:lstStyle/>
        <a:p>
          <a:pPr lvl="0" algn="ctr" defTabSz="1200150">
            <a:lnSpc>
              <a:spcPct val="90000"/>
            </a:lnSpc>
            <a:spcBef>
              <a:spcPct val="0"/>
            </a:spcBef>
            <a:spcAft>
              <a:spcPct val="35000"/>
            </a:spcAft>
          </a:pPr>
          <a:r>
            <a:rPr lang="es-CO" sz="2700" kern="1200">
              <a:latin typeface="Arial" panose="020B0604020202020204" pitchFamily="34" charset="0"/>
              <a:cs typeface="Arial" panose="020B0604020202020204" pitchFamily="34" charset="0"/>
            </a:rPr>
            <a:t>Prevalencia</a:t>
          </a:r>
          <a:endParaRPr lang="en-US" sz="2700" kern="1200">
            <a:latin typeface="Arial" panose="020B0604020202020204" pitchFamily="34" charset="0"/>
            <a:cs typeface="Arial" panose="020B0604020202020204" pitchFamily="34" charset="0"/>
          </a:endParaRPr>
        </a:p>
      </dsp:txBody>
      <dsp:txXfrm>
        <a:off x="2155389" y="0"/>
        <a:ext cx="2004296" cy="1491615"/>
      </dsp:txXfrm>
    </dsp:sp>
    <dsp:sp modelId="{A27A95D7-92FF-4182-8604-46BCF3FB46A5}">
      <dsp:nvSpPr>
        <dsp:cNvPr id="0" name=""/>
        <dsp:cNvSpPr/>
      </dsp:nvSpPr>
      <dsp:spPr>
        <a:xfrm>
          <a:off x="2355818" y="1493071"/>
          <a:ext cx="1603437" cy="1499141"/>
        </a:xfrm>
        <a:prstGeom prst="roundRect">
          <a:avLst>
            <a:gd name="adj" fmla="val 10000"/>
          </a:avLst>
        </a:prstGeom>
        <a:solidFill>
          <a:schemeClr val="accent3">
            <a:hueOff val="4500106"/>
            <a:satOff val="-6752"/>
            <a:lumOff val="-1098"/>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0320" tIns="15240" rIns="20320" bIns="15240" numCol="1" spcCol="1270" anchor="ctr" anchorCtr="0">
          <a:noAutofit/>
        </a:bodyPr>
        <a:lstStyle/>
        <a:p>
          <a:pPr lvl="0" algn="ctr" defTabSz="355600">
            <a:lnSpc>
              <a:spcPct val="90000"/>
            </a:lnSpc>
            <a:spcBef>
              <a:spcPct val="0"/>
            </a:spcBef>
            <a:spcAft>
              <a:spcPct val="35000"/>
            </a:spcAft>
          </a:pPr>
          <a:r>
            <a:rPr lang="es-CO" sz="800" kern="1200">
              <a:latin typeface="Arial" panose="020B0604020202020204" pitchFamily="34" charset="0"/>
              <a:cs typeface="Arial" panose="020B0604020202020204" pitchFamily="34" charset="0"/>
            </a:rPr>
            <a:t>La prevalencia se refiere a la proporción de personas de una población que presenta una determinada enfermedad, condición o evento de salud en un momento o periodo específico. A diferencia de la incidencia, considera los casos existentes en la población analizada.</a:t>
          </a:r>
          <a:endParaRPr lang="en-US" sz="800" kern="1200">
            <a:latin typeface="Arial" panose="020B0604020202020204" pitchFamily="34" charset="0"/>
            <a:cs typeface="Arial" panose="020B0604020202020204" pitchFamily="34" charset="0"/>
          </a:endParaRPr>
        </a:p>
      </dsp:txBody>
      <dsp:txXfrm>
        <a:off x="2399726" y="1536979"/>
        <a:ext cx="1515621" cy="1411325"/>
      </dsp:txXfrm>
    </dsp:sp>
    <dsp:sp modelId="{8185FD66-E395-47A0-9A6F-8A5AD1CAAC04}">
      <dsp:nvSpPr>
        <dsp:cNvPr id="0" name=""/>
        <dsp:cNvSpPr/>
      </dsp:nvSpPr>
      <dsp:spPr>
        <a:xfrm>
          <a:off x="2355818" y="3222849"/>
          <a:ext cx="1603437" cy="1499141"/>
        </a:xfrm>
        <a:prstGeom prst="roundRect">
          <a:avLst>
            <a:gd name="adj" fmla="val 10000"/>
          </a:avLst>
        </a:prstGeom>
        <a:solidFill>
          <a:schemeClr val="accent3">
            <a:hueOff val="6750158"/>
            <a:satOff val="-10128"/>
            <a:lumOff val="-1647"/>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0320" tIns="15240" rIns="20320" bIns="15240" numCol="1" spcCol="1270" anchor="ctr" anchorCtr="0">
          <a:noAutofit/>
        </a:bodyPr>
        <a:lstStyle/>
        <a:p>
          <a:pPr lvl="0" algn="ctr" defTabSz="355600">
            <a:lnSpc>
              <a:spcPct val="90000"/>
            </a:lnSpc>
            <a:spcBef>
              <a:spcPct val="0"/>
            </a:spcBef>
            <a:spcAft>
              <a:spcPct val="35000"/>
            </a:spcAft>
          </a:pPr>
          <a:r>
            <a:rPr lang="es-CO" sz="800" kern="1200">
              <a:latin typeface="Arial" panose="020B0604020202020204" pitchFamily="34" charset="0"/>
              <a:cs typeface="Arial" panose="020B0604020202020204" pitchFamily="34" charset="0"/>
            </a:rPr>
            <a:t>Este parámetro puede ser útil para establecer el tamaño de poblaciones que requieren seguimiento, control o atención de condiciones de salud ya presentes.</a:t>
          </a:r>
          <a:endParaRPr lang="en-US" sz="800" kern="1200">
            <a:latin typeface="Arial" panose="020B0604020202020204" pitchFamily="34" charset="0"/>
            <a:cs typeface="Arial" panose="020B0604020202020204" pitchFamily="34" charset="0"/>
          </a:endParaRPr>
        </a:p>
      </dsp:txBody>
      <dsp:txXfrm>
        <a:off x="2399726" y="3266757"/>
        <a:ext cx="1515621" cy="1411325"/>
      </dsp:txXfrm>
    </dsp:sp>
    <dsp:sp modelId="{8D330BF5-FF81-4C7D-82B2-EC19668792A4}">
      <dsp:nvSpPr>
        <dsp:cNvPr id="0" name=""/>
        <dsp:cNvSpPr/>
      </dsp:nvSpPr>
      <dsp:spPr>
        <a:xfrm>
          <a:off x="4310007" y="0"/>
          <a:ext cx="2004296" cy="4972050"/>
        </a:xfrm>
        <a:prstGeom prst="roundRect">
          <a:avLst>
            <a:gd name="adj" fmla="val 10000"/>
          </a:avLst>
        </a:prstGeom>
        <a:solidFill>
          <a:schemeClr val="accent3">
            <a:tint val="40000"/>
            <a:hueOff val="0"/>
            <a:satOff val="0"/>
            <a:lumOff val="0"/>
            <a:alphaOff val="0"/>
          </a:schemeClr>
        </a:solidFill>
        <a:ln>
          <a:noFill/>
        </a:ln>
        <a:effectLst/>
      </dsp:spPr>
      <dsp:style>
        <a:lnRef idx="0">
          <a:scrgbClr r="0" g="0" b="0"/>
        </a:lnRef>
        <a:fillRef idx="1">
          <a:scrgbClr r="0" g="0" b="0"/>
        </a:fillRef>
        <a:effectRef idx="0">
          <a:scrgbClr r="0" g="0" b="0"/>
        </a:effectRef>
        <a:fontRef idx="minor"/>
      </dsp:style>
      <dsp:txBody>
        <a:bodyPr spcFirstLastPara="0" vert="horz" wrap="square" lIns="102870" tIns="102870" rIns="102870" bIns="102870" numCol="1" spcCol="1270" anchor="ctr" anchorCtr="0">
          <a:noAutofit/>
        </a:bodyPr>
        <a:lstStyle/>
        <a:p>
          <a:pPr lvl="0" algn="ctr" defTabSz="1200150">
            <a:lnSpc>
              <a:spcPct val="90000"/>
            </a:lnSpc>
            <a:spcBef>
              <a:spcPct val="0"/>
            </a:spcBef>
            <a:spcAft>
              <a:spcPct val="35000"/>
            </a:spcAft>
          </a:pPr>
          <a:r>
            <a:rPr lang="es-CO" sz="2700" kern="1200">
              <a:latin typeface="Arial" panose="020B0604020202020204" pitchFamily="34" charset="0"/>
              <a:cs typeface="Arial" panose="020B0604020202020204" pitchFamily="34" charset="0"/>
            </a:rPr>
            <a:t>Tasa de uso</a:t>
          </a:r>
          <a:endParaRPr lang="en-US" sz="2700" kern="1200">
            <a:latin typeface="Arial" panose="020B0604020202020204" pitchFamily="34" charset="0"/>
            <a:cs typeface="Arial" panose="020B0604020202020204" pitchFamily="34" charset="0"/>
          </a:endParaRPr>
        </a:p>
      </dsp:txBody>
      <dsp:txXfrm>
        <a:off x="4310007" y="0"/>
        <a:ext cx="2004296" cy="1491615"/>
      </dsp:txXfrm>
    </dsp:sp>
    <dsp:sp modelId="{AD6DD7CC-A932-4C90-8620-3BE6777AA3D0}">
      <dsp:nvSpPr>
        <dsp:cNvPr id="0" name=""/>
        <dsp:cNvSpPr/>
      </dsp:nvSpPr>
      <dsp:spPr>
        <a:xfrm>
          <a:off x="4510437" y="1493071"/>
          <a:ext cx="1603437" cy="1499141"/>
        </a:xfrm>
        <a:prstGeom prst="roundRect">
          <a:avLst>
            <a:gd name="adj" fmla="val 10000"/>
          </a:avLst>
        </a:prstGeom>
        <a:solidFill>
          <a:schemeClr val="accent3">
            <a:hueOff val="9000211"/>
            <a:satOff val="-13504"/>
            <a:lumOff val="-2196"/>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0320" tIns="15240" rIns="20320" bIns="15240" numCol="1" spcCol="1270" anchor="ctr" anchorCtr="0">
          <a:noAutofit/>
        </a:bodyPr>
        <a:lstStyle/>
        <a:p>
          <a:pPr lvl="0" algn="ctr" defTabSz="355600">
            <a:lnSpc>
              <a:spcPct val="90000"/>
            </a:lnSpc>
            <a:spcBef>
              <a:spcPct val="0"/>
            </a:spcBef>
            <a:spcAft>
              <a:spcPct val="35000"/>
            </a:spcAft>
          </a:pPr>
          <a:r>
            <a:rPr lang="es-CO" sz="800" kern="1200">
              <a:latin typeface="Arial" panose="020B0604020202020204" pitchFamily="34" charset="0"/>
              <a:cs typeface="Arial" panose="020B0604020202020204" pitchFamily="34" charset="0"/>
            </a:rPr>
            <a:t>La tasa de uso permite relacionar la utilización de un servicio o tecnología con una población determinada durante un periodo. Su análisis aporta información sobre el comportamiento observado de la utilización de los servicios y puede contribuir a establecer las frecuencias esperadas para la nota técnica.</a:t>
          </a:r>
          <a:endParaRPr lang="en-US" sz="800" kern="1200">
            <a:latin typeface="Arial" panose="020B0604020202020204" pitchFamily="34" charset="0"/>
            <a:cs typeface="Arial" panose="020B0604020202020204" pitchFamily="34" charset="0"/>
          </a:endParaRPr>
        </a:p>
      </dsp:txBody>
      <dsp:txXfrm>
        <a:off x="4554345" y="1536979"/>
        <a:ext cx="1515621" cy="1411325"/>
      </dsp:txXfrm>
    </dsp:sp>
    <dsp:sp modelId="{40E674D7-D093-4757-A632-743D208B3886}">
      <dsp:nvSpPr>
        <dsp:cNvPr id="0" name=""/>
        <dsp:cNvSpPr/>
      </dsp:nvSpPr>
      <dsp:spPr>
        <a:xfrm>
          <a:off x="4510437" y="3222849"/>
          <a:ext cx="1603437" cy="1499141"/>
        </a:xfrm>
        <a:prstGeom prst="roundRect">
          <a:avLst>
            <a:gd name="adj" fmla="val 10000"/>
          </a:avLst>
        </a:prstGeom>
        <a:solidFill>
          <a:schemeClr val="accent3">
            <a:hueOff val="11250264"/>
            <a:satOff val="-16880"/>
            <a:lumOff val="-2745"/>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0320" tIns="15240" rIns="20320" bIns="15240" numCol="1" spcCol="1270" anchor="ctr" anchorCtr="0">
          <a:noAutofit/>
        </a:bodyPr>
        <a:lstStyle/>
        <a:p>
          <a:pPr lvl="0" algn="ctr" defTabSz="355600">
            <a:lnSpc>
              <a:spcPct val="90000"/>
            </a:lnSpc>
            <a:spcBef>
              <a:spcPct val="0"/>
            </a:spcBef>
            <a:spcAft>
              <a:spcPct val="35000"/>
            </a:spcAft>
          </a:pPr>
          <a:r>
            <a:rPr lang="es-CO" sz="800" kern="1200">
              <a:latin typeface="Arial" panose="020B0604020202020204" pitchFamily="34" charset="0"/>
              <a:cs typeface="Arial" panose="020B0604020202020204" pitchFamily="34" charset="0"/>
            </a:rPr>
            <a:t>Para determinar los parámetros epidemiológicos asociados con las poblaciones definidas, pueden considerarse prevalencia, incidencia, tasas de uso, entre otros, y recomienda priorizar fuentes correspondientes al territorio o al contexto poblacional analizado.</a:t>
          </a:r>
          <a:endParaRPr lang="en-US" sz="800" kern="1200">
            <a:latin typeface="Arial" panose="020B0604020202020204" pitchFamily="34" charset="0"/>
            <a:cs typeface="Arial" panose="020B0604020202020204" pitchFamily="34" charset="0"/>
          </a:endParaRPr>
        </a:p>
      </dsp:txBody>
      <dsp:txXfrm>
        <a:off x="4554345" y="3266757"/>
        <a:ext cx="1515621" cy="1411325"/>
      </dsp:txXfrm>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4793DB0-651A-4936-9438-F7F15FE438B8}">
      <dsp:nvSpPr>
        <dsp:cNvPr id="0" name=""/>
        <dsp:cNvSpPr/>
      </dsp:nvSpPr>
      <dsp:spPr>
        <a:xfrm>
          <a:off x="3001408" y="1928183"/>
          <a:ext cx="71996" cy="1332493"/>
        </a:xfrm>
        <a:prstGeom prst="rect">
          <a:avLst/>
        </a:prstGeom>
        <a:solidFill>
          <a:schemeClr val="accent1">
            <a:tint val="50000"/>
            <a:alpha val="40000"/>
            <a:hueOff val="0"/>
            <a:satOff val="0"/>
            <a:lumOff val="0"/>
            <a:alphaOff val="0"/>
          </a:schemeClr>
        </a:solidFill>
        <a:ln>
          <a:noFill/>
        </a:ln>
        <a:effectLst/>
      </dsp:spPr>
      <dsp:style>
        <a:lnRef idx="0">
          <a:scrgbClr r="0" g="0" b="0"/>
        </a:lnRef>
        <a:fillRef idx="1">
          <a:scrgbClr r="0" g="0" b="0"/>
        </a:fillRef>
        <a:effectRef idx="0">
          <a:scrgbClr r="0" g="0" b="0"/>
        </a:effectRef>
        <a:fontRef idx="minor"/>
      </dsp:style>
    </dsp:sp>
    <dsp:sp modelId="{ACE4CF57-D1E7-482E-81D5-0CF361687FAD}">
      <dsp:nvSpPr>
        <dsp:cNvPr id="0" name=""/>
        <dsp:cNvSpPr/>
      </dsp:nvSpPr>
      <dsp:spPr>
        <a:xfrm>
          <a:off x="120357" y="1928183"/>
          <a:ext cx="1872501" cy="1332493"/>
        </a:xfrm>
        <a:prstGeom prst="frame">
          <a:avLst>
            <a:gd name="adj1" fmla="val 5450"/>
          </a:avLst>
        </a:prstGeom>
        <a:solidFill>
          <a:schemeClr val="accent1">
            <a:tint val="50000"/>
            <a:alpha val="40000"/>
            <a:hueOff val="0"/>
            <a:satOff val="0"/>
            <a:lumOff val="0"/>
            <a:alphaOff val="0"/>
          </a:schemeClr>
        </a:solidFill>
        <a:ln>
          <a:noFill/>
        </a:ln>
        <a:effectLst/>
      </dsp:spPr>
      <dsp:style>
        <a:lnRef idx="0">
          <a:scrgbClr r="0" g="0" b="0"/>
        </a:lnRef>
        <a:fillRef idx="1">
          <a:scrgbClr r="0" g="0" b="0"/>
        </a:fillRef>
        <a:effectRef idx="0">
          <a:scrgbClr r="0" g="0" b="0"/>
        </a:effectRef>
        <a:fontRef idx="minor"/>
      </dsp:style>
    </dsp:sp>
    <dsp:sp modelId="{F3708BAF-C670-48C7-AD7A-CDD651AB537E}">
      <dsp:nvSpPr>
        <dsp:cNvPr id="0" name=""/>
        <dsp:cNvSpPr/>
      </dsp:nvSpPr>
      <dsp:spPr>
        <a:xfrm>
          <a:off x="120357" y="194392"/>
          <a:ext cx="1872501" cy="1332493"/>
        </a:xfrm>
        <a:prstGeom prst="frame">
          <a:avLst>
            <a:gd name="adj1" fmla="val 5450"/>
          </a:avLst>
        </a:prstGeom>
        <a:solidFill>
          <a:schemeClr val="accent1">
            <a:tint val="50000"/>
            <a:alpha val="40000"/>
            <a:hueOff val="0"/>
            <a:satOff val="0"/>
            <a:lumOff val="0"/>
            <a:alphaOff val="0"/>
          </a:schemeClr>
        </a:solidFill>
        <a:ln>
          <a:noFill/>
        </a:ln>
        <a:effectLst/>
      </dsp:spPr>
      <dsp:style>
        <a:lnRef idx="0">
          <a:scrgbClr r="0" g="0" b="0"/>
        </a:lnRef>
        <a:fillRef idx="1">
          <a:scrgbClr r="0" g="0" b="0"/>
        </a:fillRef>
        <a:effectRef idx="0">
          <a:scrgbClr r="0" g="0" b="0"/>
        </a:effectRef>
        <a:fontRef idx="minor"/>
      </dsp:style>
    </dsp:sp>
    <dsp:sp modelId="{0E239DA5-9263-4D99-92C6-F984E62F7D66}">
      <dsp:nvSpPr>
        <dsp:cNvPr id="0" name=""/>
        <dsp:cNvSpPr/>
      </dsp:nvSpPr>
      <dsp:spPr>
        <a:xfrm>
          <a:off x="3001408" y="194392"/>
          <a:ext cx="71996" cy="1332493"/>
        </a:xfrm>
        <a:prstGeom prst="rect">
          <a:avLst/>
        </a:prstGeom>
        <a:solidFill>
          <a:schemeClr val="accent1">
            <a:tint val="50000"/>
            <a:alpha val="40000"/>
            <a:hueOff val="0"/>
            <a:satOff val="0"/>
            <a:lumOff val="0"/>
            <a:alphaOff val="0"/>
          </a:schemeClr>
        </a:solidFill>
        <a:ln>
          <a:noFill/>
        </a:ln>
        <a:effectLst/>
      </dsp:spPr>
      <dsp:style>
        <a:lnRef idx="0">
          <a:scrgbClr r="0" g="0" b="0"/>
        </a:lnRef>
        <a:fillRef idx="1">
          <a:scrgbClr r="0" g="0" b="0"/>
        </a:fillRef>
        <a:effectRef idx="0">
          <a:scrgbClr r="0" g="0" b="0"/>
        </a:effectRef>
        <a:fontRef idx="minor"/>
      </dsp:style>
    </dsp:sp>
    <dsp:sp modelId="{03B6E3A7-335E-41BB-B7D4-7BCD255AAA6F}">
      <dsp:nvSpPr>
        <dsp:cNvPr id="0" name=""/>
        <dsp:cNvSpPr/>
      </dsp:nvSpPr>
      <dsp:spPr>
        <a:xfrm>
          <a:off x="120357" y="3661974"/>
          <a:ext cx="1872501" cy="1332493"/>
        </a:xfrm>
        <a:prstGeom prst="frame">
          <a:avLst>
            <a:gd name="adj1" fmla="val 5450"/>
          </a:avLst>
        </a:prstGeom>
        <a:solidFill>
          <a:schemeClr val="accent1">
            <a:tint val="50000"/>
            <a:alpha val="40000"/>
            <a:hueOff val="0"/>
            <a:satOff val="0"/>
            <a:lumOff val="0"/>
            <a:alphaOff val="0"/>
          </a:schemeClr>
        </a:solidFill>
        <a:ln>
          <a:noFill/>
        </a:ln>
        <a:effectLst/>
      </dsp:spPr>
      <dsp:style>
        <a:lnRef idx="0">
          <a:scrgbClr r="0" g="0" b="0"/>
        </a:lnRef>
        <a:fillRef idx="1">
          <a:scrgbClr r="0" g="0" b="0"/>
        </a:fillRef>
        <a:effectRef idx="0">
          <a:scrgbClr r="0" g="0" b="0"/>
        </a:effectRef>
        <a:fontRef idx="minor"/>
      </dsp:style>
    </dsp:sp>
    <dsp:sp modelId="{7B32568B-DC22-4354-9FE0-D95BEEEB1874}">
      <dsp:nvSpPr>
        <dsp:cNvPr id="0" name=""/>
        <dsp:cNvSpPr/>
      </dsp:nvSpPr>
      <dsp:spPr>
        <a:xfrm>
          <a:off x="3001408" y="3661974"/>
          <a:ext cx="71996" cy="1332493"/>
        </a:xfrm>
        <a:prstGeom prst="rect">
          <a:avLst/>
        </a:prstGeom>
        <a:solidFill>
          <a:schemeClr val="accent1">
            <a:tint val="50000"/>
            <a:alpha val="40000"/>
            <a:hueOff val="0"/>
            <a:satOff val="0"/>
            <a:lumOff val="0"/>
            <a:alphaOff val="0"/>
          </a:schemeClr>
        </a:solidFill>
        <a:ln>
          <a:noFill/>
        </a:ln>
        <a:effectLst/>
      </dsp:spPr>
      <dsp:style>
        <a:lnRef idx="0">
          <a:scrgbClr r="0" g="0" b="0"/>
        </a:lnRef>
        <a:fillRef idx="1">
          <a:scrgbClr r="0" g="0" b="0"/>
        </a:fillRef>
        <a:effectRef idx="0">
          <a:scrgbClr r="0" g="0" b="0"/>
        </a:effectRef>
        <a:fontRef idx="minor"/>
      </dsp:style>
    </dsp:sp>
    <dsp:sp modelId="{88263D17-72CF-4C4C-A38C-7ADF74CCD5AC}">
      <dsp:nvSpPr>
        <dsp:cNvPr id="0" name=""/>
        <dsp:cNvSpPr/>
      </dsp:nvSpPr>
      <dsp:spPr>
        <a:xfrm>
          <a:off x="48361" y="34732"/>
          <a:ext cx="1800505" cy="1260422"/>
        </a:xfrm>
        <a:prstGeom prst="rect">
          <a:avLst/>
        </a:prstGeom>
        <a:blipFill rotWithShape="1">
          <a:blip xmlns:r="http://schemas.openxmlformats.org/officeDocument/2006/relationships" r:embed="rId1"/>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368E7F70-D29A-4E8A-851F-D06A45DE2470}">
      <dsp:nvSpPr>
        <dsp:cNvPr id="0" name=""/>
        <dsp:cNvSpPr/>
      </dsp:nvSpPr>
      <dsp:spPr>
        <a:xfrm>
          <a:off x="193563" y="1295601"/>
          <a:ext cx="1727299" cy="15816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71120" tIns="26670" rIns="71120" bIns="26670" numCol="1" spcCol="1270" anchor="ctr" anchorCtr="0">
          <a:noAutofit/>
        </a:bodyPr>
        <a:lstStyle/>
        <a:p>
          <a:pPr lvl="0" algn="l" defTabSz="311150">
            <a:lnSpc>
              <a:spcPct val="90000"/>
            </a:lnSpc>
            <a:spcBef>
              <a:spcPct val="0"/>
            </a:spcBef>
            <a:spcAft>
              <a:spcPct val="35000"/>
            </a:spcAft>
          </a:pPr>
          <a:r>
            <a:rPr lang="es-CO" sz="700" kern="1200">
              <a:latin typeface="Arial" panose="020B0604020202020204" pitchFamily="34" charset="0"/>
              <a:cs typeface="Arial" panose="020B0604020202020204" pitchFamily="34" charset="0"/>
            </a:rPr>
            <a:t>Población objeto</a:t>
          </a:r>
          <a:endParaRPr lang="es-ES" sz="700" kern="1200">
            <a:latin typeface="Arial" panose="020B0604020202020204" pitchFamily="34" charset="0"/>
            <a:cs typeface="Arial" panose="020B0604020202020204" pitchFamily="34" charset="0"/>
          </a:endParaRPr>
        </a:p>
      </dsp:txBody>
      <dsp:txXfrm>
        <a:off x="193563" y="1295601"/>
        <a:ext cx="1727299" cy="158168"/>
      </dsp:txXfrm>
    </dsp:sp>
    <dsp:sp modelId="{8A14431E-1614-47A6-9AB8-B513C4E6AD08}">
      <dsp:nvSpPr>
        <dsp:cNvPr id="0" name=""/>
        <dsp:cNvSpPr/>
      </dsp:nvSpPr>
      <dsp:spPr>
        <a:xfrm>
          <a:off x="2069090" y="194392"/>
          <a:ext cx="856087" cy="1332493"/>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0" tIns="0" rIns="0" bIns="0" numCol="1" spcCol="1270" anchor="t" anchorCtr="0">
          <a:noAutofit/>
        </a:bodyPr>
        <a:lstStyle/>
        <a:p>
          <a:pPr lvl="0" algn="l" defTabSz="311150">
            <a:lnSpc>
              <a:spcPct val="90000"/>
            </a:lnSpc>
            <a:spcBef>
              <a:spcPct val="0"/>
            </a:spcBef>
            <a:spcAft>
              <a:spcPct val="35000"/>
            </a:spcAft>
          </a:pPr>
          <a:r>
            <a:rPr lang="es-CO" sz="700" kern="1200">
              <a:latin typeface="Arial" panose="020B0604020202020204" pitchFamily="34" charset="0"/>
              <a:cs typeface="Arial" panose="020B0604020202020204" pitchFamily="34" charset="0"/>
            </a:rPr>
            <a:t>Permite determinar el grupo sobre el cual se realizará la estimación.</a:t>
          </a:r>
          <a:endParaRPr lang="en-US" sz="700" kern="1200">
            <a:latin typeface="Arial" panose="020B0604020202020204" pitchFamily="34" charset="0"/>
            <a:cs typeface="Arial" panose="020B0604020202020204" pitchFamily="34" charset="0"/>
          </a:endParaRPr>
        </a:p>
      </dsp:txBody>
      <dsp:txXfrm>
        <a:off x="2069090" y="194392"/>
        <a:ext cx="856087" cy="1332493"/>
      </dsp:txXfrm>
    </dsp:sp>
    <dsp:sp modelId="{E393CA21-E021-4404-B4C0-E393E91B5C46}">
      <dsp:nvSpPr>
        <dsp:cNvPr id="0" name=""/>
        <dsp:cNvSpPr/>
      </dsp:nvSpPr>
      <dsp:spPr>
        <a:xfrm>
          <a:off x="3294616" y="194392"/>
          <a:ext cx="1872501" cy="1332493"/>
        </a:xfrm>
        <a:prstGeom prst="frame">
          <a:avLst>
            <a:gd name="adj1" fmla="val 5450"/>
          </a:avLst>
        </a:prstGeom>
        <a:solidFill>
          <a:schemeClr val="accent1">
            <a:tint val="50000"/>
            <a:alpha val="40000"/>
            <a:hueOff val="0"/>
            <a:satOff val="0"/>
            <a:lumOff val="0"/>
            <a:alphaOff val="0"/>
          </a:schemeClr>
        </a:solidFill>
        <a:ln>
          <a:noFill/>
        </a:ln>
        <a:effectLst/>
      </dsp:spPr>
      <dsp:style>
        <a:lnRef idx="0">
          <a:scrgbClr r="0" g="0" b="0"/>
        </a:lnRef>
        <a:fillRef idx="1">
          <a:scrgbClr r="0" g="0" b="0"/>
        </a:fillRef>
        <a:effectRef idx="0">
          <a:scrgbClr r="0" g="0" b="0"/>
        </a:effectRef>
        <a:fontRef idx="minor"/>
      </dsp:style>
    </dsp:sp>
    <dsp:sp modelId="{E3604C38-7FAD-4451-BE70-469BC23208E4}">
      <dsp:nvSpPr>
        <dsp:cNvPr id="0" name=""/>
        <dsp:cNvSpPr/>
      </dsp:nvSpPr>
      <dsp:spPr>
        <a:xfrm>
          <a:off x="6175667" y="194392"/>
          <a:ext cx="71996" cy="1332493"/>
        </a:xfrm>
        <a:prstGeom prst="rect">
          <a:avLst/>
        </a:prstGeom>
        <a:solidFill>
          <a:schemeClr val="accent1">
            <a:tint val="50000"/>
            <a:alpha val="40000"/>
            <a:hueOff val="0"/>
            <a:satOff val="0"/>
            <a:lumOff val="0"/>
            <a:alphaOff val="0"/>
          </a:schemeClr>
        </a:solidFill>
        <a:ln>
          <a:noFill/>
        </a:ln>
        <a:effectLst/>
      </dsp:spPr>
      <dsp:style>
        <a:lnRef idx="0">
          <a:scrgbClr r="0" g="0" b="0"/>
        </a:lnRef>
        <a:fillRef idx="1">
          <a:scrgbClr r="0" g="0" b="0"/>
        </a:fillRef>
        <a:effectRef idx="0">
          <a:scrgbClr r="0" g="0" b="0"/>
        </a:effectRef>
        <a:fontRef idx="minor"/>
      </dsp:style>
    </dsp:sp>
    <dsp:sp modelId="{606A9348-3EFB-4DA9-91D7-63EDAFFC951B}">
      <dsp:nvSpPr>
        <dsp:cNvPr id="0" name=""/>
        <dsp:cNvSpPr/>
      </dsp:nvSpPr>
      <dsp:spPr>
        <a:xfrm>
          <a:off x="48361" y="1768523"/>
          <a:ext cx="1800505" cy="1260422"/>
        </a:xfrm>
        <a:prstGeom prst="rect">
          <a:avLst/>
        </a:prstGeom>
        <a:blipFill rotWithShape="1">
          <a:blip xmlns:r="http://schemas.openxmlformats.org/officeDocument/2006/relationships" r:embed="rId2"/>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B6308875-D72D-4C90-9CFC-BA0EA9609378}">
      <dsp:nvSpPr>
        <dsp:cNvPr id="0" name=""/>
        <dsp:cNvSpPr/>
      </dsp:nvSpPr>
      <dsp:spPr>
        <a:xfrm>
          <a:off x="193563" y="3029393"/>
          <a:ext cx="1727299" cy="15816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71120" tIns="26670" rIns="71120" bIns="26670" numCol="1" spcCol="1270" anchor="ctr" anchorCtr="0">
          <a:noAutofit/>
        </a:bodyPr>
        <a:lstStyle/>
        <a:p>
          <a:pPr lvl="0" algn="l" defTabSz="311150">
            <a:lnSpc>
              <a:spcPct val="90000"/>
            </a:lnSpc>
            <a:spcBef>
              <a:spcPct val="0"/>
            </a:spcBef>
            <a:spcAft>
              <a:spcPct val="35000"/>
            </a:spcAft>
          </a:pPr>
          <a:r>
            <a:rPr lang="es-CO" sz="700" kern="1200">
              <a:latin typeface="Arial" panose="020B0604020202020204" pitchFamily="34" charset="0"/>
              <a:cs typeface="Arial" panose="020B0604020202020204" pitchFamily="34" charset="0"/>
            </a:rPr>
            <a:t>Servicio o tecnología</a:t>
          </a:r>
          <a:endParaRPr lang="en-US" sz="700" kern="1200">
            <a:latin typeface="Arial" panose="020B0604020202020204" pitchFamily="34" charset="0"/>
            <a:cs typeface="Arial" panose="020B0604020202020204" pitchFamily="34" charset="0"/>
          </a:endParaRPr>
        </a:p>
      </dsp:txBody>
      <dsp:txXfrm>
        <a:off x="193563" y="3029393"/>
        <a:ext cx="1727299" cy="158168"/>
      </dsp:txXfrm>
    </dsp:sp>
    <dsp:sp modelId="{0E8E4183-AD71-40DE-A225-478AB92B0BC9}">
      <dsp:nvSpPr>
        <dsp:cNvPr id="0" name=""/>
        <dsp:cNvSpPr/>
      </dsp:nvSpPr>
      <dsp:spPr>
        <a:xfrm>
          <a:off x="2069090" y="1928183"/>
          <a:ext cx="856087" cy="1332493"/>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0" tIns="0" rIns="0" bIns="0" numCol="1" spcCol="1270" anchor="t" anchorCtr="0">
          <a:noAutofit/>
        </a:bodyPr>
        <a:lstStyle/>
        <a:p>
          <a:pPr lvl="0" algn="l" defTabSz="311150">
            <a:lnSpc>
              <a:spcPct val="90000"/>
            </a:lnSpc>
            <a:spcBef>
              <a:spcPct val="0"/>
            </a:spcBef>
            <a:spcAft>
              <a:spcPct val="35000"/>
            </a:spcAft>
          </a:pPr>
          <a:r>
            <a:rPr lang="es-CO" sz="700" kern="1200">
              <a:latin typeface="Arial" panose="020B0604020202020204" pitchFamily="34" charset="0"/>
              <a:cs typeface="Arial" panose="020B0604020202020204" pitchFamily="34" charset="0"/>
            </a:rPr>
            <a:t>Cada servicio o tecnología requiere establecer su propia frecuencia de utilización.</a:t>
          </a:r>
          <a:endParaRPr lang="en-US" sz="700" kern="1200">
            <a:latin typeface="Arial" panose="020B0604020202020204" pitchFamily="34" charset="0"/>
            <a:cs typeface="Arial" panose="020B0604020202020204" pitchFamily="34" charset="0"/>
          </a:endParaRPr>
        </a:p>
      </dsp:txBody>
      <dsp:txXfrm>
        <a:off x="2069090" y="1928183"/>
        <a:ext cx="856087" cy="1332493"/>
      </dsp:txXfrm>
    </dsp:sp>
    <dsp:sp modelId="{3A49AA28-7721-439F-BD53-B850D7A313D2}">
      <dsp:nvSpPr>
        <dsp:cNvPr id="0" name=""/>
        <dsp:cNvSpPr/>
      </dsp:nvSpPr>
      <dsp:spPr>
        <a:xfrm>
          <a:off x="3294616" y="1928183"/>
          <a:ext cx="1872501" cy="1332493"/>
        </a:xfrm>
        <a:prstGeom prst="frame">
          <a:avLst>
            <a:gd name="adj1" fmla="val 5450"/>
          </a:avLst>
        </a:prstGeom>
        <a:solidFill>
          <a:schemeClr val="accent1">
            <a:tint val="50000"/>
            <a:alpha val="40000"/>
            <a:hueOff val="0"/>
            <a:satOff val="0"/>
            <a:lumOff val="0"/>
            <a:alphaOff val="0"/>
          </a:schemeClr>
        </a:solidFill>
        <a:ln>
          <a:noFill/>
        </a:ln>
        <a:effectLst/>
      </dsp:spPr>
      <dsp:style>
        <a:lnRef idx="0">
          <a:scrgbClr r="0" g="0" b="0"/>
        </a:lnRef>
        <a:fillRef idx="1">
          <a:scrgbClr r="0" g="0" b="0"/>
        </a:fillRef>
        <a:effectRef idx="0">
          <a:scrgbClr r="0" g="0" b="0"/>
        </a:effectRef>
        <a:fontRef idx="minor"/>
      </dsp:style>
    </dsp:sp>
    <dsp:sp modelId="{06CA89B0-8A35-41D4-966B-776A27804A4A}">
      <dsp:nvSpPr>
        <dsp:cNvPr id="0" name=""/>
        <dsp:cNvSpPr/>
      </dsp:nvSpPr>
      <dsp:spPr>
        <a:xfrm>
          <a:off x="6175667" y="1928183"/>
          <a:ext cx="71996" cy="1332493"/>
        </a:xfrm>
        <a:prstGeom prst="rect">
          <a:avLst/>
        </a:prstGeom>
        <a:solidFill>
          <a:schemeClr val="accent1">
            <a:tint val="50000"/>
            <a:alpha val="40000"/>
            <a:hueOff val="0"/>
            <a:satOff val="0"/>
            <a:lumOff val="0"/>
            <a:alphaOff val="0"/>
          </a:schemeClr>
        </a:solidFill>
        <a:ln>
          <a:noFill/>
        </a:ln>
        <a:effectLst/>
      </dsp:spPr>
      <dsp:style>
        <a:lnRef idx="0">
          <a:scrgbClr r="0" g="0" b="0"/>
        </a:lnRef>
        <a:fillRef idx="1">
          <a:scrgbClr r="0" g="0" b="0"/>
        </a:fillRef>
        <a:effectRef idx="0">
          <a:scrgbClr r="0" g="0" b="0"/>
        </a:effectRef>
        <a:fontRef idx="minor"/>
      </dsp:style>
    </dsp:sp>
    <dsp:sp modelId="{6DB8C67A-50A7-4482-9C88-E9769A225600}">
      <dsp:nvSpPr>
        <dsp:cNvPr id="0" name=""/>
        <dsp:cNvSpPr/>
      </dsp:nvSpPr>
      <dsp:spPr>
        <a:xfrm>
          <a:off x="48361" y="3502314"/>
          <a:ext cx="1800505" cy="1260422"/>
        </a:xfrm>
        <a:prstGeom prst="rect">
          <a:avLst/>
        </a:prstGeom>
        <a:blipFill rotWithShape="1">
          <a:blip xmlns:r="http://schemas.openxmlformats.org/officeDocument/2006/relationships" r:embed="rId3"/>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A01CDF30-650C-4696-AF0F-779CF829FBAB}">
      <dsp:nvSpPr>
        <dsp:cNvPr id="0" name=""/>
        <dsp:cNvSpPr/>
      </dsp:nvSpPr>
      <dsp:spPr>
        <a:xfrm>
          <a:off x="193563" y="4763184"/>
          <a:ext cx="1727299" cy="15816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71120" tIns="26670" rIns="71120" bIns="26670" numCol="1" spcCol="1270" anchor="ctr" anchorCtr="0">
          <a:noAutofit/>
        </a:bodyPr>
        <a:lstStyle/>
        <a:p>
          <a:pPr lvl="0" algn="l" defTabSz="311150">
            <a:lnSpc>
              <a:spcPct val="90000"/>
            </a:lnSpc>
            <a:spcBef>
              <a:spcPct val="0"/>
            </a:spcBef>
            <a:spcAft>
              <a:spcPct val="35000"/>
            </a:spcAft>
          </a:pPr>
          <a:r>
            <a:rPr lang="es-CO" sz="700" kern="1200">
              <a:latin typeface="Arial" panose="020B0604020202020204" pitchFamily="34" charset="0"/>
              <a:cs typeface="Arial" panose="020B0604020202020204" pitchFamily="34" charset="0"/>
            </a:rPr>
            <a:t>Periodo de análisis</a:t>
          </a:r>
          <a:endParaRPr lang="en-US" sz="700" kern="1200">
            <a:latin typeface="Arial" panose="020B0604020202020204" pitchFamily="34" charset="0"/>
            <a:cs typeface="Arial" panose="020B0604020202020204" pitchFamily="34" charset="0"/>
          </a:endParaRPr>
        </a:p>
      </dsp:txBody>
      <dsp:txXfrm>
        <a:off x="193563" y="4763184"/>
        <a:ext cx="1727299" cy="158168"/>
      </dsp:txXfrm>
    </dsp:sp>
    <dsp:sp modelId="{F662C990-B877-4731-BDA1-9544D2DC5A28}">
      <dsp:nvSpPr>
        <dsp:cNvPr id="0" name=""/>
        <dsp:cNvSpPr/>
      </dsp:nvSpPr>
      <dsp:spPr>
        <a:xfrm>
          <a:off x="2069090" y="3661974"/>
          <a:ext cx="856087" cy="1332493"/>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0" tIns="0" rIns="0" bIns="0" numCol="1" spcCol="1270" anchor="t" anchorCtr="0">
          <a:noAutofit/>
        </a:bodyPr>
        <a:lstStyle/>
        <a:p>
          <a:pPr lvl="0" algn="l" defTabSz="311150">
            <a:lnSpc>
              <a:spcPct val="90000"/>
            </a:lnSpc>
            <a:spcBef>
              <a:spcPct val="0"/>
            </a:spcBef>
            <a:spcAft>
              <a:spcPct val="35000"/>
            </a:spcAft>
          </a:pPr>
          <a:r>
            <a:rPr lang="es-CO" sz="700" kern="1200">
              <a:latin typeface="Arial" panose="020B0604020202020204" pitchFamily="34" charset="0"/>
              <a:cs typeface="Arial" panose="020B0604020202020204" pitchFamily="34" charset="0"/>
            </a:rPr>
            <a:t>Permite determinar el comportamiento de la utilización durante un intervalo definido.</a:t>
          </a:r>
          <a:endParaRPr lang="en-US" sz="700" kern="1200">
            <a:latin typeface="Arial" panose="020B0604020202020204" pitchFamily="34" charset="0"/>
            <a:cs typeface="Arial" panose="020B0604020202020204" pitchFamily="34" charset="0"/>
          </a:endParaRPr>
        </a:p>
      </dsp:txBody>
      <dsp:txXfrm>
        <a:off x="2069090" y="3661974"/>
        <a:ext cx="856087" cy="1332493"/>
      </dsp:txXfrm>
    </dsp:sp>
    <dsp:sp modelId="{E46481C8-85B4-4BA4-ABF1-6808DEBA4A92}">
      <dsp:nvSpPr>
        <dsp:cNvPr id="0" name=""/>
        <dsp:cNvSpPr/>
      </dsp:nvSpPr>
      <dsp:spPr>
        <a:xfrm>
          <a:off x="3294616" y="3661974"/>
          <a:ext cx="1872501" cy="1332493"/>
        </a:xfrm>
        <a:prstGeom prst="frame">
          <a:avLst>
            <a:gd name="adj1" fmla="val 5450"/>
          </a:avLst>
        </a:prstGeom>
        <a:solidFill>
          <a:schemeClr val="accent1">
            <a:tint val="50000"/>
            <a:alpha val="40000"/>
            <a:hueOff val="0"/>
            <a:satOff val="0"/>
            <a:lumOff val="0"/>
            <a:alphaOff val="0"/>
          </a:schemeClr>
        </a:solidFill>
        <a:ln>
          <a:noFill/>
        </a:ln>
        <a:effectLst/>
      </dsp:spPr>
      <dsp:style>
        <a:lnRef idx="0">
          <a:scrgbClr r="0" g="0" b="0"/>
        </a:lnRef>
        <a:fillRef idx="1">
          <a:scrgbClr r="0" g="0" b="0"/>
        </a:fillRef>
        <a:effectRef idx="0">
          <a:scrgbClr r="0" g="0" b="0"/>
        </a:effectRef>
        <a:fontRef idx="minor"/>
      </dsp:style>
    </dsp:sp>
    <dsp:sp modelId="{2F277B35-53CD-48CC-840E-822023E80DE6}">
      <dsp:nvSpPr>
        <dsp:cNvPr id="0" name=""/>
        <dsp:cNvSpPr/>
      </dsp:nvSpPr>
      <dsp:spPr>
        <a:xfrm>
          <a:off x="6175667" y="3661974"/>
          <a:ext cx="71996" cy="1332493"/>
        </a:xfrm>
        <a:prstGeom prst="rect">
          <a:avLst/>
        </a:prstGeom>
        <a:solidFill>
          <a:schemeClr val="accent1">
            <a:tint val="50000"/>
            <a:alpha val="40000"/>
            <a:hueOff val="0"/>
            <a:satOff val="0"/>
            <a:lumOff val="0"/>
            <a:alphaOff val="0"/>
          </a:schemeClr>
        </a:solidFill>
        <a:ln>
          <a:noFill/>
        </a:ln>
        <a:effectLst/>
      </dsp:spPr>
      <dsp:style>
        <a:lnRef idx="0">
          <a:scrgbClr r="0" g="0" b="0"/>
        </a:lnRef>
        <a:fillRef idx="1">
          <a:scrgbClr r="0" g="0" b="0"/>
        </a:fillRef>
        <a:effectRef idx="0">
          <a:scrgbClr r="0" g="0" b="0"/>
        </a:effectRef>
        <a:fontRef idx="minor"/>
      </dsp:style>
    </dsp:sp>
    <dsp:sp modelId="{07DFC098-34B1-4024-8CD8-C0F673A4A73B}">
      <dsp:nvSpPr>
        <dsp:cNvPr id="0" name=""/>
        <dsp:cNvSpPr/>
      </dsp:nvSpPr>
      <dsp:spPr>
        <a:xfrm>
          <a:off x="3222620" y="34732"/>
          <a:ext cx="1800505" cy="1260422"/>
        </a:xfrm>
        <a:prstGeom prst="rect">
          <a:avLst/>
        </a:prstGeom>
        <a:blipFill rotWithShape="1">
          <a:blip xmlns:r="http://schemas.openxmlformats.org/officeDocument/2006/relationships" r:embed="rId4"/>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516CEE60-F586-47B2-A98D-8559FB7325D1}">
      <dsp:nvSpPr>
        <dsp:cNvPr id="0" name=""/>
        <dsp:cNvSpPr/>
      </dsp:nvSpPr>
      <dsp:spPr>
        <a:xfrm>
          <a:off x="3367822" y="1295601"/>
          <a:ext cx="1727299" cy="15816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71120" tIns="26670" rIns="71120" bIns="26670" numCol="1" spcCol="1270" anchor="ctr" anchorCtr="0">
          <a:noAutofit/>
        </a:bodyPr>
        <a:lstStyle/>
        <a:p>
          <a:pPr lvl="0" algn="l" defTabSz="311150">
            <a:lnSpc>
              <a:spcPct val="90000"/>
            </a:lnSpc>
            <a:spcBef>
              <a:spcPct val="0"/>
            </a:spcBef>
            <a:spcAft>
              <a:spcPct val="35000"/>
            </a:spcAft>
          </a:pPr>
          <a:r>
            <a:rPr lang="es-CO" sz="700" kern="1200">
              <a:latin typeface="Arial" panose="020B0604020202020204" pitchFamily="34" charset="0"/>
              <a:cs typeface="Arial" panose="020B0604020202020204" pitchFamily="34" charset="0"/>
            </a:rPr>
            <a:t>Información histórica</a:t>
          </a:r>
          <a:endParaRPr lang="en-US" sz="700" kern="1200">
            <a:latin typeface="Arial" panose="020B0604020202020204" pitchFamily="34" charset="0"/>
            <a:cs typeface="Arial" panose="020B0604020202020204" pitchFamily="34" charset="0"/>
          </a:endParaRPr>
        </a:p>
      </dsp:txBody>
      <dsp:txXfrm>
        <a:off x="3367822" y="1295601"/>
        <a:ext cx="1727299" cy="158168"/>
      </dsp:txXfrm>
    </dsp:sp>
    <dsp:sp modelId="{A6F539F6-344F-4675-AF1D-8CECEFEDAE3B}">
      <dsp:nvSpPr>
        <dsp:cNvPr id="0" name=""/>
        <dsp:cNvSpPr/>
      </dsp:nvSpPr>
      <dsp:spPr>
        <a:xfrm>
          <a:off x="5243349" y="194392"/>
          <a:ext cx="856087" cy="1332493"/>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0" tIns="0" rIns="0" bIns="0" numCol="1" spcCol="1270" anchor="t" anchorCtr="0">
          <a:noAutofit/>
        </a:bodyPr>
        <a:lstStyle/>
        <a:p>
          <a:pPr lvl="0" algn="l" defTabSz="311150">
            <a:lnSpc>
              <a:spcPct val="90000"/>
            </a:lnSpc>
            <a:spcBef>
              <a:spcPct val="0"/>
            </a:spcBef>
            <a:spcAft>
              <a:spcPct val="35000"/>
            </a:spcAft>
          </a:pPr>
          <a:r>
            <a:rPr lang="es-CO" sz="700" kern="1200">
              <a:latin typeface="Arial" panose="020B0604020202020204" pitchFamily="34" charset="0"/>
              <a:cs typeface="Arial" panose="020B0604020202020204" pitchFamily="34" charset="0"/>
            </a:rPr>
            <a:t>Los registros de utilización de periodos anteriores constituyen un insumo para identificar comportamientos y establecer estimaciones.</a:t>
          </a:r>
          <a:endParaRPr lang="en-US" sz="700" kern="1200">
            <a:latin typeface="Arial" panose="020B0604020202020204" pitchFamily="34" charset="0"/>
            <a:cs typeface="Arial" panose="020B0604020202020204" pitchFamily="34" charset="0"/>
          </a:endParaRPr>
        </a:p>
      </dsp:txBody>
      <dsp:txXfrm>
        <a:off x="5243349" y="194392"/>
        <a:ext cx="856087" cy="1332493"/>
      </dsp:txXfrm>
    </dsp:sp>
    <dsp:sp modelId="{926E9470-3987-45FD-A562-CA7252EB9178}">
      <dsp:nvSpPr>
        <dsp:cNvPr id="0" name=""/>
        <dsp:cNvSpPr/>
      </dsp:nvSpPr>
      <dsp:spPr>
        <a:xfrm>
          <a:off x="3222620" y="1768523"/>
          <a:ext cx="1800505" cy="1260422"/>
        </a:xfrm>
        <a:prstGeom prst="rect">
          <a:avLst/>
        </a:prstGeom>
        <a:blipFill rotWithShape="1">
          <a:blip xmlns:r="http://schemas.openxmlformats.org/officeDocument/2006/relationships" r:embed="rId5"/>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B8C1F95B-49A3-4BFD-94C9-8A2C31DE5DCB}">
      <dsp:nvSpPr>
        <dsp:cNvPr id="0" name=""/>
        <dsp:cNvSpPr/>
      </dsp:nvSpPr>
      <dsp:spPr>
        <a:xfrm>
          <a:off x="3367822" y="3029393"/>
          <a:ext cx="1727299" cy="15816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71120" tIns="26670" rIns="71120" bIns="26670" numCol="1" spcCol="1270" anchor="ctr" anchorCtr="0">
          <a:noAutofit/>
        </a:bodyPr>
        <a:lstStyle/>
        <a:p>
          <a:pPr lvl="0" algn="l" defTabSz="311150">
            <a:lnSpc>
              <a:spcPct val="90000"/>
            </a:lnSpc>
            <a:spcBef>
              <a:spcPct val="0"/>
            </a:spcBef>
            <a:spcAft>
              <a:spcPct val="35000"/>
            </a:spcAft>
          </a:pPr>
          <a:r>
            <a:rPr lang="es-CO" sz="700" kern="1200">
              <a:latin typeface="Arial" panose="020B0604020202020204" pitchFamily="34" charset="0"/>
              <a:cs typeface="Arial" panose="020B0604020202020204" pitchFamily="34" charset="0"/>
            </a:rPr>
            <a:t>Características de la población</a:t>
          </a:r>
          <a:endParaRPr lang="en-US" sz="700" kern="1200">
            <a:latin typeface="Arial" panose="020B0604020202020204" pitchFamily="34" charset="0"/>
            <a:cs typeface="Arial" panose="020B0604020202020204" pitchFamily="34" charset="0"/>
          </a:endParaRPr>
        </a:p>
      </dsp:txBody>
      <dsp:txXfrm>
        <a:off x="3367822" y="3029393"/>
        <a:ext cx="1727299" cy="158168"/>
      </dsp:txXfrm>
    </dsp:sp>
    <dsp:sp modelId="{579728D8-F399-4393-B439-CFC66DC26776}">
      <dsp:nvSpPr>
        <dsp:cNvPr id="0" name=""/>
        <dsp:cNvSpPr/>
      </dsp:nvSpPr>
      <dsp:spPr>
        <a:xfrm>
          <a:off x="5243349" y="1928183"/>
          <a:ext cx="856087" cy="1332493"/>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0" tIns="0" rIns="0" bIns="0" numCol="1" spcCol="1270" anchor="t" anchorCtr="0">
          <a:noAutofit/>
        </a:bodyPr>
        <a:lstStyle/>
        <a:p>
          <a:pPr lvl="0" algn="l" defTabSz="311150">
            <a:lnSpc>
              <a:spcPct val="90000"/>
            </a:lnSpc>
            <a:spcBef>
              <a:spcPct val="0"/>
            </a:spcBef>
            <a:spcAft>
              <a:spcPct val="35000"/>
            </a:spcAft>
          </a:pPr>
          <a:r>
            <a:rPr lang="es-CO" sz="700" kern="1200">
              <a:latin typeface="Arial" panose="020B0604020202020204" pitchFamily="34" charset="0"/>
              <a:cs typeface="Arial" panose="020B0604020202020204" pitchFamily="34" charset="0"/>
            </a:rPr>
            <a:t>Las diferencias demográficas, epidemiológicas y territoriales pueden generar frecuencias de uso diferentes.</a:t>
          </a:r>
          <a:endParaRPr lang="en-US" sz="700" kern="1200">
            <a:latin typeface="Arial" panose="020B0604020202020204" pitchFamily="34" charset="0"/>
            <a:cs typeface="Arial" panose="020B0604020202020204" pitchFamily="34" charset="0"/>
          </a:endParaRPr>
        </a:p>
      </dsp:txBody>
      <dsp:txXfrm>
        <a:off x="5243349" y="1928183"/>
        <a:ext cx="856087" cy="1332493"/>
      </dsp:txXfrm>
    </dsp:sp>
    <dsp:sp modelId="{615A5234-EB3B-477D-9AA0-148D89BEB5B0}">
      <dsp:nvSpPr>
        <dsp:cNvPr id="0" name=""/>
        <dsp:cNvSpPr/>
      </dsp:nvSpPr>
      <dsp:spPr>
        <a:xfrm>
          <a:off x="3222620" y="3502314"/>
          <a:ext cx="1800505" cy="1260422"/>
        </a:xfrm>
        <a:prstGeom prst="rect">
          <a:avLst/>
        </a:prstGeom>
        <a:blipFill rotWithShape="1">
          <a:blip xmlns:r="http://schemas.openxmlformats.org/officeDocument/2006/relationships" r:embed="rId6"/>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B78EEF51-92C3-4F50-B752-C38647B538C0}">
      <dsp:nvSpPr>
        <dsp:cNvPr id="0" name=""/>
        <dsp:cNvSpPr/>
      </dsp:nvSpPr>
      <dsp:spPr>
        <a:xfrm>
          <a:off x="3367822" y="4763184"/>
          <a:ext cx="1727299" cy="15816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71120" tIns="26670" rIns="71120" bIns="26670" numCol="1" spcCol="1270" anchor="ctr" anchorCtr="0">
          <a:noAutofit/>
        </a:bodyPr>
        <a:lstStyle/>
        <a:p>
          <a:pPr lvl="0" algn="l" defTabSz="311150">
            <a:lnSpc>
              <a:spcPct val="90000"/>
            </a:lnSpc>
            <a:spcBef>
              <a:spcPct val="0"/>
            </a:spcBef>
            <a:spcAft>
              <a:spcPct val="35000"/>
            </a:spcAft>
          </a:pPr>
          <a:r>
            <a:rPr lang="es-CO" sz="700" kern="1200">
              <a:latin typeface="Arial" panose="020B0604020202020204" pitchFamily="34" charset="0"/>
              <a:cs typeface="Arial" panose="020B0604020202020204" pitchFamily="34" charset="0"/>
            </a:rPr>
            <a:t>Condiciones operativas</a:t>
          </a:r>
          <a:endParaRPr lang="en-US" sz="700" kern="1200">
            <a:latin typeface="Arial" panose="020B0604020202020204" pitchFamily="34" charset="0"/>
            <a:cs typeface="Arial" panose="020B0604020202020204" pitchFamily="34" charset="0"/>
          </a:endParaRPr>
        </a:p>
      </dsp:txBody>
      <dsp:txXfrm>
        <a:off x="3367822" y="4763184"/>
        <a:ext cx="1727299" cy="158168"/>
      </dsp:txXfrm>
    </dsp:sp>
    <dsp:sp modelId="{75BA84A3-CFD2-4E33-AF4B-7F4F4F01902D}">
      <dsp:nvSpPr>
        <dsp:cNvPr id="0" name=""/>
        <dsp:cNvSpPr/>
      </dsp:nvSpPr>
      <dsp:spPr>
        <a:xfrm>
          <a:off x="5243349" y="3661974"/>
          <a:ext cx="856087" cy="1332493"/>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0" tIns="0" rIns="0" bIns="0" numCol="1" spcCol="1270" anchor="t" anchorCtr="0">
          <a:noAutofit/>
        </a:bodyPr>
        <a:lstStyle/>
        <a:p>
          <a:pPr lvl="0" algn="l" defTabSz="311150">
            <a:lnSpc>
              <a:spcPct val="90000"/>
            </a:lnSpc>
            <a:spcBef>
              <a:spcPct val="0"/>
            </a:spcBef>
            <a:spcAft>
              <a:spcPct val="35000"/>
            </a:spcAft>
          </a:pPr>
          <a:r>
            <a:rPr lang="es-CO" sz="700" kern="1200">
              <a:latin typeface="Arial" panose="020B0604020202020204" pitchFamily="34" charset="0"/>
              <a:cs typeface="Arial" panose="020B0604020202020204" pitchFamily="34" charset="0"/>
            </a:rPr>
            <a:t>La disponibilidad de servicios, las características del territorio y las condiciones de prestación pueden influir en la utilización.</a:t>
          </a:r>
          <a:endParaRPr lang="en-US" sz="700" kern="1200">
            <a:latin typeface="Arial" panose="020B0604020202020204" pitchFamily="34" charset="0"/>
            <a:cs typeface="Arial" panose="020B0604020202020204" pitchFamily="34" charset="0"/>
          </a:endParaRPr>
        </a:p>
      </dsp:txBody>
      <dsp:txXfrm>
        <a:off x="5243349" y="3661974"/>
        <a:ext cx="856087" cy="1332493"/>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789AE8F-1718-4D27-8E43-4ED6D7EC5B05}">
      <dsp:nvSpPr>
        <dsp:cNvPr id="0" name=""/>
        <dsp:cNvSpPr/>
      </dsp:nvSpPr>
      <dsp:spPr>
        <a:xfrm>
          <a:off x="1396257" y="190295"/>
          <a:ext cx="3745289" cy="1170402"/>
        </a:xfrm>
        <a:prstGeom prst="rect">
          <a:avLst/>
        </a:prstGeom>
        <a:solidFill>
          <a:schemeClr val="lt1">
            <a:alpha val="40000"/>
            <a:hueOff val="0"/>
            <a:satOff val="0"/>
            <a:lumOff val="0"/>
            <a:alphaOff val="0"/>
          </a:schemeClr>
        </a:solidFill>
        <a:ln w="9525" cap="flat" cmpd="sng" algn="ctr">
          <a:solidFill>
            <a:schemeClr val="accent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92753" tIns="38100" rIns="38100" bIns="38100" numCol="1" spcCol="1270" anchor="ctr" anchorCtr="0">
          <a:noAutofit/>
        </a:bodyPr>
        <a:lstStyle/>
        <a:p>
          <a:pPr lvl="0" algn="l" defTabSz="444500">
            <a:lnSpc>
              <a:spcPct val="90000"/>
            </a:lnSpc>
            <a:spcBef>
              <a:spcPct val="0"/>
            </a:spcBef>
            <a:spcAft>
              <a:spcPct val="35000"/>
            </a:spcAft>
          </a:pPr>
          <a:r>
            <a:rPr lang="es-CO" sz="1000" kern="1200">
              <a:latin typeface="Arial" panose="020B0604020202020204" pitchFamily="34" charset="0"/>
              <a:cs typeface="Arial" panose="020B0604020202020204" pitchFamily="34" charset="0"/>
            </a:rPr>
            <a:t>La </a:t>
          </a:r>
          <a:r>
            <a:rPr lang="es-CO" sz="1000" b="1" kern="1200">
              <a:latin typeface="Arial" panose="020B0604020202020204" pitchFamily="34" charset="0"/>
              <a:cs typeface="Arial" panose="020B0604020202020204" pitchFamily="34" charset="0"/>
            </a:rPr>
            <a:t>oferta de servicios de salud </a:t>
          </a:r>
          <a:r>
            <a:rPr lang="es-CO" sz="1000" kern="1200">
              <a:latin typeface="Arial" panose="020B0604020202020204" pitchFamily="34" charset="0"/>
              <a:cs typeface="Arial" panose="020B0604020202020204" pitchFamily="34" charset="0"/>
            </a:rPr>
            <a:t>se relaciona con la capacidad disponible para prestar los servicios y tecnologías requeridos por una población. Para su análisis pueden considerarse aspectos como la disponibilidad de talento humano, los servicios habilitados, la infraestructura, los equipos, los horarios de atención y las condiciones territoriales que pueden influir en la prestación.</a:t>
          </a:r>
          <a:endParaRPr lang="es-ES" sz="1000" kern="1200">
            <a:latin typeface="Arial" panose="020B0604020202020204" pitchFamily="34" charset="0"/>
            <a:cs typeface="Arial" panose="020B0604020202020204" pitchFamily="34" charset="0"/>
          </a:endParaRPr>
        </a:p>
      </dsp:txBody>
      <dsp:txXfrm>
        <a:off x="1396257" y="190295"/>
        <a:ext cx="3745289" cy="1170402"/>
      </dsp:txXfrm>
    </dsp:sp>
    <dsp:sp modelId="{E01731B5-526F-4BF1-92F5-E2FF0B9D4054}">
      <dsp:nvSpPr>
        <dsp:cNvPr id="0" name=""/>
        <dsp:cNvSpPr/>
      </dsp:nvSpPr>
      <dsp:spPr>
        <a:xfrm>
          <a:off x="1240203" y="21237"/>
          <a:ext cx="819282" cy="1228923"/>
        </a:xfrm>
        <a:prstGeom prst="rect">
          <a:avLst/>
        </a:prstGeom>
        <a:blipFill rotWithShape="1">
          <a:blip xmlns:r="http://schemas.openxmlformats.org/officeDocument/2006/relationships" r:embed="rId1"/>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CF924CF8-1D5B-4EBF-A451-651C0D93F03A}">
      <dsp:nvSpPr>
        <dsp:cNvPr id="0" name=""/>
        <dsp:cNvSpPr/>
      </dsp:nvSpPr>
      <dsp:spPr>
        <a:xfrm>
          <a:off x="1396257" y="1663702"/>
          <a:ext cx="3745289" cy="1170402"/>
        </a:xfrm>
        <a:prstGeom prst="rect">
          <a:avLst/>
        </a:prstGeom>
        <a:solidFill>
          <a:schemeClr val="lt1">
            <a:alpha val="40000"/>
            <a:hueOff val="0"/>
            <a:satOff val="0"/>
            <a:lumOff val="0"/>
            <a:alphaOff val="0"/>
          </a:schemeClr>
        </a:solidFill>
        <a:ln w="9525" cap="flat" cmpd="sng" algn="ctr">
          <a:solidFill>
            <a:schemeClr val="accent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92753" tIns="38100" rIns="38100" bIns="38100" numCol="1" spcCol="1270" anchor="ctr" anchorCtr="0">
          <a:noAutofit/>
        </a:bodyPr>
        <a:lstStyle/>
        <a:p>
          <a:pPr lvl="0" algn="l" defTabSz="444500">
            <a:lnSpc>
              <a:spcPct val="90000"/>
            </a:lnSpc>
            <a:spcBef>
              <a:spcPct val="0"/>
            </a:spcBef>
            <a:spcAft>
              <a:spcPct val="35000"/>
            </a:spcAft>
          </a:pPr>
          <a:r>
            <a:rPr lang="es-CO" sz="1000" kern="1200">
              <a:latin typeface="Arial" panose="020B0604020202020204" pitchFamily="34" charset="0"/>
              <a:cs typeface="Arial" panose="020B0604020202020204" pitchFamily="34" charset="0"/>
            </a:rPr>
            <a:t>La </a:t>
          </a:r>
          <a:r>
            <a:rPr lang="es-CO" sz="1000" b="1" kern="1200">
              <a:latin typeface="Arial" panose="020B0604020202020204" pitchFamily="34" charset="0"/>
              <a:cs typeface="Arial" panose="020B0604020202020204" pitchFamily="34" charset="0"/>
            </a:rPr>
            <a:t>demanda de servicios de salud </a:t>
          </a:r>
          <a:r>
            <a:rPr lang="es-CO" sz="1000" kern="1200">
              <a:latin typeface="Arial" panose="020B0604020202020204" pitchFamily="34" charset="0"/>
              <a:cs typeface="Arial" panose="020B0604020202020204" pitchFamily="34" charset="0"/>
            </a:rPr>
            <a:t>corresponde a los servicios que la población solicita o utiliza efectivamente. Como se explicó anteriormente, la demanda observada no necesariamente representa la totalidad de las necesidades de una población, debido a que pueden existir condiciones que faciliten o limiten el acceso a los servicios.</a:t>
          </a:r>
          <a:endParaRPr lang="en-US" sz="1000" kern="1200">
            <a:latin typeface="Arial" panose="020B0604020202020204" pitchFamily="34" charset="0"/>
            <a:cs typeface="Arial" panose="020B0604020202020204" pitchFamily="34" charset="0"/>
          </a:endParaRPr>
        </a:p>
      </dsp:txBody>
      <dsp:txXfrm>
        <a:off x="1396257" y="1663702"/>
        <a:ext cx="3745289" cy="1170402"/>
      </dsp:txXfrm>
    </dsp:sp>
    <dsp:sp modelId="{83284C92-A504-4F87-860A-A170D0F14C6A}">
      <dsp:nvSpPr>
        <dsp:cNvPr id="0" name=""/>
        <dsp:cNvSpPr/>
      </dsp:nvSpPr>
      <dsp:spPr>
        <a:xfrm>
          <a:off x="1240203" y="1494644"/>
          <a:ext cx="819282" cy="1228923"/>
        </a:xfrm>
        <a:prstGeom prst="rect">
          <a:avLst/>
        </a:prstGeom>
        <a:blipFill rotWithShape="1">
          <a:blip xmlns:r="http://schemas.openxmlformats.org/officeDocument/2006/relationships" r:embed="rId2"/>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B80CC44-E68D-407D-B96E-54ED6C6EDD63}">
      <dsp:nvSpPr>
        <dsp:cNvPr id="0" name=""/>
        <dsp:cNvSpPr/>
      </dsp:nvSpPr>
      <dsp:spPr>
        <a:xfrm>
          <a:off x="3220" y="0"/>
          <a:ext cx="3098143" cy="2803584"/>
        </a:xfrm>
        <a:prstGeom prst="roundRect">
          <a:avLst>
            <a:gd name="adj" fmla="val 10000"/>
          </a:avLst>
        </a:prstGeom>
        <a:solidFill>
          <a:schemeClr val="accent3">
            <a:tint val="40000"/>
            <a:hueOff val="0"/>
            <a:satOff val="0"/>
            <a:lumOff val="0"/>
            <a:alphaOff val="0"/>
          </a:schemeClr>
        </a:solidFill>
        <a:ln>
          <a:noFill/>
        </a:ln>
        <a:effectLst/>
      </dsp:spPr>
      <dsp:style>
        <a:lnRef idx="0">
          <a:scrgbClr r="0" g="0" b="0"/>
        </a:lnRef>
        <a:fillRef idx="1">
          <a:scrgbClr r="0" g="0" b="0"/>
        </a:fillRef>
        <a:effectRef idx="0">
          <a:scrgbClr r="0" g="0" b="0"/>
        </a:effectRef>
        <a:fontRef idx="minor"/>
      </dsp:style>
      <dsp:txBody>
        <a:bodyPr spcFirstLastPara="0" vert="horz" wrap="square" lIns="91440" tIns="91440" rIns="91440" bIns="91440" numCol="1" spcCol="1270" anchor="ctr" anchorCtr="0">
          <a:noAutofit/>
        </a:bodyPr>
        <a:lstStyle/>
        <a:p>
          <a:pPr lvl="0" algn="ctr" defTabSz="1066800">
            <a:lnSpc>
              <a:spcPct val="90000"/>
            </a:lnSpc>
            <a:spcBef>
              <a:spcPct val="0"/>
            </a:spcBef>
            <a:spcAft>
              <a:spcPct val="35000"/>
            </a:spcAft>
          </a:pPr>
          <a:r>
            <a:rPr lang="es-CO" sz="2400" kern="1200">
              <a:latin typeface="Arial" panose="020B0604020202020204" pitchFamily="34" charset="0"/>
              <a:cs typeface="Arial" panose="020B0604020202020204" pitchFamily="34" charset="0"/>
            </a:rPr>
            <a:t>Manual Tarifario SOAT</a:t>
          </a:r>
          <a:endParaRPr lang="es-ES" sz="2400" kern="1200">
            <a:latin typeface="Arial" panose="020B0604020202020204" pitchFamily="34" charset="0"/>
            <a:cs typeface="Arial" panose="020B0604020202020204" pitchFamily="34" charset="0"/>
          </a:endParaRPr>
        </a:p>
      </dsp:txBody>
      <dsp:txXfrm>
        <a:off x="3220" y="0"/>
        <a:ext cx="3098143" cy="841075"/>
      </dsp:txXfrm>
    </dsp:sp>
    <dsp:sp modelId="{D5373C8D-3912-4BD4-90E9-20FA265ED65C}">
      <dsp:nvSpPr>
        <dsp:cNvPr id="0" name=""/>
        <dsp:cNvSpPr/>
      </dsp:nvSpPr>
      <dsp:spPr>
        <a:xfrm>
          <a:off x="313035" y="841896"/>
          <a:ext cx="2478515" cy="845318"/>
        </a:xfrm>
        <a:prstGeom prst="roundRect">
          <a:avLst>
            <a:gd name="adj" fmla="val 10000"/>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7780" tIns="13335" rIns="17780" bIns="13335" numCol="1" spcCol="1270" anchor="ctr" anchorCtr="0">
          <a:noAutofit/>
        </a:bodyPr>
        <a:lstStyle/>
        <a:p>
          <a:pPr lvl="0" algn="ctr" defTabSz="311150">
            <a:lnSpc>
              <a:spcPct val="90000"/>
            </a:lnSpc>
            <a:spcBef>
              <a:spcPct val="0"/>
            </a:spcBef>
            <a:spcAft>
              <a:spcPct val="35000"/>
            </a:spcAft>
          </a:pPr>
          <a:r>
            <a:rPr lang="es-CO" sz="700" kern="1200">
              <a:latin typeface="Arial" panose="020B0604020202020204" pitchFamily="34" charset="0"/>
              <a:cs typeface="Arial" panose="020B0604020202020204" pitchFamily="34" charset="0"/>
            </a:rPr>
            <a:t>El Manual Tarifario SOAT tiene como antecedente el régimen tarifario establecido mediante el Decreto 2423 de 1996, posteriormente compilado en el Decreto 780 de 2016. Este referente establece la nomenclatura, clasificación y tarifas para determinados procedimientos médico-quirúrgicos y hospitalarios.</a:t>
          </a:r>
          <a:endParaRPr lang="en-US" sz="700" kern="1200">
            <a:latin typeface="Arial" panose="020B0604020202020204" pitchFamily="34" charset="0"/>
            <a:cs typeface="Arial" panose="020B0604020202020204" pitchFamily="34" charset="0"/>
          </a:endParaRPr>
        </a:p>
      </dsp:txBody>
      <dsp:txXfrm>
        <a:off x="337794" y="866655"/>
        <a:ext cx="2428997" cy="795800"/>
      </dsp:txXfrm>
    </dsp:sp>
    <dsp:sp modelId="{F81F8DF3-610B-42F2-BCF0-309E749B0A89}">
      <dsp:nvSpPr>
        <dsp:cNvPr id="0" name=""/>
        <dsp:cNvSpPr/>
      </dsp:nvSpPr>
      <dsp:spPr>
        <a:xfrm>
          <a:off x="313035" y="1817264"/>
          <a:ext cx="2478515" cy="845318"/>
        </a:xfrm>
        <a:prstGeom prst="roundRect">
          <a:avLst>
            <a:gd name="adj" fmla="val 10000"/>
          </a:avLst>
        </a:prstGeom>
        <a:solidFill>
          <a:schemeClr val="accent3">
            <a:hueOff val="3750088"/>
            <a:satOff val="-5627"/>
            <a:lumOff val="-915"/>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7780" tIns="13335" rIns="17780" bIns="13335" numCol="1" spcCol="1270" anchor="ctr" anchorCtr="0">
          <a:noAutofit/>
        </a:bodyPr>
        <a:lstStyle/>
        <a:p>
          <a:pPr lvl="0" algn="ctr" defTabSz="311150">
            <a:lnSpc>
              <a:spcPct val="90000"/>
            </a:lnSpc>
            <a:spcBef>
              <a:spcPct val="0"/>
            </a:spcBef>
            <a:spcAft>
              <a:spcPct val="35000"/>
            </a:spcAft>
          </a:pPr>
          <a:r>
            <a:rPr lang="es-CO" sz="700" kern="1200">
              <a:latin typeface="Arial" panose="020B0604020202020204" pitchFamily="34" charset="0"/>
              <a:cs typeface="Arial" panose="020B0604020202020204" pitchFamily="34" charset="0"/>
            </a:rPr>
            <a:t>Su aplicación obligatoria está asociada a situaciones específicas establecidas en la normativa, entre ellas la atención de víctimas de accidentes de tránsito y determinados eventos catastróficos, así como la atención inicial de urgencias cuando no existe un acuerdo previo entre las partes. Para otros procesos de contratación, puede utilizarse como referente cuando así se establezca en el acuerdo de voluntades.</a:t>
          </a:r>
          <a:endParaRPr lang="en-US" sz="700" kern="1200">
            <a:latin typeface="Arial" panose="020B0604020202020204" pitchFamily="34" charset="0"/>
            <a:cs typeface="Arial" panose="020B0604020202020204" pitchFamily="34" charset="0"/>
          </a:endParaRPr>
        </a:p>
      </dsp:txBody>
      <dsp:txXfrm>
        <a:off x="337794" y="1842023"/>
        <a:ext cx="2428997" cy="795800"/>
      </dsp:txXfrm>
    </dsp:sp>
    <dsp:sp modelId="{DE6B8FBC-D5EF-4416-ACCA-05879E5E79A8}">
      <dsp:nvSpPr>
        <dsp:cNvPr id="0" name=""/>
        <dsp:cNvSpPr/>
      </dsp:nvSpPr>
      <dsp:spPr>
        <a:xfrm>
          <a:off x="3333725" y="0"/>
          <a:ext cx="3098143" cy="2803584"/>
        </a:xfrm>
        <a:prstGeom prst="roundRect">
          <a:avLst>
            <a:gd name="adj" fmla="val 10000"/>
          </a:avLst>
        </a:prstGeom>
        <a:solidFill>
          <a:schemeClr val="accent3">
            <a:tint val="40000"/>
            <a:hueOff val="0"/>
            <a:satOff val="0"/>
            <a:lumOff val="0"/>
            <a:alphaOff val="0"/>
          </a:schemeClr>
        </a:solidFill>
        <a:ln>
          <a:noFill/>
        </a:ln>
        <a:effectLst/>
      </dsp:spPr>
      <dsp:style>
        <a:lnRef idx="0">
          <a:scrgbClr r="0" g="0" b="0"/>
        </a:lnRef>
        <a:fillRef idx="1">
          <a:scrgbClr r="0" g="0" b="0"/>
        </a:fillRef>
        <a:effectRef idx="0">
          <a:scrgbClr r="0" g="0" b="0"/>
        </a:effectRef>
        <a:fontRef idx="minor"/>
      </dsp:style>
      <dsp:txBody>
        <a:bodyPr spcFirstLastPara="0" vert="horz" wrap="square" lIns="91440" tIns="91440" rIns="91440" bIns="91440" numCol="1" spcCol="1270" anchor="ctr" anchorCtr="0">
          <a:noAutofit/>
        </a:bodyPr>
        <a:lstStyle/>
        <a:p>
          <a:pPr lvl="0" algn="ctr" defTabSz="1066800">
            <a:lnSpc>
              <a:spcPct val="90000"/>
            </a:lnSpc>
            <a:spcBef>
              <a:spcPct val="0"/>
            </a:spcBef>
            <a:spcAft>
              <a:spcPct val="35000"/>
            </a:spcAft>
          </a:pPr>
          <a:r>
            <a:rPr lang="es-CO" sz="2400" kern="1200">
              <a:latin typeface="Arial" panose="020B0604020202020204" pitchFamily="34" charset="0"/>
              <a:cs typeface="Arial" panose="020B0604020202020204" pitchFamily="34" charset="0"/>
            </a:rPr>
            <a:t>Manual Tarifario ISS 2001</a:t>
          </a:r>
          <a:endParaRPr lang="en-US" sz="2400" kern="1200">
            <a:latin typeface="Arial" panose="020B0604020202020204" pitchFamily="34" charset="0"/>
            <a:cs typeface="Arial" panose="020B0604020202020204" pitchFamily="34" charset="0"/>
          </a:endParaRPr>
        </a:p>
      </dsp:txBody>
      <dsp:txXfrm>
        <a:off x="3333725" y="0"/>
        <a:ext cx="3098143" cy="841075"/>
      </dsp:txXfrm>
    </dsp:sp>
    <dsp:sp modelId="{93CC2AFA-B8DB-42BD-880F-83C56682AD12}">
      <dsp:nvSpPr>
        <dsp:cNvPr id="0" name=""/>
        <dsp:cNvSpPr/>
      </dsp:nvSpPr>
      <dsp:spPr>
        <a:xfrm>
          <a:off x="3643539" y="841896"/>
          <a:ext cx="2478515" cy="845318"/>
        </a:xfrm>
        <a:prstGeom prst="roundRect">
          <a:avLst>
            <a:gd name="adj" fmla="val 10000"/>
          </a:avLst>
        </a:prstGeom>
        <a:solidFill>
          <a:schemeClr val="accent3">
            <a:hueOff val="7500176"/>
            <a:satOff val="-11253"/>
            <a:lumOff val="-183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7780" tIns="13335" rIns="17780" bIns="13335" numCol="1" spcCol="1270" anchor="ctr" anchorCtr="0">
          <a:noAutofit/>
        </a:bodyPr>
        <a:lstStyle/>
        <a:p>
          <a:pPr lvl="0" algn="ctr" defTabSz="311150">
            <a:lnSpc>
              <a:spcPct val="90000"/>
            </a:lnSpc>
            <a:spcBef>
              <a:spcPct val="0"/>
            </a:spcBef>
            <a:spcAft>
              <a:spcPct val="35000"/>
            </a:spcAft>
          </a:pPr>
          <a:r>
            <a:rPr lang="es-CO" sz="700" kern="1200">
              <a:latin typeface="Arial" panose="020B0604020202020204" pitchFamily="34" charset="0"/>
              <a:cs typeface="Arial" panose="020B0604020202020204" pitchFamily="34" charset="0"/>
            </a:rPr>
            <a:t>El denominado Manual Tarifario ISS 2001 corresponde a un referente histórico utilizado en procesos de negociación de servicios de salud. Aunque no ha tenido una actualización oficial posterior a su expedición, puede encontrarse como referencia en algunos procesos de contratación cuando las partes acuerdan utilizarlo.</a:t>
          </a:r>
          <a:endParaRPr lang="en-US" sz="700" kern="1200">
            <a:latin typeface="Arial" panose="020B0604020202020204" pitchFamily="34" charset="0"/>
            <a:cs typeface="Arial" panose="020B0604020202020204" pitchFamily="34" charset="0"/>
          </a:endParaRPr>
        </a:p>
      </dsp:txBody>
      <dsp:txXfrm>
        <a:off x="3668298" y="866655"/>
        <a:ext cx="2428997" cy="795800"/>
      </dsp:txXfrm>
    </dsp:sp>
    <dsp:sp modelId="{65A05116-7DDF-4DD3-8A6A-CAEE40B1D8FA}">
      <dsp:nvSpPr>
        <dsp:cNvPr id="0" name=""/>
        <dsp:cNvSpPr/>
      </dsp:nvSpPr>
      <dsp:spPr>
        <a:xfrm>
          <a:off x="3643539" y="1817264"/>
          <a:ext cx="2478515" cy="845318"/>
        </a:xfrm>
        <a:prstGeom prst="roundRect">
          <a:avLst>
            <a:gd name="adj" fmla="val 10000"/>
          </a:avLst>
        </a:prstGeom>
        <a:solidFill>
          <a:schemeClr val="accent3">
            <a:hueOff val="11250264"/>
            <a:satOff val="-16880"/>
            <a:lumOff val="-2745"/>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7780" tIns="13335" rIns="17780" bIns="13335" numCol="1" spcCol="1270" anchor="ctr" anchorCtr="0">
          <a:noAutofit/>
        </a:bodyPr>
        <a:lstStyle/>
        <a:p>
          <a:pPr lvl="0" algn="ctr" defTabSz="311150">
            <a:lnSpc>
              <a:spcPct val="90000"/>
            </a:lnSpc>
            <a:spcBef>
              <a:spcPct val="0"/>
            </a:spcBef>
            <a:spcAft>
              <a:spcPct val="35000"/>
            </a:spcAft>
          </a:pPr>
          <a:r>
            <a:rPr lang="es-CO" sz="700" kern="1200">
              <a:latin typeface="Arial" panose="020B0604020202020204" pitchFamily="34" charset="0"/>
              <a:cs typeface="Arial" panose="020B0604020202020204" pitchFamily="34" charset="0"/>
            </a:rPr>
            <a:t>Es importante diferenciar entre un manual utilizado como referente de negociación y una tarifa de aplicación obligatoria. La utilización de un manual como referente depende de las condiciones pactadas por las partes y del marco normativo aplicable al acuerdo.</a:t>
          </a:r>
          <a:endParaRPr lang="en-US" sz="700" kern="1200">
            <a:latin typeface="Arial" panose="020B0604020202020204" pitchFamily="34" charset="0"/>
            <a:cs typeface="Arial" panose="020B0604020202020204" pitchFamily="34" charset="0"/>
          </a:endParaRPr>
        </a:p>
      </dsp:txBody>
      <dsp:txXfrm>
        <a:off x="3668298" y="1842023"/>
        <a:ext cx="2428997" cy="795800"/>
      </dsp:txXfrm>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A14922B-BEB7-4722-922B-8801EC2A1C76}">
      <dsp:nvSpPr>
        <dsp:cNvPr id="0" name=""/>
        <dsp:cNvSpPr/>
      </dsp:nvSpPr>
      <dsp:spPr>
        <a:xfrm>
          <a:off x="1219" y="30821"/>
          <a:ext cx="1934548" cy="1332903"/>
        </a:xfrm>
        <a:prstGeom prst="roundRect">
          <a:avLst/>
        </a:prstGeom>
        <a:blipFill rotWithShape="1">
          <a:blip xmlns:r="http://schemas.openxmlformats.org/officeDocument/2006/relationships" r:embed="rId1"/>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sp>
    <dsp:sp modelId="{F9D5138B-BC8D-4F6B-8CFE-1EF9926023EB}">
      <dsp:nvSpPr>
        <dsp:cNvPr id="0" name=""/>
        <dsp:cNvSpPr/>
      </dsp:nvSpPr>
      <dsp:spPr>
        <a:xfrm>
          <a:off x="1219" y="1363724"/>
          <a:ext cx="1934548" cy="717717"/>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64008" tIns="64008" rIns="64008" bIns="0" numCol="1" spcCol="1270" anchor="t" anchorCtr="0">
          <a:noAutofit/>
        </a:bodyPr>
        <a:lstStyle/>
        <a:p>
          <a:pPr lvl="0" algn="ctr" defTabSz="400050">
            <a:lnSpc>
              <a:spcPct val="90000"/>
            </a:lnSpc>
            <a:spcBef>
              <a:spcPct val="0"/>
            </a:spcBef>
            <a:spcAft>
              <a:spcPct val="35000"/>
            </a:spcAft>
          </a:pPr>
          <a:r>
            <a:rPr lang="es-CO" sz="900" b="1" kern="1200">
              <a:latin typeface="Arial" panose="020B0604020202020204" pitchFamily="34" charset="0"/>
              <a:cs typeface="Arial" panose="020B0604020202020204" pitchFamily="34" charset="0"/>
            </a:rPr>
            <a:t>Técnica:</a:t>
          </a:r>
          <a:r>
            <a:rPr lang="es-CO" sz="900" kern="1200">
              <a:latin typeface="Arial" panose="020B0604020202020204" pitchFamily="34" charset="0"/>
              <a:cs typeface="Arial" panose="020B0604020202020204" pitchFamily="34" charset="0"/>
            </a:rPr>
            <a:t> se fundamenta en información poblacional, epidemiológica, asistencial y económica.</a:t>
          </a:r>
          <a:endParaRPr lang="es-ES" sz="900" kern="1200">
            <a:latin typeface="Arial" panose="020B0604020202020204" pitchFamily="34" charset="0"/>
            <a:cs typeface="Arial" panose="020B0604020202020204" pitchFamily="34" charset="0"/>
          </a:endParaRPr>
        </a:p>
      </dsp:txBody>
      <dsp:txXfrm>
        <a:off x="1219" y="1363724"/>
        <a:ext cx="1934548" cy="717717"/>
      </dsp:txXfrm>
    </dsp:sp>
    <dsp:sp modelId="{1EAA460B-704C-4BE8-A941-E6EAE850F1F0}">
      <dsp:nvSpPr>
        <dsp:cNvPr id="0" name=""/>
        <dsp:cNvSpPr/>
      </dsp:nvSpPr>
      <dsp:spPr>
        <a:xfrm>
          <a:off x="2129303" y="30821"/>
          <a:ext cx="1934548" cy="1332903"/>
        </a:xfrm>
        <a:prstGeom prst="roundRect">
          <a:avLst/>
        </a:prstGeom>
        <a:blipFill rotWithShape="1">
          <a:blip xmlns:r="http://schemas.openxmlformats.org/officeDocument/2006/relationships" r:embed="rId2"/>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sp>
    <dsp:sp modelId="{28D7BED6-F0CA-4314-8AF8-DD5C222888C0}">
      <dsp:nvSpPr>
        <dsp:cNvPr id="0" name=""/>
        <dsp:cNvSpPr/>
      </dsp:nvSpPr>
      <dsp:spPr>
        <a:xfrm>
          <a:off x="2129303" y="1363724"/>
          <a:ext cx="1934548" cy="717717"/>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64008" tIns="64008" rIns="64008" bIns="0" numCol="1" spcCol="1270" anchor="t" anchorCtr="0">
          <a:noAutofit/>
        </a:bodyPr>
        <a:lstStyle/>
        <a:p>
          <a:pPr lvl="0" algn="ctr" defTabSz="400050">
            <a:lnSpc>
              <a:spcPct val="90000"/>
            </a:lnSpc>
            <a:spcBef>
              <a:spcPct val="0"/>
            </a:spcBef>
            <a:spcAft>
              <a:spcPct val="35000"/>
            </a:spcAft>
          </a:pPr>
          <a:r>
            <a:rPr lang="es-CO" sz="900" b="1" kern="1200">
              <a:latin typeface="Arial" panose="020B0604020202020204" pitchFamily="34" charset="0"/>
              <a:cs typeface="Arial" panose="020B0604020202020204" pitchFamily="34" charset="0"/>
            </a:rPr>
            <a:t>Estimativa:</a:t>
          </a:r>
          <a:r>
            <a:rPr lang="es-CO" sz="900" kern="1200">
              <a:latin typeface="Arial" panose="020B0604020202020204" pitchFamily="34" charset="0"/>
              <a:cs typeface="Arial" panose="020B0604020202020204" pitchFamily="34" charset="0"/>
            </a:rPr>
            <a:t> utiliza información disponible para proyectar frecuencias, costos y valores esperados.</a:t>
          </a:r>
          <a:endParaRPr lang="en-US" sz="900" kern="1200">
            <a:latin typeface="Arial" panose="020B0604020202020204" pitchFamily="34" charset="0"/>
            <a:cs typeface="Arial" panose="020B0604020202020204" pitchFamily="34" charset="0"/>
          </a:endParaRPr>
        </a:p>
      </dsp:txBody>
      <dsp:txXfrm>
        <a:off x="2129303" y="1363724"/>
        <a:ext cx="1934548" cy="717717"/>
      </dsp:txXfrm>
    </dsp:sp>
    <dsp:sp modelId="{B58A2E27-E60A-4A82-9604-5B0648562ED6}">
      <dsp:nvSpPr>
        <dsp:cNvPr id="0" name=""/>
        <dsp:cNvSpPr/>
      </dsp:nvSpPr>
      <dsp:spPr>
        <a:xfrm>
          <a:off x="4257387" y="30821"/>
          <a:ext cx="1934548" cy="1332903"/>
        </a:xfrm>
        <a:prstGeom prst="roundRect">
          <a:avLst/>
        </a:prstGeom>
        <a:blipFill rotWithShape="1">
          <a:blip xmlns:r="http://schemas.openxmlformats.org/officeDocument/2006/relationships" r:embed="rId3"/>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sp>
    <dsp:sp modelId="{2412C798-3A20-44AC-B9B5-00B9A953CDAF}">
      <dsp:nvSpPr>
        <dsp:cNvPr id="0" name=""/>
        <dsp:cNvSpPr/>
      </dsp:nvSpPr>
      <dsp:spPr>
        <a:xfrm>
          <a:off x="4257387" y="1363724"/>
          <a:ext cx="1934548" cy="717717"/>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64008" tIns="64008" rIns="64008" bIns="0" numCol="1" spcCol="1270" anchor="t" anchorCtr="0">
          <a:noAutofit/>
        </a:bodyPr>
        <a:lstStyle/>
        <a:p>
          <a:pPr lvl="0" algn="ctr" defTabSz="400050">
            <a:lnSpc>
              <a:spcPct val="90000"/>
            </a:lnSpc>
            <a:spcBef>
              <a:spcPct val="0"/>
            </a:spcBef>
            <a:spcAft>
              <a:spcPct val="35000"/>
            </a:spcAft>
          </a:pPr>
          <a:r>
            <a:rPr lang="es-CO" sz="900" b="1" kern="1200">
              <a:latin typeface="Arial" panose="020B0604020202020204" pitchFamily="34" charset="0"/>
              <a:cs typeface="Arial" panose="020B0604020202020204" pitchFamily="34" charset="0"/>
            </a:rPr>
            <a:t>Detallada:</a:t>
          </a:r>
          <a:r>
            <a:rPr lang="es-CO" sz="900" kern="1200">
              <a:latin typeface="Arial" panose="020B0604020202020204" pitchFamily="34" charset="0"/>
              <a:cs typeface="Arial" panose="020B0604020202020204" pitchFamily="34" charset="0"/>
            </a:rPr>
            <a:t> relaciona los servicios y tecnologías con sus frecuencias y valores.</a:t>
          </a:r>
          <a:endParaRPr lang="en-US" sz="900" kern="1200">
            <a:latin typeface="Arial" panose="020B0604020202020204" pitchFamily="34" charset="0"/>
            <a:cs typeface="Arial" panose="020B0604020202020204" pitchFamily="34" charset="0"/>
          </a:endParaRPr>
        </a:p>
      </dsp:txBody>
      <dsp:txXfrm>
        <a:off x="4257387" y="1363724"/>
        <a:ext cx="1934548" cy="717717"/>
      </dsp:txXfrm>
    </dsp:sp>
    <dsp:sp modelId="{52B428EB-8263-46C2-AD71-974B563A53BC}">
      <dsp:nvSpPr>
        <dsp:cNvPr id="0" name=""/>
        <dsp:cNvSpPr/>
      </dsp:nvSpPr>
      <dsp:spPr>
        <a:xfrm>
          <a:off x="1219" y="2274896"/>
          <a:ext cx="1934548" cy="1332903"/>
        </a:xfrm>
        <a:prstGeom prst="roundRect">
          <a:avLst/>
        </a:prstGeom>
        <a:blipFill rotWithShape="1">
          <a:blip xmlns:r="http://schemas.openxmlformats.org/officeDocument/2006/relationships" r:embed="rId4"/>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sp>
    <dsp:sp modelId="{CB913D63-EE93-4E53-85F3-B7951D96E51A}">
      <dsp:nvSpPr>
        <dsp:cNvPr id="0" name=""/>
        <dsp:cNvSpPr/>
      </dsp:nvSpPr>
      <dsp:spPr>
        <a:xfrm>
          <a:off x="1219" y="3607800"/>
          <a:ext cx="1934548" cy="717717"/>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64008" tIns="64008" rIns="64008" bIns="0" numCol="1" spcCol="1270" anchor="t" anchorCtr="0">
          <a:noAutofit/>
        </a:bodyPr>
        <a:lstStyle/>
        <a:p>
          <a:pPr lvl="0" algn="ctr" defTabSz="400050">
            <a:lnSpc>
              <a:spcPct val="90000"/>
            </a:lnSpc>
            <a:spcBef>
              <a:spcPct val="0"/>
            </a:spcBef>
            <a:spcAft>
              <a:spcPct val="35000"/>
            </a:spcAft>
          </a:pPr>
          <a:r>
            <a:rPr lang="es-CO" sz="900" b="1" kern="1200">
              <a:latin typeface="Arial" panose="020B0604020202020204" pitchFamily="34" charset="0"/>
              <a:cs typeface="Arial" panose="020B0604020202020204" pitchFamily="34" charset="0"/>
            </a:rPr>
            <a:t>Relacionada con la población:</a:t>
          </a:r>
          <a:r>
            <a:rPr lang="es-CO" sz="900" kern="1200">
              <a:latin typeface="Arial" panose="020B0604020202020204" pitchFamily="34" charset="0"/>
              <a:cs typeface="Arial" panose="020B0604020202020204" pitchFamily="34" charset="0"/>
            </a:rPr>
            <a:t> las estimaciones corresponden a una población o grupo de riesgo determinado.</a:t>
          </a:r>
          <a:endParaRPr lang="en-US" sz="900" kern="1200">
            <a:latin typeface="Arial" panose="020B0604020202020204" pitchFamily="34" charset="0"/>
            <a:cs typeface="Arial" panose="020B0604020202020204" pitchFamily="34" charset="0"/>
          </a:endParaRPr>
        </a:p>
      </dsp:txBody>
      <dsp:txXfrm>
        <a:off x="1219" y="3607800"/>
        <a:ext cx="1934548" cy="717717"/>
      </dsp:txXfrm>
    </dsp:sp>
    <dsp:sp modelId="{9C9042A8-96EF-4B95-8484-4CCF157F43F4}">
      <dsp:nvSpPr>
        <dsp:cNvPr id="0" name=""/>
        <dsp:cNvSpPr/>
      </dsp:nvSpPr>
      <dsp:spPr>
        <a:xfrm>
          <a:off x="2129303" y="2274896"/>
          <a:ext cx="1934548" cy="1332903"/>
        </a:xfrm>
        <a:prstGeom prst="roundRect">
          <a:avLst/>
        </a:prstGeom>
        <a:blipFill rotWithShape="1">
          <a:blip xmlns:r="http://schemas.openxmlformats.org/officeDocument/2006/relationships" r:embed="rId5"/>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sp>
    <dsp:sp modelId="{0BD30D02-6D53-40F7-B0C0-5713144E2C53}">
      <dsp:nvSpPr>
        <dsp:cNvPr id="0" name=""/>
        <dsp:cNvSpPr/>
      </dsp:nvSpPr>
      <dsp:spPr>
        <a:xfrm>
          <a:off x="2129303" y="3607800"/>
          <a:ext cx="1934548" cy="717717"/>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64008" tIns="64008" rIns="64008" bIns="0" numCol="1" spcCol="1270" anchor="t" anchorCtr="0">
          <a:noAutofit/>
        </a:bodyPr>
        <a:lstStyle/>
        <a:p>
          <a:pPr lvl="0" algn="ctr" defTabSz="400050">
            <a:lnSpc>
              <a:spcPct val="90000"/>
            </a:lnSpc>
            <a:spcBef>
              <a:spcPct val="0"/>
            </a:spcBef>
            <a:spcAft>
              <a:spcPct val="35000"/>
            </a:spcAft>
          </a:pPr>
          <a:r>
            <a:rPr lang="es-CO" sz="900" b="1" kern="1200">
              <a:latin typeface="Arial" panose="020B0604020202020204" pitchFamily="34" charset="0"/>
              <a:cs typeface="Arial" panose="020B0604020202020204" pitchFamily="34" charset="0"/>
            </a:rPr>
            <a:t>Vinculada al acuerdo de voluntades:</a:t>
          </a:r>
          <a:r>
            <a:rPr lang="es-CO" sz="900" kern="1200">
              <a:latin typeface="Arial" panose="020B0604020202020204" pitchFamily="34" charset="0"/>
              <a:cs typeface="Arial" panose="020B0604020202020204" pitchFamily="34" charset="0"/>
            </a:rPr>
            <a:t> sus elementos deben guardar correspondencia con las condiciones y modalidad de pago pactadas.</a:t>
          </a:r>
          <a:endParaRPr lang="en-US" sz="900" kern="1200">
            <a:latin typeface="Arial" panose="020B0604020202020204" pitchFamily="34" charset="0"/>
            <a:cs typeface="Arial" panose="020B0604020202020204" pitchFamily="34" charset="0"/>
          </a:endParaRPr>
        </a:p>
      </dsp:txBody>
      <dsp:txXfrm>
        <a:off x="2129303" y="3607800"/>
        <a:ext cx="1934548" cy="717717"/>
      </dsp:txXfrm>
    </dsp:sp>
    <dsp:sp modelId="{55FB6076-2A6C-44C2-8EAB-1BBF35F2346E}">
      <dsp:nvSpPr>
        <dsp:cNvPr id="0" name=""/>
        <dsp:cNvSpPr/>
      </dsp:nvSpPr>
      <dsp:spPr>
        <a:xfrm>
          <a:off x="4257387" y="2274896"/>
          <a:ext cx="1934548" cy="1332903"/>
        </a:xfrm>
        <a:prstGeom prst="roundRect">
          <a:avLst/>
        </a:prstGeom>
        <a:blipFill rotWithShape="1">
          <a:blip xmlns:r="http://schemas.openxmlformats.org/officeDocument/2006/relationships" r:embed="rId6"/>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sp>
    <dsp:sp modelId="{52F1023F-C1C5-48CF-A092-9AF3E68DD56A}">
      <dsp:nvSpPr>
        <dsp:cNvPr id="0" name=""/>
        <dsp:cNvSpPr/>
      </dsp:nvSpPr>
      <dsp:spPr>
        <a:xfrm>
          <a:off x="4257387" y="3607800"/>
          <a:ext cx="1934548" cy="717717"/>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64008" tIns="64008" rIns="64008" bIns="0" numCol="1" spcCol="1270" anchor="t" anchorCtr="0">
          <a:noAutofit/>
        </a:bodyPr>
        <a:lstStyle/>
        <a:p>
          <a:pPr lvl="0" algn="ctr" defTabSz="400050">
            <a:lnSpc>
              <a:spcPct val="90000"/>
            </a:lnSpc>
            <a:spcBef>
              <a:spcPct val="0"/>
            </a:spcBef>
            <a:spcAft>
              <a:spcPct val="35000"/>
            </a:spcAft>
          </a:pPr>
          <a:r>
            <a:rPr lang="es-CO" sz="900" b="1" kern="1200">
              <a:latin typeface="Arial" panose="020B0604020202020204" pitchFamily="34" charset="0"/>
              <a:cs typeface="Arial" panose="020B0604020202020204" pitchFamily="34" charset="0"/>
            </a:rPr>
            <a:t>Útil para el seguimiento:</a:t>
          </a:r>
          <a:r>
            <a:rPr lang="es-CO" sz="900" kern="1200">
              <a:latin typeface="Arial" panose="020B0604020202020204" pitchFamily="34" charset="0"/>
              <a:cs typeface="Arial" panose="020B0604020202020204" pitchFamily="34" charset="0"/>
            </a:rPr>
            <a:t> permite comparar el comportamiento observado durante la ejecución con las estimaciones realizadas.</a:t>
          </a:r>
          <a:endParaRPr lang="en-US" sz="900" kern="1200">
            <a:latin typeface="Arial" panose="020B0604020202020204" pitchFamily="34" charset="0"/>
            <a:cs typeface="Arial" panose="020B0604020202020204" pitchFamily="34" charset="0"/>
          </a:endParaRPr>
        </a:p>
      </dsp:txBody>
      <dsp:txXfrm>
        <a:off x="4257387" y="3607800"/>
        <a:ext cx="1934548" cy="717717"/>
      </dsp:txXfrm>
    </dsp:sp>
  </dsp:spTree>
</dsp:drawing>
</file>

<file path=word/diagrams/layout1.xml><?xml version="1.0" encoding="utf-8"?>
<dgm:layoutDef xmlns:dgm="http://schemas.openxmlformats.org/drawingml/2006/diagram" xmlns:a="http://schemas.openxmlformats.org/drawingml/2006/main" uniqueId="urn:microsoft.com/office/officeart/2005/8/layout/pList2">
  <dgm:title val=""/>
  <dgm:desc val=""/>
  <dgm:catLst>
    <dgm:cat type="list" pri="11000"/>
    <dgm:cat type="picture" pri="24000"/>
    <dgm:cat type="pictureconvert" pri="24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alg type="composite"/>
    <dgm:shape xmlns:r="http://schemas.openxmlformats.org/officeDocument/2006/relationships" r:blip="">
      <dgm:adjLst/>
    </dgm:shape>
    <dgm:presOf/>
    <dgm:constrLst>
      <dgm:constr type="w" for="ch" forName="bkgdShp" refType="w"/>
      <dgm:constr type="h" for="ch" forName="bkgdShp" refType="h" fact="0.45"/>
      <dgm:constr type="t" for="ch" forName="bkgdShp"/>
      <dgm:constr type="w" for="ch" forName="linComp" refType="w" fact="0.94"/>
      <dgm:constr type="h" for="ch" forName="linComp" refType="h"/>
      <dgm:constr type="ctrX" for="ch" forName="linComp" refType="w" fact="0.5"/>
    </dgm:constrLst>
    <dgm:ruleLst/>
    <dgm:choose name="Name1">
      <dgm:if name="Name2" axis="ch" ptType="node" func="cnt" op="gte" val="1">
        <dgm:layoutNode name="bkgdShp" styleLbl="alignAccFollowNode1">
          <dgm:alg type="sp"/>
          <dgm:shape xmlns:r="http://schemas.openxmlformats.org/officeDocument/2006/relationships" type="roundRect" r:blip="">
            <dgm:adjLst>
              <dgm:adj idx="1" val="0.1"/>
            </dgm:adjLst>
          </dgm:shape>
          <dgm:presOf/>
          <dgm:constrLst/>
          <dgm:ruleLst/>
        </dgm:layoutNode>
        <dgm:layoutNode name="linComp">
          <dgm:choose name="Name3">
            <dgm:if name="Name4" func="var" arg="dir" op="equ" val="norm">
              <dgm:alg type="lin"/>
            </dgm:if>
            <dgm:else name="Name5">
              <dgm:alg type="lin">
                <dgm:param type="linDir" val="fromR"/>
              </dgm:alg>
            </dgm:else>
          </dgm:choose>
          <dgm:shape xmlns:r="http://schemas.openxmlformats.org/officeDocument/2006/relationships" r:blip="">
            <dgm:adjLst/>
          </dgm:shape>
          <dgm:presOf/>
          <dgm:constrLst>
            <dgm:constr type="w" for="ch" forName="compNode" refType="w"/>
            <dgm:constr type="h" for="ch" forName="compNode" refType="h"/>
            <dgm:constr type="w" for="ch" ptType="sibTrans" refType="w" refFor="ch" refForName="compNode" fact="0.1"/>
            <dgm:constr type="h" for="ch" ptType="sibTrans" op="equ"/>
            <dgm:constr type="h" for="ch" forName="compNode" op="equ"/>
            <dgm:constr type="primFontSz" for="des" forName="node" op="equ"/>
          </dgm:constrLst>
          <dgm:ruleLst/>
          <dgm:forEach name="nodesForEach" axis="ch" ptType="node">
            <dgm:layoutNode name="compNode">
              <dgm:alg type="composite"/>
              <dgm:shape xmlns:r="http://schemas.openxmlformats.org/officeDocument/2006/relationships" r:blip="">
                <dgm:adjLst/>
              </dgm:shape>
              <dgm:presOf/>
              <dgm:constrLst>
                <dgm:constr type="w" for="ch" forName="node" refType="w"/>
                <dgm:constr type="h" for="ch" forName="node" refType="h" fact="0.55"/>
                <dgm:constr type="b" for="ch" forName="node" refType="h"/>
                <dgm:constr type="w" for="ch" forName="invisiNode" refType="w" fact="0.75"/>
                <dgm:constr type="h" for="ch" forName="invisiNode" refType="h" fact="0.06"/>
                <dgm:constr type="t" for="ch" forName="invisiNode"/>
                <dgm:constr type="w" for="ch" forName="imagNode" refType="w"/>
                <dgm:constr type="h" for="ch" forName="imagNode" refType="h" fact="0.33"/>
                <dgm:constr type="ctrX" for="ch" forName="imagNode" refType="w" fact="0.5"/>
                <dgm:constr type="t" for="ch" forName="imagNode" refType="h" fact="0.06"/>
              </dgm:constrLst>
              <dgm:ruleLst/>
              <dgm:layoutNode name="node" styleLbl="node1">
                <dgm:varLst>
                  <dgm:bulletEnabled val="1"/>
                </dgm:varLst>
                <dgm:alg type="tx">
                  <dgm:param type="txAnchorVert" val="t"/>
                </dgm:alg>
                <dgm:shape xmlns:r="http://schemas.openxmlformats.org/officeDocument/2006/relationships" rot="180" type="round2SameRect" r:blip="">
                  <dgm:adjLst>
                    <dgm:adj idx="1" val="0.105"/>
                  </dgm:adjLst>
                </dgm:shape>
                <dgm:presOf axis="desOrSelf" ptType="node"/>
                <dgm:constrLst>
                  <dgm:constr type="primFontSz" val="65"/>
                </dgm:constrLst>
                <dgm:ruleLst>
                  <dgm:rule type="primFontSz" val="5" fact="NaN" max="NaN"/>
                </dgm:ruleLst>
              </dgm:layoutNode>
              <dgm:layoutNode name="invisiNode">
                <dgm:alg type="sp"/>
                <dgm:shape xmlns:r="http://schemas.openxmlformats.org/officeDocument/2006/relationships" type="roundRect" r:blip="" hideGeom="1">
                  <dgm:adjLst>
                    <dgm:adj idx="1" val="0.1"/>
                  </dgm:adjLst>
                </dgm:shape>
                <dgm:presOf/>
                <dgm:constrLst/>
                <dgm:ruleLst/>
              </dgm:layoutNode>
              <dgm:layoutNode name="imagNode" styleLbl="fgImgPlace1">
                <dgm:alg type="sp"/>
                <dgm:shape xmlns:r="http://schemas.openxmlformats.org/officeDocument/2006/relationships" type="roundRect" r:blip="" zOrderOff="-2" blipPhldr="1">
                  <dgm:adjLst>
                    <dgm:adj idx="1" val="0.1"/>
                  </dgm:adjLst>
                </dgm:shape>
                <dgm:presOf/>
                <dgm:constrLst/>
                <dgm:ruleLst/>
              </dgm:layoutNode>
            </dgm:layoutNode>
            <dgm:forEach name="sibTransForEach" axis="followSib" ptType="sibTrans" cnt="1">
              <dgm:layoutNode name="sibTrans">
                <dgm:alg type="sp"/>
                <dgm:shape xmlns:r="http://schemas.openxmlformats.org/officeDocument/2006/relationships" type="rect" r:blip="" hideGeom="1">
                  <dgm:adjLst/>
                </dgm:shape>
                <dgm:presOf axis="self"/>
                <dgm:constrLst/>
                <dgm:ruleLst/>
              </dgm:layoutNode>
            </dgm:forEach>
          </dgm:forEach>
        </dgm:layoutNode>
      </dgm:if>
      <dgm:else name="Name6"/>
    </dgm:choose>
  </dgm:layoutNode>
</dgm:layoutDef>
</file>

<file path=word/diagrams/layout2.xml><?xml version="1.0" encoding="utf-8"?>
<dgm:layoutDef xmlns:dgm="http://schemas.openxmlformats.org/drawingml/2006/diagram" xmlns:a="http://schemas.openxmlformats.org/drawingml/2006/main" uniqueId="urn:microsoft.com/office/officeart/2009/3/layout/SnapshotPictureList">
  <dgm:title val=""/>
  <dgm:desc val=""/>
  <dgm:catLst>
    <dgm:cat type="picture" pri="3000"/>
    <dgm:cat type="pictureconvert" pri="3000"/>
  </dgm:catLst>
  <dgm:sampData>
    <dgm:dataModel>
      <dgm:ptLst>
        <dgm:pt modelId="0" type="doc"/>
        <dgm:pt modelId="10">
          <dgm:prSet phldr="1"/>
        </dgm:pt>
        <dgm:pt modelId="11">
          <dgm:prSet phldr="1"/>
        </dgm:pt>
      </dgm:ptLst>
      <dgm:cxnLst>
        <dgm:cxn modelId="40" srcId="0" destId="10" srcOrd="0" destOrd="0"/>
        <dgm:cxn modelId="12" srcId="10" destId="11" srcOrd="0" destOrd="0"/>
      </dgm:cxnLst>
      <dgm:bg/>
      <dgm:whole/>
    </dgm:dataModel>
  </dgm:sampData>
  <dgm:styleData>
    <dgm:dataModel>
      <dgm:ptLst>
        <dgm:pt modelId="0" type="doc"/>
        <dgm:pt modelId="10">
          <dgm:prSet phldr="1"/>
        </dgm:pt>
        <dgm:pt modelId="11">
          <dgm:prSet phldr="1"/>
        </dgm:pt>
      </dgm:ptLst>
      <dgm:cxnLst>
        <dgm:cxn modelId="40" srcId="0" destId="10" srcOrd="0" destOrd="0"/>
        <dgm:cxn modelId="12" srcId="10" destId="11" srcOrd="0" destOrd="0"/>
      </dgm:cxnLst>
      <dgm:bg/>
      <dgm:whole/>
    </dgm:dataModel>
  </dgm:styleData>
  <dgm:clrData>
    <dgm:dataModel>
      <dgm:ptLst>
        <dgm:pt modelId="0" type="doc"/>
        <dgm:pt modelId="10">
          <dgm:prSet phldr="1"/>
        </dgm:pt>
        <dgm:pt modelId="11">
          <dgm:prSet phldr="1"/>
        </dgm:pt>
      </dgm:ptLst>
      <dgm:cxnLst>
        <dgm:cxn modelId="40" srcId="0" destId="10" srcOrd="0" destOrd="0"/>
        <dgm:cxn modelId="12" srcId="10" destId="11" srcOrd="0" destOrd="0"/>
      </dgm:cxnLst>
      <dgm:bg/>
      <dgm:whole/>
    </dgm:dataModel>
  </dgm:clrData>
  <dgm:layoutNode name="Name0">
    <dgm:varLst>
      <dgm:chMax/>
      <dgm:chPref/>
      <dgm:dir/>
      <dgm:animLvl val="lvl"/>
    </dgm:varLst>
    <dgm:alg type="snake">
      <dgm:param type="grDir" val="tL"/>
      <dgm:param type="flowDir" val="col"/>
    </dgm:alg>
    <dgm:shape xmlns:r="http://schemas.openxmlformats.org/officeDocument/2006/relationships" r:blip="">
      <dgm:adjLst/>
    </dgm:shape>
    <dgm:constrLst>
      <dgm:constr type="primFontSz" for="des" forName="ChildText" refType="primFontSz" refFor="des" refForName="ParentText" op="lte"/>
      <dgm:constr type="w" for="ch" forName="composite" refType="w"/>
      <dgm:constr type="h" for="ch" forName="composite" refType="h"/>
      <dgm:constr type="sp" refType="h" refFor="ch" refForName="composite" op="equ" fact="0.1"/>
      <dgm:constr type="h" for="ch" forName="sibTrans" refType="h" refFor="ch" refForName="composite" op="equ" fact="0.1"/>
      <dgm:constr type="w" for="ch" forName="sibTrans" refType="h" refFor="ch" refForName="sibTrans" op="equ"/>
    </dgm:constrLst>
    <dgm:forEach name="nodesForEach" axis="ch" ptType="node">
      <dgm:layoutNode name="composite">
        <dgm:alg type="composite">
          <dgm:param type="ar" val="2.0273"/>
        </dgm:alg>
        <dgm:shape xmlns:r="http://schemas.openxmlformats.org/officeDocument/2006/relationships" r:blip="">
          <dgm:adjLst/>
        </dgm:shape>
        <dgm:choose name="Name1">
          <dgm:if name="Name2" func="var" arg="dir" op="equ" val="norm">
            <dgm:constrLst>
              <dgm:constr type="l" for="ch" forName="ParentAccentShape" refType="w" fact="0.0238"/>
              <dgm:constr type="t" for="ch" forName="ParentAccentShape" refType="h" fact="0.107"/>
              <dgm:constr type="w" for="ch" forName="ParentAccentShape" refType="w" fact="0.619"/>
              <dgm:constr type="h" for="ch" forName="ParentAccentShape" refType="h" fact="0.893"/>
              <dgm:constr type="l" for="ch" forName="ParentText" refType="w" fact="0.048"/>
              <dgm:constr type="t" for="ch" forName="ParentText" refType="h" fact="0.845"/>
              <dgm:constr type="w" for="ch" forName="ParentText" refType="w" fact="0.571"/>
              <dgm:constr type="h" for="ch" forName="ParentText" refType="h" fact="0.106"/>
              <dgm:constr type="l" for="ch" forName="ChildText" refType="w" fact="0.668"/>
              <dgm:constr type="t" for="ch" forName="ChildText" refType="h" fact="0.107"/>
              <dgm:constr type="w" for="ch" forName="ChildText" refType="w" fact="0.283"/>
              <dgm:constr type="h" for="ch" forName="ChildText" refType="h" fact="0.893"/>
              <dgm:constr type="l" for="ch" forName="ChildAccentShape" refType="w" fact="0.9762"/>
              <dgm:constr type="t" for="ch" forName="ChildAccentShape" refType="h" fact="0.107"/>
              <dgm:constr type="w" for="ch" forName="ChildAccentShape" refType="w" fact="0.0238"/>
              <dgm:constr type="h" for="ch" forName="ChildAccentShape" refType="h" fact="0.893"/>
              <dgm:constr type="l" for="ch" forName="Image" refType="w" fact="0"/>
              <dgm:constr type="t" for="ch" forName="Image" refType="h" fact="0"/>
              <dgm:constr type="w" for="ch" forName="Image" refType="w" fact="0.5952"/>
              <dgm:constr type="h" for="ch" forName="Image" refType="h" fact="0.8447"/>
            </dgm:constrLst>
          </dgm:if>
          <dgm:else name="Name3">
            <dgm:constrLst>
              <dgm:constr type="l" for="ch" forName="ParentAccentShape" refType="w" fact="0.3572"/>
              <dgm:constr type="t" for="ch" forName="ParentAccentShape" refType="h" fact="0.107"/>
              <dgm:constr type="w" for="ch" forName="ParentAccentShape" refType="w" fact="0.619"/>
              <dgm:constr type="h" for="ch" forName="ParentAccentShape" refType="h" fact="0.893"/>
              <dgm:constr type="l" for="ch" forName="ParentText" refType="w" fact="0.381"/>
              <dgm:constr type="t" for="ch" forName="ParentText" refType="h" fact="0.845"/>
              <dgm:constr type="w" for="ch" forName="ParentText" refType="w" fact="0.571"/>
              <dgm:constr type="h" for="ch" forName="ParentText" refType="h" fact="0.106"/>
              <dgm:constr type="l" for="ch" forName="ChildText" refType="w" fact="0.049"/>
              <dgm:constr type="t" for="ch" forName="ChildText" refType="h" fact="0.107"/>
              <dgm:constr type="w" for="ch" forName="ChildText" refType="w" fact="0.283"/>
              <dgm:constr type="h" for="ch" forName="ChildText" refType="h" fact="0.893"/>
              <dgm:constr type="l" for="ch" forName="ChildAccentShape" refType="w" fact="0"/>
              <dgm:constr type="t" for="ch" forName="ChildAccentShape" refType="h" fact="0.107"/>
              <dgm:constr type="w" for="ch" forName="ChildAccentShape" refType="w" fact="0.0238"/>
              <dgm:constr type="h" for="ch" forName="ChildAccentShape" refType="h" fact="0.893"/>
              <dgm:constr type="l" for="ch" forName="Image" refType="w" fact="0.4048"/>
              <dgm:constr type="t" for="ch" forName="Image" refType="h" fact="0"/>
              <dgm:constr type="w" for="ch" forName="Image" refType="w" fact="0.5952"/>
              <dgm:constr type="h" for="ch" forName="Image" refType="h" fact="0.8447"/>
            </dgm:constrLst>
          </dgm:else>
        </dgm:choose>
        <dgm:layoutNode name="ParentAccentShape" styleLbl="trBgShp">
          <dgm:alg type="sp"/>
          <dgm:shape xmlns:r="http://schemas.openxmlformats.org/officeDocument/2006/relationships" type="frame" r:blip="" zOrderOff="-10">
            <dgm:adjLst>
              <dgm:adj idx="1" val="0.0545"/>
            </dgm:adjLst>
          </dgm:shape>
          <dgm:presOf/>
        </dgm:layoutNode>
        <dgm:layoutNode name="ParentText" styleLbl="revTx">
          <dgm:varLst>
            <dgm:chMax val="1"/>
            <dgm:chPref val="1"/>
            <dgm:bulletEnabled val="1"/>
          </dgm:varLst>
          <dgm:alg type="tx">
            <dgm:param type="parTxLTRAlign" val="l"/>
          </dgm:alg>
          <dgm:shape xmlns:r="http://schemas.openxmlformats.org/officeDocument/2006/relationships" type="rect" r:blip="" zOrderOff="10">
            <dgm:adjLst/>
          </dgm:shape>
          <dgm:presOf axis="self" ptType="node"/>
          <dgm:constrLst>
            <dgm:constr type="lMarg" refType="primFontSz" fact="0.8"/>
            <dgm:constr type="rMarg" refType="primFontSz" fact="0.8"/>
            <dgm:constr type="tMarg" refType="primFontSz" fact="0.3"/>
            <dgm:constr type="bMarg" refType="primFontSz" fact="0.3"/>
          </dgm:constrLst>
          <dgm:ruleLst>
            <dgm:rule type="primFontSz" val="5" fact="NaN" max="NaN"/>
          </dgm:ruleLst>
        </dgm:layoutNode>
        <dgm:layoutNode name="ChildText" styleLbl="revTx">
          <dgm:varLst>
            <dgm:chMax val="0"/>
            <dgm:chPref val="0"/>
          </dgm:varLst>
          <dgm:alg type="tx">
            <dgm:param type="parTxLTRAlign" val="l"/>
            <dgm:param type="txAnchorVert" val="t"/>
          </dgm:alg>
          <dgm:shape xmlns:r="http://schemas.openxmlformats.org/officeDocument/2006/relationships" type="rect" r:blip="" zOrderOff="10">
            <dgm:adjLst/>
          </dgm:shape>
          <dgm:choose name="Name4">
            <dgm:if name="Name5" axis="ch" ptType="node" func="cnt" op="gte" val="1">
              <dgm:presOf axis="des" ptType="node"/>
            </dgm:if>
            <dgm:else name="Name6">
              <dgm:presOf/>
            </dgm:else>
          </dgm:choose>
          <dgm:constrLst>
            <dgm:constr type="lMarg" refType="primFontSz" fact="0"/>
            <dgm:constr type="rMarg" refType="primFontSz" fact="0"/>
            <dgm:constr type="tMarg" refType="primFontSz" fact="0"/>
            <dgm:constr type="bMarg" refType="primFontSz" fact="0"/>
          </dgm:constrLst>
          <dgm:ruleLst>
            <dgm:rule type="primFontSz" val="5" fact="NaN" max="NaN"/>
          </dgm:ruleLst>
        </dgm:layoutNode>
        <dgm:layoutNode name="ChildAccentShape" styleLbl="trBgShp">
          <dgm:alg type="sp"/>
          <dgm:choose name="Name7">
            <dgm:if name="Name8" axis="ch" ptType="node" func="cnt" op="gte" val="1">
              <dgm:shape xmlns:r="http://schemas.openxmlformats.org/officeDocument/2006/relationships" type="rect" r:blip="" zOrderOff="-10">
                <dgm:adjLst/>
              </dgm:shape>
            </dgm:if>
            <dgm:else name="Name9">
              <dgm:shape xmlns:r="http://schemas.openxmlformats.org/officeDocument/2006/relationships" type="rect" r:blip="" hideGeom="1">
                <dgm:adjLst/>
              </dgm:shape>
            </dgm:else>
          </dgm:choose>
          <dgm:presOf/>
        </dgm:layoutNode>
        <dgm:layoutNode name="Image" styleLbl="alignImgPlace1">
          <dgm:alg type="sp"/>
          <dgm:shape xmlns:r="http://schemas.openxmlformats.org/officeDocument/2006/relationships" type="rect" r:blip="" blipPhldr="1">
            <dgm:adjLst/>
          </dgm:shape>
          <dgm:presOf/>
        </dgm:layoutNode>
      </dgm:layoutNode>
      <dgm:forEach name="sibTransForEach" axis="followSib" ptType="sibTrans" cnt="1">
        <dgm:layoutNode name="sibTrans">
          <dgm:alg type="sp"/>
          <dgm:shape xmlns:r="http://schemas.openxmlformats.org/officeDocument/2006/relationships" r:blip="">
            <dgm:adjLst/>
          </dgm:shap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5/8/layout/lProcess2">
  <dgm:title val=""/>
  <dgm:desc val=""/>
  <dgm:catLst>
    <dgm:cat type="list" pri="10000"/>
    <dgm:cat type="relationship" pri="13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useDef="1">
    <dgm:dataModel>
      <dgm:ptLst/>
      <dgm:bg/>
      <dgm:whole/>
    </dgm:dataModel>
  </dgm:styleData>
  <dgm:clrData useDef="1">
    <dgm:dataModel>
      <dgm:ptLst/>
      <dgm:bg/>
      <dgm:whole/>
    </dgm:dataModel>
  </dgm:clrData>
  <dgm:layoutNode name="theList">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Node" refType="w"/>
      <dgm:constr type="h" for="ch" forName="compNode" refType="h"/>
      <dgm:constr type="w" for="ch" forName="aSpace" refType="w" fact="0.075"/>
      <dgm:constr type="h" for="des" forName="aSpace2" refType="h" fact="0.1"/>
      <dgm:constr type="primFontSz" for="des" forName="textNode" op="equ"/>
      <dgm:constr type="primFontSz" for="des" forName="childNode" op="equ"/>
    </dgm:constrLst>
    <dgm:ruleLst/>
    <dgm:forEach name="aNodeForEach" axis="ch" ptType="node">
      <dgm:layoutNode name="compNode">
        <dgm:alg type="composite"/>
        <dgm:shape xmlns:r="http://schemas.openxmlformats.org/officeDocument/2006/relationships" r:blip="">
          <dgm:adjLst/>
        </dgm:shape>
        <dgm:presOf/>
        <dgm:constrLst>
          <dgm:constr type="w" for="ch" forName="aNode" refType="w"/>
          <dgm:constr type="h" for="ch" forName="aNode" refType="h"/>
          <dgm:constr type="w" for="ch" forName="textNode" refType="w"/>
          <dgm:constr type="h" for="ch" forName="textNode" refType="h" fact="0.3"/>
          <dgm:constr type="ctrX" for="ch" forName="textNode" refType="w" fact="0.5"/>
          <dgm:constr type="w" for="ch" forName="compChildNode" refType="w" fact="0.8"/>
          <dgm:constr type="h" for="ch" forName="compChildNode" refType="h" fact="0.65"/>
          <dgm:constr type="t" for="ch" forName="compChildNode" refType="h" fact="0.3"/>
          <dgm:constr type="ctrX" for="ch" forName="compChildNode" refType="w" fact="0.5"/>
        </dgm:constrLst>
        <dgm:ruleLst/>
        <dgm:layoutNode name="aNode" styleLbl="bgShp">
          <dgm:alg type="sp"/>
          <dgm:shape xmlns:r="http://schemas.openxmlformats.org/officeDocument/2006/relationships" type="roundRect" r:blip="">
            <dgm:adjLst>
              <dgm:adj idx="1" val="0.1"/>
            </dgm:adjLst>
          </dgm:shape>
          <dgm:presOf axis="self"/>
          <dgm:constrLst/>
          <dgm:ruleLst/>
        </dgm:layoutNode>
        <dgm:layoutNode name="textNode" styleLbl="bgShp">
          <dgm:alg type="tx"/>
          <dgm:shape xmlns:r="http://schemas.openxmlformats.org/officeDocument/2006/relationships" type="rect" r:blip="" hideGeom="1">
            <dgm:adjLst>
              <dgm:adj idx="1" val="0.1"/>
            </dgm:adjLst>
          </dgm:shape>
          <dgm:presOf axis="self"/>
          <dgm:constrLst>
            <dgm:constr type="primFontSz" val="65"/>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compChildNode">
          <dgm:alg type="composite"/>
          <dgm:shape xmlns:r="http://schemas.openxmlformats.org/officeDocument/2006/relationships" r:blip="">
            <dgm:adjLst/>
          </dgm:shape>
          <dgm:presOf/>
          <dgm:constrLst>
            <dgm:constr type="w" for="des" forName="childNode" refType="w"/>
            <dgm:constr type="h" for="des" forName="childNode" refType="h"/>
          </dgm:constrLst>
          <dgm:ruleLst/>
          <dgm:layoutNode name="theInnerList">
            <dgm:alg type="lin">
              <dgm:param type="linDir" val="fromT"/>
            </dgm:alg>
            <dgm:shape xmlns:r="http://schemas.openxmlformats.org/officeDocument/2006/relationships" r:blip="">
              <dgm:adjLst/>
            </dgm:shape>
            <dgm:presOf/>
            <dgm:constrLst/>
            <dgm:ruleLst/>
            <dgm:forEach name="childNodeForEach" axis="ch" ptType="node">
              <dgm:layoutNode name="childNode" styleLbl="node1">
                <dgm:varLst>
                  <dgm:bulletEnabled val="1"/>
                </dgm:varLst>
                <dgm:alg type="tx"/>
                <dgm:shape xmlns:r="http://schemas.openxmlformats.org/officeDocument/2006/relationships" type="roundRect" r:blip="">
                  <dgm:adjLst>
                    <dgm:adj idx="1" val="0.1"/>
                  </dgm:adjLst>
                </dgm:shape>
                <dgm:presOf axis="desOrSelf" ptType="node"/>
                <dgm:constrLst>
                  <dgm:constr type="primFontSz" val="65"/>
                  <dgm:constr type="tMarg" refType="primFontSz" fact="0.15"/>
                  <dgm:constr type="bMarg" refType="primFontSz" fact="0.15"/>
                  <dgm:constr type="lMarg" refType="primFontSz" fact="0.2"/>
                  <dgm:constr type="rMarg" refType="primFontSz" fact="0.2"/>
                </dgm:constrLst>
                <dgm:ruleLst>
                  <dgm:rule type="primFontSz" val="5" fact="NaN" max="NaN"/>
                </dgm:ruleLst>
              </dgm:layoutNode>
              <dgm:choose name="Name3">
                <dgm:if name="Name4" axis="self" ptType="node" func="revPos" op="equ" val="1"/>
                <dgm:else name="Name5">
                  <dgm:layoutNode name="aSpace2">
                    <dgm:alg type="sp"/>
                    <dgm:shape xmlns:r="http://schemas.openxmlformats.org/officeDocument/2006/relationships" r:blip="">
                      <dgm:adjLst/>
                    </dgm:shape>
                    <dgm:presOf/>
                    <dgm:constrLst/>
                    <dgm:ruleLst/>
                  </dgm:layoutNode>
                </dgm:else>
              </dgm:choose>
            </dgm:forEach>
          </dgm:layoutNode>
        </dgm:layoutNode>
      </dgm:layoutNode>
      <dgm:choose name="Name6">
        <dgm:if name="Name7" axis="self" ptType="node" func="revPos" op="equ" val="1"/>
        <dgm:else name="Name8">
          <dgm:layoutNode name="aSpace">
            <dgm:alg type="sp"/>
            <dgm:shape xmlns:r="http://schemas.openxmlformats.org/officeDocument/2006/relationships" r:blip="">
              <dgm:adjLst/>
            </dgm:shape>
            <dgm:presOf/>
            <dgm:constrLst/>
            <dgm:ruleLst/>
          </dgm:layoutNode>
        </dgm:else>
      </dgm:choose>
    </dgm:forEach>
  </dgm:layoutNode>
</dgm:layoutDef>
</file>

<file path=word/diagrams/layout4.xml><?xml version="1.0" encoding="utf-8"?>
<dgm:layoutDef xmlns:dgm="http://schemas.openxmlformats.org/drawingml/2006/diagram" xmlns:a="http://schemas.openxmlformats.org/drawingml/2006/main" uniqueId="urn:microsoft.com/office/officeart/2009/3/layout/SnapshotPictureList">
  <dgm:title val=""/>
  <dgm:desc val=""/>
  <dgm:catLst>
    <dgm:cat type="picture" pri="3000"/>
    <dgm:cat type="pictureconvert" pri="3000"/>
  </dgm:catLst>
  <dgm:sampData>
    <dgm:dataModel>
      <dgm:ptLst>
        <dgm:pt modelId="0" type="doc"/>
        <dgm:pt modelId="10">
          <dgm:prSet phldr="1"/>
        </dgm:pt>
        <dgm:pt modelId="11">
          <dgm:prSet phldr="1"/>
        </dgm:pt>
      </dgm:ptLst>
      <dgm:cxnLst>
        <dgm:cxn modelId="40" srcId="0" destId="10" srcOrd="0" destOrd="0"/>
        <dgm:cxn modelId="12" srcId="10" destId="11" srcOrd="0" destOrd="0"/>
      </dgm:cxnLst>
      <dgm:bg/>
      <dgm:whole/>
    </dgm:dataModel>
  </dgm:sampData>
  <dgm:styleData>
    <dgm:dataModel>
      <dgm:ptLst>
        <dgm:pt modelId="0" type="doc"/>
        <dgm:pt modelId="10">
          <dgm:prSet phldr="1"/>
        </dgm:pt>
        <dgm:pt modelId="11">
          <dgm:prSet phldr="1"/>
        </dgm:pt>
      </dgm:ptLst>
      <dgm:cxnLst>
        <dgm:cxn modelId="40" srcId="0" destId="10" srcOrd="0" destOrd="0"/>
        <dgm:cxn modelId="12" srcId="10" destId="11" srcOrd="0" destOrd="0"/>
      </dgm:cxnLst>
      <dgm:bg/>
      <dgm:whole/>
    </dgm:dataModel>
  </dgm:styleData>
  <dgm:clrData>
    <dgm:dataModel>
      <dgm:ptLst>
        <dgm:pt modelId="0" type="doc"/>
        <dgm:pt modelId="10">
          <dgm:prSet phldr="1"/>
        </dgm:pt>
        <dgm:pt modelId="11">
          <dgm:prSet phldr="1"/>
        </dgm:pt>
      </dgm:ptLst>
      <dgm:cxnLst>
        <dgm:cxn modelId="40" srcId="0" destId="10" srcOrd="0" destOrd="0"/>
        <dgm:cxn modelId="12" srcId="10" destId="11" srcOrd="0" destOrd="0"/>
      </dgm:cxnLst>
      <dgm:bg/>
      <dgm:whole/>
    </dgm:dataModel>
  </dgm:clrData>
  <dgm:layoutNode name="Name0">
    <dgm:varLst>
      <dgm:chMax/>
      <dgm:chPref/>
      <dgm:dir/>
      <dgm:animLvl val="lvl"/>
    </dgm:varLst>
    <dgm:alg type="snake">
      <dgm:param type="grDir" val="tL"/>
      <dgm:param type="flowDir" val="col"/>
    </dgm:alg>
    <dgm:shape xmlns:r="http://schemas.openxmlformats.org/officeDocument/2006/relationships" r:blip="">
      <dgm:adjLst/>
    </dgm:shape>
    <dgm:constrLst>
      <dgm:constr type="primFontSz" for="des" forName="ChildText" refType="primFontSz" refFor="des" refForName="ParentText" op="lte"/>
      <dgm:constr type="w" for="ch" forName="composite" refType="w"/>
      <dgm:constr type="h" for="ch" forName="composite" refType="h"/>
      <dgm:constr type="sp" refType="h" refFor="ch" refForName="composite" op="equ" fact="0.1"/>
      <dgm:constr type="h" for="ch" forName="sibTrans" refType="h" refFor="ch" refForName="composite" op="equ" fact="0.1"/>
      <dgm:constr type="w" for="ch" forName="sibTrans" refType="h" refFor="ch" refForName="sibTrans" op="equ"/>
    </dgm:constrLst>
    <dgm:forEach name="nodesForEach" axis="ch" ptType="node">
      <dgm:layoutNode name="composite">
        <dgm:alg type="composite">
          <dgm:param type="ar" val="2.0273"/>
        </dgm:alg>
        <dgm:shape xmlns:r="http://schemas.openxmlformats.org/officeDocument/2006/relationships" r:blip="">
          <dgm:adjLst/>
        </dgm:shape>
        <dgm:choose name="Name1">
          <dgm:if name="Name2" func="var" arg="dir" op="equ" val="norm">
            <dgm:constrLst>
              <dgm:constr type="l" for="ch" forName="ParentAccentShape" refType="w" fact="0.0238"/>
              <dgm:constr type="t" for="ch" forName="ParentAccentShape" refType="h" fact="0.107"/>
              <dgm:constr type="w" for="ch" forName="ParentAccentShape" refType="w" fact="0.619"/>
              <dgm:constr type="h" for="ch" forName="ParentAccentShape" refType="h" fact="0.893"/>
              <dgm:constr type="l" for="ch" forName="ParentText" refType="w" fact="0.048"/>
              <dgm:constr type="t" for="ch" forName="ParentText" refType="h" fact="0.845"/>
              <dgm:constr type="w" for="ch" forName="ParentText" refType="w" fact="0.571"/>
              <dgm:constr type="h" for="ch" forName="ParentText" refType="h" fact="0.106"/>
              <dgm:constr type="l" for="ch" forName="ChildText" refType="w" fact="0.668"/>
              <dgm:constr type="t" for="ch" forName="ChildText" refType="h" fact="0.107"/>
              <dgm:constr type="w" for="ch" forName="ChildText" refType="w" fact="0.283"/>
              <dgm:constr type="h" for="ch" forName="ChildText" refType="h" fact="0.893"/>
              <dgm:constr type="l" for="ch" forName="ChildAccentShape" refType="w" fact="0.9762"/>
              <dgm:constr type="t" for="ch" forName="ChildAccentShape" refType="h" fact="0.107"/>
              <dgm:constr type="w" for="ch" forName="ChildAccentShape" refType="w" fact="0.0238"/>
              <dgm:constr type="h" for="ch" forName="ChildAccentShape" refType="h" fact="0.893"/>
              <dgm:constr type="l" for="ch" forName="Image" refType="w" fact="0"/>
              <dgm:constr type="t" for="ch" forName="Image" refType="h" fact="0"/>
              <dgm:constr type="w" for="ch" forName="Image" refType="w" fact="0.5952"/>
              <dgm:constr type="h" for="ch" forName="Image" refType="h" fact="0.8447"/>
            </dgm:constrLst>
          </dgm:if>
          <dgm:else name="Name3">
            <dgm:constrLst>
              <dgm:constr type="l" for="ch" forName="ParentAccentShape" refType="w" fact="0.3572"/>
              <dgm:constr type="t" for="ch" forName="ParentAccentShape" refType="h" fact="0.107"/>
              <dgm:constr type="w" for="ch" forName="ParentAccentShape" refType="w" fact="0.619"/>
              <dgm:constr type="h" for="ch" forName="ParentAccentShape" refType="h" fact="0.893"/>
              <dgm:constr type="l" for="ch" forName="ParentText" refType="w" fact="0.381"/>
              <dgm:constr type="t" for="ch" forName="ParentText" refType="h" fact="0.845"/>
              <dgm:constr type="w" for="ch" forName="ParentText" refType="w" fact="0.571"/>
              <dgm:constr type="h" for="ch" forName="ParentText" refType="h" fact="0.106"/>
              <dgm:constr type="l" for="ch" forName="ChildText" refType="w" fact="0.049"/>
              <dgm:constr type="t" for="ch" forName="ChildText" refType="h" fact="0.107"/>
              <dgm:constr type="w" for="ch" forName="ChildText" refType="w" fact="0.283"/>
              <dgm:constr type="h" for="ch" forName="ChildText" refType="h" fact="0.893"/>
              <dgm:constr type="l" for="ch" forName="ChildAccentShape" refType="w" fact="0"/>
              <dgm:constr type="t" for="ch" forName="ChildAccentShape" refType="h" fact="0.107"/>
              <dgm:constr type="w" for="ch" forName="ChildAccentShape" refType="w" fact="0.0238"/>
              <dgm:constr type="h" for="ch" forName="ChildAccentShape" refType="h" fact="0.893"/>
              <dgm:constr type="l" for="ch" forName="Image" refType="w" fact="0.4048"/>
              <dgm:constr type="t" for="ch" forName="Image" refType="h" fact="0"/>
              <dgm:constr type="w" for="ch" forName="Image" refType="w" fact="0.5952"/>
              <dgm:constr type="h" for="ch" forName="Image" refType="h" fact="0.8447"/>
            </dgm:constrLst>
          </dgm:else>
        </dgm:choose>
        <dgm:layoutNode name="ParentAccentShape" styleLbl="trBgShp">
          <dgm:alg type="sp"/>
          <dgm:shape xmlns:r="http://schemas.openxmlformats.org/officeDocument/2006/relationships" type="frame" r:blip="" zOrderOff="-10">
            <dgm:adjLst>
              <dgm:adj idx="1" val="0.0545"/>
            </dgm:adjLst>
          </dgm:shape>
          <dgm:presOf/>
        </dgm:layoutNode>
        <dgm:layoutNode name="ParentText" styleLbl="revTx">
          <dgm:varLst>
            <dgm:chMax val="1"/>
            <dgm:chPref val="1"/>
            <dgm:bulletEnabled val="1"/>
          </dgm:varLst>
          <dgm:alg type="tx">
            <dgm:param type="parTxLTRAlign" val="l"/>
          </dgm:alg>
          <dgm:shape xmlns:r="http://schemas.openxmlformats.org/officeDocument/2006/relationships" type="rect" r:blip="" zOrderOff="10">
            <dgm:adjLst/>
          </dgm:shape>
          <dgm:presOf axis="self" ptType="node"/>
          <dgm:constrLst>
            <dgm:constr type="lMarg" refType="primFontSz" fact="0.8"/>
            <dgm:constr type="rMarg" refType="primFontSz" fact="0.8"/>
            <dgm:constr type="tMarg" refType="primFontSz" fact="0.3"/>
            <dgm:constr type="bMarg" refType="primFontSz" fact="0.3"/>
          </dgm:constrLst>
          <dgm:ruleLst>
            <dgm:rule type="primFontSz" val="5" fact="NaN" max="NaN"/>
          </dgm:ruleLst>
        </dgm:layoutNode>
        <dgm:layoutNode name="ChildText" styleLbl="revTx">
          <dgm:varLst>
            <dgm:chMax val="0"/>
            <dgm:chPref val="0"/>
          </dgm:varLst>
          <dgm:alg type="tx">
            <dgm:param type="parTxLTRAlign" val="l"/>
            <dgm:param type="txAnchorVert" val="t"/>
          </dgm:alg>
          <dgm:shape xmlns:r="http://schemas.openxmlformats.org/officeDocument/2006/relationships" type="rect" r:blip="" zOrderOff="10">
            <dgm:adjLst/>
          </dgm:shape>
          <dgm:choose name="Name4">
            <dgm:if name="Name5" axis="ch" ptType="node" func="cnt" op="gte" val="1">
              <dgm:presOf axis="des" ptType="node"/>
            </dgm:if>
            <dgm:else name="Name6">
              <dgm:presOf/>
            </dgm:else>
          </dgm:choose>
          <dgm:constrLst>
            <dgm:constr type="lMarg" refType="primFontSz" fact="0"/>
            <dgm:constr type="rMarg" refType="primFontSz" fact="0"/>
            <dgm:constr type="tMarg" refType="primFontSz" fact="0"/>
            <dgm:constr type="bMarg" refType="primFontSz" fact="0"/>
          </dgm:constrLst>
          <dgm:ruleLst>
            <dgm:rule type="primFontSz" val="5" fact="NaN" max="NaN"/>
          </dgm:ruleLst>
        </dgm:layoutNode>
        <dgm:layoutNode name="ChildAccentShape" styleLbl="trBgShp">
          <dgm:alg type="sp"/>
          <dgm:choose name="Name7">
            <dgm:if name="Name8" axis="ch" ptType="node" func="cnt" op="gte" val="1">
              <dgm:shape xmlns:r="http://schemas.openxmlformats.org/officeDocument/2006/relationships" type="rect" r:blip="" zOrderOff="-10">
                <dgm:adjLst/>
              </dgm:shape>
            </dgm:if>
            <dgm:else name="Name9">
              <dgm:shape xmlns:r="http://schemas.openxmlformats.org/officeDocument/2006/relationships" type="rect" r:blip="" hideGeom="1">
                <dgm:adjLst/>
              </dgm:shape>
            </dgm:else>
          </dgm:choose>
          <dgm:presOf/>
        </dgm:layoutNode>
        <dgm:layoutNode name="Image" styleLbl="alignImgPlace1">
          <dgm:alg type="sp"/>
          <dgm:shape xmlns:r="http://schemas.openxmlformats.org/officeDocument/2006/relationships" type="rect" r:blip="" blipPhldr="1">
            <dgm:adjLst/>
          </dgm:shape>
          <dgm:presOf/>
        </dgm:layoutNode>
      </dgm:layoutNode>
      <dgm:forEach name="sibTransForEach" axis="followSib" ptType="sibTrans" cnt="1">
        <dgm:layoutNode name="sibTrans">
          <dgm:alg type="sp"/>
          <dgm:shape xmlns:r="http://schemas.openxmlformats.org/officeDocument/2006/relationships" r:blip="">
            <dgm:adjLst/>
          </dgm:shape>
        </dgm:layoutNode>
      </dgm:forEach>
    </dgm:forEach>
  </dgm:layoutNode>
</dgm:layoutDef>
</file>

<file path=word/diagrams/layout5.xml><?xml version="1.0" encoding="utf-8"?>
<dgm:layoutDef xmlns:dgm="http://schemas.openxmlformats.org/drawingml/2006/diagram" xmlns:a="http://schemas.openxmlformats.org/drawingml/2006/main" uniqueId="urn:microsoft.com/office/officeart/2008/layout/PictureStrips">
  <dgm:title val=""/>
  <dgm:desc val=""/>
  <dgm:catLst>
    <dgm:cat type="list" pri="12500"/>
    <dgm:cat type="picture" pri="13000"/>
    <dgm:cat type="pictureconvert" pri="13000"/>
  </dgm:catLst>
  <dgm:sampData>
    <dgm:dataModel>
      <dgm:ptLst>
        <dgm:pt modelId="0" type="doc"/>
        <dgm:pt modelId="10">
          <dgm:prSet phldr="1"/>
        </dgm:pt>
        <dgm:pt modelId="20">
          <dgm:prSet phldr="1"/>
        </dgm:pt>
        <dgm:pt modelId="30">
          <dgm:prSet phldr="1"/>
        </dgm:pt>
      </dgm:ptLst>
      <dgm:cxnLst>
        <dgm:cxn modelId="40" srcId="0" destId="10" srcOrd="0" destOrd="0"/>
        <dgm:cxn modelId="50" srcId="0" destId="20" srcOrd="1" destOrd="0"/>
        <dgm:cxn modelId="60" srcId="0" destId="30" srcOrd="2" destOrd="0"/>
      </dgm:cxnLst>
      <dgm:bg/>
      <dgm:whole/>
    </dgm:dataModel>
  </dgm:sampData>
  <dgm:styleData>
    <dgm:dataModel>
      <dgm:ptLst>
        <dgm:pt modelId="0" type="doc"/>
        <dgm:pt modelId="10">
          <dgm:prSet phldr="1"/>
        </dgm:pt>
        <dgm:pt modelId="20">
          <dgm:prSet phldr="1"/>
        </dgm:pt>
      </dgm:ptLst>
      <dgm:cxnLst>
        <dgm:cxn modelId="40" srcId="0" destId="10" srcOrd="0" destOrd="0"/>
        <dgm:cxn modelId="5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40" srcId="0" destId="10" srcOrd="0" destOrd="0"/>
        <dgm:cxn modelId="50" srcId="0" destId="20" srcOrd="1" destOrd="0"/>
        <dgm:cxn modelId="60" srcId="0" destId="30" srcOrd="2" destOrd="0"/>
        <dgm:cxn modelId="70" srcId="0" destId="40" srcOrd="2" destOrd="0"/>
      </dgm:cxnLst>
      <dgm:bg/>
      <dgm:whole/>
    </dgm:dataModel>
  </dgm:clrData>
  <dgm:layoutNode name="Name0">
    <dgm:varLst>
      <dgm:dir/>
      <dgm:resizeHandles val="exact"/>
    </dgm:varLst>
    <dgm:choose name="Name1">
      <dgm:if name="Name2" func="var" arg="dir" op="equ" val="norm">
        <dgm:alg type="snake">
          <dgm:param type="off" val="ctr"/>
        </dgm:alg>
      </dgm:if>
      <dgm:else name="Name3">
        <dgm:alg type="snake">
          <dgm:param type="off" val="ctr"/>
          <dgm:param type="grDir" val="tR"/>
        </dgm:alg>
      </dgm:else>
    </dgm:choose>
    <dgm:shape xmlns:r="http://schemas.openxmlformats.org/officeDocument/2006/relationships" r:blip="">
      <dgm:adjLst/>
    </dgm:shape>
    <dgm:constrLst>
      <dgm:constr type="primFontSz" for="des" ptType="node" op="equ" val="65"/>
      <dgm:constr type="w" for="ch" forName="composite" refType="w"/>
      <dgm:constr type="h" for="ch" forName="composite" refType="h"/>
      <dgm:constr type="sp" refType="h" refFor="ch" refForName="composite" op="equ" fact="0.1"/>
      <dgm:constr type="h" for="ch" forName="sibTrans" refType="h" refFor="ch" refForName="composite" op="equ" fact="0.1"/>
      <dgm:constr type="w" for="ch" forName="sibTrans" refType="h" refFor="ch" refForName="sibTrans" op="equ"/>
    </dgm:constrLst>
    <dgm:forEach name="nodesForEach" axis="ch" ptType="node">
      <dgm:layoutNode name="composite">
        <dgm:alg type="composite">
          <dgm:param type="ar" val="3"/>
        </dgm:alg>
        <dgm:shape xmlns:r="http://schemas.openxmlformats.org/officeDocument/2006/relationships" r:blip="">
          <dgm:adjLst/>
        </dgm:shape>
        <dgm:choose name="Name4">
          <dgm:if name="Name5" func="var" arg="dir" op="equ" val="norm">
            <dgm:constrLst>
              <dgm:constr type="l" for="ch" forName="rect1" refType="w" fact="0.04"/>
              <dgm:constr type="t" for="ch" forName="rect1" refType="h" fact="0.13"/>
              <dgm:constr type="w" for="ch" forName="rect1" refType="w" fact="0.96"/>
              <dgm:constr type="h" for="ch" forName="rect1" refType="h" fact="0.9"/>
              <dgm:constr type="l" for="ch" forName="rect2" refType="w" fact="0"/>
              <dgm:constr type="t" for="ch" forName="rect2" refType="h" fact="0"/>
              <dgm:constr type="w" for="ch" forName="rect2" refType="w" fact="0.21"/>
              <dgm:constr type="h" for="ch" forName="rect2" refType="w" fact="0.315"/>
            </dgm:constrLst>
          </dgm:if>
          <dgm:else name="Name6">
            <dgm:constrLst>
              <dgm:constr type="l" for="ch" forName="rect1" refType="w" fact="0"/>
              <dgm:constr type="t" for="ch" forName="rect1" refType="h" fact="0.13"/>
              <dgm:constr type="w" for="ch" forName="rect1" refType="w" fact="0.96"/>
              <dgm:constr type="h" for="ch" forName="rect1" refType="h" fact="0.9"/>
              <dgm:constr type="l" for="ch" forName="rect2" refType="w" fact="0.79"/>
              <dgm:constr type="t" for="ch" forName="rect2" refType="h" fact="0"/>
              <dgm:constr type="w" for="ch" forName="rect2" refType="w" fact="0.21"/>
              <dgm:constr type="h" for="ch" forName="rect2" refType="w" fact="0.315"/>
            </dgm:constrLst>
          </dgm:else>
        </dgm:choose>
        <dgm:layoutNode name="rect1" styleLbl="trAlignAcc1">
          <dgm:varLst>
            <dgm:bulletEnabled val="1"/>
          </dgm:varLst>
          <dgm:alg type="tx">
            <dgm:param type="parTxLTRAlign" val="l"/>
          </dgm:alg>
          <dgm:shape xmlns:r="http://schemas.openxmlformats.org/officeDocument/2006/relationships" type="rect" r:blip="">
            <dgm:adjLst/>
          </dgm:shape>
          <dgm:presOf axis="desOrSelf" ptType="node"/>
          <dgm:choose name="Name7">
            <dgm:if name="Name8" func="var" arg="dir" op="equ" val="norm">
              <dgm:constrLst>
                <dgm:constr type="lMarg" refType="w" fact="0.6"/>
                <dgm:constr type="rMarg" refType="primFontSz" fact="0.3"/>
                <dgm:constr type="tMarg" refType="primFontSz" fact="0.3"/>
                <dgm:constr type="bMarg" refType="primFontSz" fact="0.3"/>
              </dgm:constrLst>
            </dgm:if>
            <dgm:else name="Name9">
              <dgm:constrLst>
                <dgm:constr type="lMarg" refType="primFontSz" fact="0.3"/>
                <dgm:constr type="rMarg" refType="w" fact="0.6"/>
                <dgm:constr type="tMarg" refType="primFontSz" fact="0.3"/>
                <dgm:constr type="bMarg" refType="primFontSz" fact="0.3"/>
              </dgm:constrLst>
            </dgm:else>
          </dgm:choose>
          <dgm:ruleLst>
            <dgm:rule type="primFontSz" val="5" fact="NaN" max="NaN"/>
          </dgm:ruleLst>
        </dgm:layoutNode>
        <dgm:layoutNode name="rect2" styleLbl="fgImgPlace1">
          <dgm:alg type="sp"/>
          <dgm:shape xmlns:r="http://schemas.openxmlformats.org/officeDocument/2006/relationships" type="rect" r:blip="" blipPhldr="1">
            <dgm:adjLst/>
          </dgm:shape>
          <dgm:presOf/>
        </dgm:layoutNode>
      </dgm:layoutNode>
      <dgm:forEach name="sibTransForEach" axis="followSib" ptType="sibTrans" cnt="1">
        <dgm:layoutNode name="sibTrans">
          <dgm:alg type="sp"/>
          <dgm:shape xmlns:r="http://schemas.openxmlformats.org/officeDocument/2006/relationships" r:blip="">
            <dgm:adjLst/>
          </dgm:shape>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lProcess2">
  <dgm:title val=""/>
  <dgm:desc val=""/>
  <dgm:catLst>
    <dgm:cat type="list" pri="10000"/>
    <dgm:cat type="relationship" pri="13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useDef="1">
    <dgm:dataModel>
      <dgm:ptLst/>
      <dgm:bg/>
      <dgm:whole/>
    </dgm:dataModel>
  </dgm:styleData>
  <dgm:clrData useDef="1">
    <dgm:dataModel>
      <dgm:ptLst/>
      <dgm:bg/>
      <dgm:whole/>
    </dgm:dataModel>
  </dgm:clrData>
  <dgm:layoutNode name="theList">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Node" refType="w"/>
      <dgm:constr type="h" for="ch" forName="compNode" refType="h"/>
      <dgm:constr type="w" for="ch" forName="aSpace" refType="w" fact="0.075"/>
      <dgm:constr type="h" for="des" forName="aSpace2" refType="h" fact="0.1"/>
      <dgm:constr type="primFontSz" for="des" forName="textNode" op="equ"/>
      <dgm:constr type="primFontSz" for="des" forName="childNode" op="equ"/>
    </dgm:constrLst>
    <dgm:ruleLst/>
    <dgm:forEach name="aNodeForEach" axis="ch" ptType="node">
      <dgm:layoutNode name="compNode">
        <dgm:alg type="composite"/>
        <dgm:shape xmlns:r="http://schemas.openxmlformats.org/officeDocument/2006/relationships" r:blip="">
          <dgm:adjLst/>
        </dgm:shape>
        <dgm:presOf/>
        <dgm:constrLst>
          <dgm:constr type="w" for="ch" forName="aNode" refType="w"/>
          <dgm:constr type="h" for="ch" forName="aNode" refType="h"/>
          <dgm:constr type="w" for="ch" forName="textNode" refType="w"/>
          <dgm:constr type="h" for="ch" forName="textNode" refType="h" fact="0.3"/>
          <dgm:constr type="ctrX" for="ch" forName="textNode" refType="w" fact="0.5"/>
          <dgm:constr type="w" for="ch" forName="compChildNode" refType="w" fact="0.8"/>
          <dgm:constr type="h" for="ch" forName="compChildNode" refType="h" fact="0.65"/>
          <dgm:constr type="t" for="ch" forName="compChildNode" refType="h" fact="0.3"/>
          <dgm:constr type="ctrX" for="ch" forName="compChildNode" refType="w" fact="0.5"/>
        </dgm:constrLst>
        <dgm:ruleLst/>
        <dgm:layoutNode name="aNode" styleLbl="bgShp">
          <dgm:alg type="sp"/>
          <dgm:shape xmlns:r="http://schemas.openxmlformats.org/officeDocument/2006/relationships" type="roundRect" r:blip="">
            <dgm:adjLst>
              <dgm:adj idx="1" val="0.1"/>
            </dgm:adjLst>
          </dgm:shape>
          <dgm:presOf axis="self"/>
          <dgm:constrLst/>
          <dgm:ruleLst/>
        </dgm:layoutNode>
        <dgm:layoutNode name="textNode" styleLbl="bgShp">
          <dgm:alg type="tx"/>
          <dgm:shape xmlns:r="http://schemas.openxmlformats.org/officeDocument/2006/relationships" type="rect" r:blip="" hideGeom="1">
            <dgm:adjLst>
              <dgm:adj idx="1" val="0.1"/>
            </dgm:adjLst>
          </dgm:shape>
          <dgm:presOf axis="self"/>
          <dgm:constrLst>
            <dgm:constr type="primFontSz" val="65"/>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compChildNode">
          <dgm:alg type="composite"/>
          <dgm:shape xmlns:r="http://schemas.openxmlformats.org/officeDocument/2006/relationships" r:blip="">
            <dgm:adjLst/>
          </dgm:shape>
          <dgm:presOf/>
          <dgm:constrLst>
            <dgm:constr type="w" for="des" forName="childNode" refType="w"/>
            <dgm:constr type="h" for="des" forName="childNode" refType="h"/>
          </dgm:constrLst>
          <dgm:ruleLst/>
          <dgm:layoutNode name="theInnerList">
            <dgm:alg type="lin">
              <dgm:param type="linDir" val="fromT"/>
            </dgm:alg>
            <dgm:shape xmlns:r="http://schemas.openxmlformats.org/officeDocument/2006/relationships" r:blip="">
              <dgm:adjLst/>
            </dgm:shape>
            <dgm:presOf/>
            <dgm:constrLst/>
            <dgm:ruleLst/>
            <dgm:forEach name="childNodeForEach" axis="ch" ptType="node">
              <dgm:layoutNode name="childNode" styleLbl="node1">
                <dgm:varLst>
                  <dgm:bulletEnabled val="1"/>
                </dgm:varLst>
                <dgm:alg type="tx"/>
                <dgm:shape xmlns:r="http://schemas.openxmlformats.org/officeDocument/2006/relationships" type="roundRect" r:blip="">
                  <dgm:adjLst>
                    <dgm:adj idx="1" val="0.1"/>
                  </dgm:adjLst>
                </dgm:shape>
                <dgm:presOf axis="desOrSelf" ptType="node"/>
                <dgm:constrLst>
                  <dgm:constr type="primFontSz" val="65"/>
                  <dgm:constr type="tMarg" refType="primFontSz" fact="0.15"/>
                  <dgm:constr type="bMarg" refType="primFontSz" fact="0.15"/>
                  <dgm:constr type="lMarg" refType="primFontSz" fact="0.2"/>
                  <dgm:constr type="rMarg" refType="primFontSz" fact="0.2"/>
                </dgm:constrLst>
                <dgm:ruleLst>
                  <dgm:rule type="primFontSz" val="5" fact="NaN" max="NaN"/>
                </dgm:ruleLst>
              </dgm:layoutNode>
              <dgm:choose name="Name3">
                <dgm:if name="Name4" axis="self" ptType="node" func="revPos" op="equ" val="1"/>
                <dgm:else name="Name5">
                  <dgm:layoutNode name="aSpace2">
                    <dgm:alg type="sp"/>
                    <dgm:shape xmlns:r="http://schemas.openxmlformats.org/officeDocument/2006/relationships" r:blip="">
                      <dgm:adjLst/>
                    </dgm:shape>
                    <dgm:presOf/>
                    <dgm:constrLst/>
                    <dgm:ruleLst/>
                  </dgm:layoutNode>
                </dgm:else>
              </dgm:choose>
            </dgm:forEach>
          </dgm:layoutNode>
        </dgm:layoutNode>
      </dgm:layoutNode>
      <dgm:choose name="Name6">
        <dgm:if name="Name7" axis="self" ptType="node" func="revPos" op="equ" val="1"/>
        <dgm:else name="Name8">
          <dgm:layoutNode name="aSpace">
            <dgm:alg type="sp"/>
            <dgm:shape xmlns:r="http://schemas.openxmlformats.org/officeDocument/2006/relationships" r:blip="">
              <dgm:adjLst/>
            </dgm:shape>
            <dgm:presOf/>
            <dgm:constrLst/>
            <dgm:ruleLst/>
          </dgm:layoutNode>
        </dgm:else>
      </dgm:choose>
    </dgm:forEach>
  </dgm:layoutNode>
</dgm:layoutDef>
</file>

<file path=word/diagrams/layout7.xml><?xml version="1.0" encoding="utf-8"?>
<dgm:layoutDef xmlns:dgm="http://schemas.openxmlformats.org/drawingml/2006/diagram" xmlns:a="http://schemas.openxmlformats.org/drawingml/2006/main" uniqueId="urn:microsoft.com/office/officeart/2005/8/layout/pList1">
  <dgm:title val=""/>
  <dgm:desc val=""/>
  <dgm:catLst>
    <dgm:cat type="list" pri="2000"/>
    <dgm:cat type="picture" pri="2500"/>
    <dgm:cat type="pictureconvert" pri="2500"/>
  </dgm:catLst>
  <dgm:sampData>
    <dgm:dataModel>
      <dgm:ptLst>
        <dgm:pt modelId="0" type="doc"/>
        <dgm:pt modelId="1">
          <dgm:prSet phldr="1"/>
        </dgm:pt>
        <dgm:pt modelId="2">
          <dgm:prSet phldr="1"/>
        </dgm:pt>
        <dgm:pt modelId="3">
          <dgm:prSet phldr="1"/>
        </dgm:pt>
        <dgm:pt modelId="4">
          <dgm:prSet phldr="1"/>
        </dgm:pt>
      </dgm:ptLst>
      <dgm:cxnLst>
        <dgm:cxn modelId="7" srcId="0" destId="1" srcOrd="0" destOrd="0"/>
        <dgm:cxn modelId="8" srcId="0" destId="2" srcOrd="1" destOrd="0"/>
        <dgm:cxn modelId="9" srcId="0" destId="3" srcOrd="2" destOrd="0"/>
        <dgm:cxn modelId="10" srcId="0" destId="4" srcOrd="3"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useDef="1">
    <dgm:dataModel>
      <dgm:ptLst/>
      <dgm:bg/>
      <dgm:whole/>
    </dgm:dataModel>
  </dgm:clrData>
  <dgm:layoutNode name="Name0">
    <dgm:varLst>
      <dgm:dir/>
      <dgm:resizeHandles val="exact"/>
    </dgm:varLst>
    <dgm:choose name="Name1">
      <dgm:if name="Name2" axis="self" func="var" arg="dir" op="equ" val="norm">
        <dgm:alg type="snake">
          <dgm:param type="grDir" val="tL"/>
          <dgm:param type="flowDir" val="row"/>
          <dgm:param type="contDir" val="sameDir"/>
          <dgm:param type="off" val="ctr"/>
          <dgm:param type="vertAlign" val="mid"/>
          <dgm:param type="horzAlign" val="ctr"/>
        </dgm:alg>
      </dgm:if>
      <dgm:else name="Name3">
        <dgm:alg type="snake">
          <dgm:param type="grDir" val="tR"/>
          <dgm:param type="flowDir" val="row"/>
          <dgm:param type="contDir" val="sameDir"/>
          <dgm:param type="off" val="ctr"/>
          <dgm:param type="vertAlign" val="mid"/>
          <dgm:param type="horzAlign" val="ctr"/>
        </dgm:alg>
      </dgm:else>
    </dgm:choose>
    <dgm:shape xmlns:r="http://schemas.openxmlformats.org/officeDocument/2006/relationships" r:blip="">
      <dgm:adjLst/>
    </dgm:shape>
    <dgm:presOf/>
    <dgm:constrLst>
      <dgm:constr type="w" for="ch" forName="compNode" refType="w"/>
      <dgm:constr type="w" for="ch" ptType="sibTrans" refType="w" refFor="ch" refForName="compNode" op="equ" fact="0.1"/>
      <dgm:constr type="sp" refType="w" refFor="ch" refForName="compNode" op="equ" fact="0.1"/>
      <dgm:constr type="primFontSz" for="des" ptType="node" op="equ" val="65"/>
    </dgm:constrLst>
    <dgm:ruleLst/>
    <dgm:forEach name="Name4" axis="ch" ptType="node">
      <dgm:layoutNode name="compNode">
        <dgm:alg type="composite">
          <dgm:param type="ar" val="0.943"/>
        </dgm:alg>
        <dgm:shape xmlns:r="http://schemas.openxmlformats.org/officeDocument/2006/relationships" r:blip="">
          <dgm:adjLst/>
        </dgm:shape>
        <dgm:presOf axis="self"/>
        <dgm:constrLst>
          <dgm:constr type="h" refType="w" fact="1.06"/>
          <dgm:constr type="h" for="ch" forName="pictRect" refType="h" fact="0.65"/>
          <dgm:constr type="w" for="ch" forName="pictRect" refType="w"/>
          <dgm:constr type="l" for="ch" forName="pictRect"/>
          <dgm:constr type="t" for="ch" forName="pictRect"/>
          <dgm:constr type="w" for="ch" forName="textRect" refType="w"/>
          <dgm:constr type="h" for="ch" forName="textRect" refType="h" fact="0.35"/>
          <dgm:constr type="l" for="ch" forName="textRect"/>
          <dgm:constr type="t" for="ch" forName="textRect" refType="b" refFor="ch" refForName="pictRect"/>
        </dgm:constrLst>
        <dgm:ruleLst/>
        <dgm:layoutNode name="pictRect">
          <dgm:alg type="sp"/>
          <dgm:shape xmlns:r="http://schemas.openxmlformats.org/officeDocument/2006/relationships" type="roundRect" r:blip="" blipPhldr="1">
            <dgm:adjLst/>
          </dgm:shape>
          <dgm:presOf/>
          <dgm:constrLst/>
          <dgm:ruleLst/>
        </dgm:layoutNode>
        <dgm:layoutNode name="textRect" styleLbl="revTx">
          <dgm:varLst>
            <dgm:bulletEnabled val="1"/>
          </dgm:varLst>
          <dgm:alg type="tx">
            <dgm:param type="txAnchorVert" val="t"/>
          </dgm:alg>
          <dgm:shape xmlns:r="http://schemas.openxmlformats.org/officeDocument/2006/relationships" type="rect" r:blip="">
            <dgm:adjLst/>
          </dgm:shape>
          <dgm:presOf axis="desOrSelf" ptType="node"/>
          <dgm:constrLst>
            <dgm:constr type="bMarg"/>
          </dgm:constrLst>
          <dgm:ruleLst>
            <dgm:rule type="primFontSz" val="5" fact="NaN" max="NaN"/>
          </dgm:ruleLst>
        </dgm:layoutNode>
      </dgm:layoutNode>
      <dgm:forEach name="Name5" axis="followSib" ptType="sibTrans" cnt="1">
        <dgm:layoutNode name="sibTrans">
          <dgm:alg type="sp"/>
          <dgm:shape xmlns:r="http://schemas.openxmlformats.org/officeDocument/2006/relationships" type="rect" r:blip="" hideGeom="1">
            <dgm:adjLst/>
          </dgm:shape>
          <dgm:presOf axis="self"/>
          <dgm:constrLst/>
          <dgm:ruleLst/>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go:gDocsCustomXmlDataStorage xmlns:go="http://customooxmlschemas.google.com/" xmlns:r="http://schemas.openxmlformats.org/officeDocument/2006/relationships">
  <go:docsCustomData xmlns:go="http://customooxmlschemas.google.com/" roundtripDataSignature="AMtx7mh3w1sXrKwdjzYCxjbwPkf7wsIk5w==">AMUW2mWhRc/xLonLdtoI8dz4BVu2GREgE7++Eme5Ko+W5/2G+QfXPKxV7NwLPPaJ77IM2LrlHDguxVZnDKcg4iQIvJIe+zJ9DBWjUaWFI+z0k4HbdiCFsJo=</go:docsCustomData>
</go:gDocsCustomXmlDataStorage>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9D9B1A75-0210-4935-8179-95DF20A26AD1}">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3.xml><?xml version="1.0" encoding="utf-8"?>
<ds:datastoreItem xmlns:ds="http://schemas.openxmlformats.org/officeDocument/2006/customXml" ds:itemID="{788AA860-0539-4807-A544-BE17F031A618}"/>
</file>

<file path=customXml/itemProps4.xml><?xml version="1.0" encoding="utf-8"?>
<ds:datastoreItem xmlns:ds="http://schemas.openxmlformats.org/officeDocument/2006/customXml" ds:itemID="{83102ECF-E44F-4F73-A78F-FE313D1BFB9A}">
  <ds:schemaRefs>
    <ds:schemaRef ds:uri="http://schemas.microsoft.com/sharepoint/v3/contenttype/forms"/>
  </ds:schemaRefs>
</ds:datastoreItem>
</file>

<file path=customXml/itemProps5.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2407</TotalTime>
  <Pages>38</Pages>
  <Words>14067</Words>
  <Characters>80186</Characters>
  <Application>Microsoft Office Word</Application>
  <DocSecurity>0</DocSecurity>
  <Lines>668</Lines>
  <Paragraphs>188</Paragraphs>
  <ScaleCrop>false</ScaleCrop>
  <HeadingPairs>
    <vt:vector size="2" baseType="variant">
      <vt:variant>
        <vt:lpstr>Título</vt:lpstr>
      </vt:variant>
      <vt:variant>
        <vt:i4>1</vt:i4>
      </vt:variant>
    </vt:vector>
  </HeadingPairs>
  <TitlesOfParts>
    <vt:vector size="1" baseType="lpstr">
      <vt:lpstr/>
    </vt:vector>
  </TitlesOfParts>
  <Company>InKulpado666</Company>
  <LinksUpToDate>false</LinksUpToDate>
  <CharactersWithSpaces>94065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Viviana Herrera</dc:creator>
  <cp:keywords/>
  <dc:description/>
  <cp:lastModifiedBy>Viviana Herrera</cp:lastModifiedBy>
  <cp:revision>82</cp:revision>
  <dcterms:created xsi:type="dcterms:W3CDTF">2026-02-13T00:17:00Z</dcterms:created>
  <dcterms:modified xsi:type="dcterms:W3CDTF">2026-09-23T00:27:00Z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SIP_Label_1299739c-ad3d-4908-806e-4d91151a6e13_Enabled">
    <vt:lpwstr>true</vt:lpwstr>
  </property>
  <property fmtid="{D5CDD505-2E9C-101B-9397-08002B2CF9AE}" pid="4" name="MSIP_Label_1299739c-ad3d-4908-806e-4d91151a6e13_SetDate">
    <vt:lpwstr>2023-03-31T16:40:52Z</vt:lpwstr>
  </property>
  <property fmtid="{D5CDD505-2E9C-101B-9397-08002B2CF9AE}" pid="5" name="MSIP_Label_1299739c-ad3d-4908-806e-4d91151a6e13_Method">
    <vt:lpwstr>Standard</vt:lpwstr>
  </property>
  <property fmtid="{D5CDD505-2E9C-101B-9397-08002B2CF9AE}" pid="6" name="MSIP_Label_1299739c-ad3d-4908-806e-4d91151a6e13_Name">
    <vt:lpwstr>All Employees (Unrestricted)</vt:lpwstr>
  </property>
  <property fmtid="{D5CDD505-2E9C-101B-9397-08002B2CF9AE}" pid="7" name="MSIP_Label_1299739c-ad3d-4908-806e-4d91151a6e13_SiteId">
    <vt:lpwstr>cbc2c381-2f2e-4d93-91d1-506c9316ace7</vt:lpwstr>
  </property>
  <property fmtid="{D5CDD505-2E9C-101B-9397-08002B2CF9AE}" pid="8" name="MSIP_Label_1299739c-ad3d-4908-806e-4d91151a6e13_ActionId">
    <vt:lpwstr>d5f05d60-61e9-40c3-b59c-2e894f39c892</vt:lpwstr>
  </property>
  <property fmtid="{D5CDD505-2E9C-101B-9397-08002B2CF9AE}" pid="9" name="MSIP_Label_1299739c-ad3d-4908-806e-4d91151a6e13_ContentBits">
    <vt:lpwstr>0</vt:lpwstr>
  </property>
  <property fmtid="{D5CDD505-2E9C-101B-9397-08002B2CF9AE}" pid="10" name="MediaServiceImageTags">
    <vt:lpwstr/>
  </property>
  <property fmtid="{D5CDD505-2E9C-101B-9397-08002B2CF9AE}" pid="11" name="KSOProductBuildVer">
    <vt:lpwstr>2058-12.2.0.20782</vt:lpwstr>
  </property>
  <property fmtid="{D5CDD505-2E9C-101B-9397-08002B2CF9AE}" pid="12" name="ICV">
    <vt:lpwstr>97E81BC1EC1A4578AB7258B7849A5BDB_12</vt:lpwstr>
  </property>
</Properties>
</file>