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diagrams/data1.xml" ContentType="application/vnd.openxmlformats-officedocument.drawingml.diagramData+xml"/>
  <Override PartName="/word/diagrams/layout1.xml" ContentType="application/vnd.openxmlformats-officedocument.drawingml.diagramLayout+xml"/>
  <Override PartName="/word/diagrams/quickStyle1.xml" ContentType="application/vnd.openxmlformats-officedocument.drawingml.diagramStyle+xml"/>
  <Override PartName="/word/diagrams/colors1.xml" ContentType="application/vnd.openxmlformats-officedocument.drawingml.diagramColors+xml"/>
  <Override PartName="/word/diagrams/drawing1.xml" ContentType="application/vnd.ms-office.drawingml.diagramDrawing+xml"/>
  <Override PartName="/word/diagrams/data2.xml" ContentType="application/vnd.openxmlformats-officedocument.drawingml.diagramData+xml"/>
  <Override PartName="/word/diagrams/layout2.xml" ContentType="application/vnd.openxmlformats-officedocument.drawingml.diagramLayout+xml"/>
  <Override PartName="/word/diagrams/quickStyle2.xml" ContentType="application/vnd.openxmlformats-officedocument.drawingml.diagramStyle+xml"/>
  <Override PartName="/word/diagrams/colors2.xml" ContentType="application/vnd.openxmlformats-officedocument.drawingml.diagramColors+xml"/>
  <Override PartName="/word/diagrams/drawing2.xml" ContentType="application/vnd.ms-office.drawingml.diagramDrawing+xml"/>
  <Override PartName="/word/diagrams/data3.xml" ContentType="application/vnd.openxmlformats-officedocument.drawingml.diagramData+xml"/>
  <Override PartName="/word/diagrams/layout3.xml" ContentType="application/vnd.openxmlformats-officedocument.drawingml.diagramLayout+xml"/>
  <Override PartName="/word/diagrams/quickStyle3.xml" ContentType="application/vnd.openxmlformats-officedocument.drawingml.diagramStyle+xml"/>
  <Override PartName="/word/diagrams/colors3.xml" ContentType="application/vnd.openxmlformats-officedocument.drawingml.diagramColors+xml"/>
  <Override PartName="/word/diagrams/drawing3.xml" ContentType="application/vnd.ms-office.drawingml.diagramDrawing+xml"/>
  <Override PartName="/word/diagrams/data4.xml" ContentType="application/vnd.openxmlformats-officedocument.drawingml.diagramData+xml"/>
  <Override PartName="/word/diagrams/layout4.xml" ContentType="application/vnd.openxmlformats-officedocument.drawingml.diagramLayout+xml"/>
  <Override PartName="/word/diagrams/quickStyle4.xml" ContentType="application/vnd.openxmlformats-officedocument.drawingml.diagramStyle+xml"/>
  <Override PartName="/word/diagrams/colors4.xml" ContentType="application/vnd.openxmlformats-officedocument.drawingml.diagramColors+xml"/>
  <Override PartName="/word/diagrams/drawing4.xml" ContentType="application/vnd.ms-office.drawingml.diagramDrawing+xml"/>
  <Override PartName="/word/diagrams/data5.xml" ContentType="application/vnd.openxmlformats-officedocument.drawingml.diagramData+xml"/>
  <Override PartName="/word/diagrams/layout5.xml" ContentType="application/vnd.openxmlformats-officedocument.drawingml.diagramLayout+xml"/>
  <Override PartName="/word/diagrams/quickStyle5.xml" ContentType="application/vnd.openxmlformats-officedocument.drawingml.diagramStyle+xml"/>
  <Override PartName="/word/diagrams/colors5.xml" ContentType="application/vnd.openxmlformats-officedocument.drawingml.diagramColors+xml"/>
  <Override PartName="/word/diagrams/drawing5.xml" ContentType="application/vnd.ms-office.drawingml.diagramDrawing+xml"/>
  <Override PartName="/word/diagrams/data6.xml" ContentType="application/vnd.openxmlformats-officedocument.drawingml.diagramData+xml"/>
  <Override PartName="/word/diagrams/layout6.xml" ContentType="application/vnd.openxmlformats-officedocument.drawingml.diagramLayout+xml"/>
  <Override PartName="/word/diagrams/quickStyle6.xml" ContentType="application/vnd.openxmlformats-officedocument.drawingml.diagramStyle+xml"/>
  <Override PartName="/word/diagrams/colors6.xml" ContentType="application/vnd.openxmlformats-officedocument.drawingml.diagramColors+xml"/>
  <Override PartName="/word/diagrams/drawing6.xml" ContentType="application/vnd.ms-office.drawingml.diagramDrawing+xml"/>
  <Override PartName="/word/diagrams/data7.xml" ContentType="application/vnd.openxmlformats-officedocument.drawingml.diagramData+xml"/>
  <Override PartName="/word/diagrams/layout7.xml" ContentType="application/vnd.openxmlformats-officedocument.drawingml.diagramLayout+xml"/>
  <Override PartName="/word/diagrams/quickStyle7.xml" ContentType="application/vnd.openxmlformats-officedocument.drawingml.diagramStyle+xml"/>
  <Override PartName="/word/diagrams/colors7.xml" ContentType="application/vnd.openxmlformats-officedocument.drawingml.diagramColors+xml"/>
  <Override PartName="/word/diagrams/drawing7.xml" ContentType="application/vnd.ms-office.drawingml.diagramDrawing+xml"/>
  <Override PartName="/word/diagrams/data8.xml" ContentType="application/vnd.openxmlformats-officedocument.drawingml.diagramData+xml"/>
  <Override PartName="/word/diagrams/layout8.xml" ContentType="application/vnd.openxmlformats-officedocument.drawingml.diagramLayout+xml"/>
  <Override PartName="/word/diagrams/quickStyle8.xml" ContentType="application/vnd.openxmlformats-officedocument.drawingml.diagramStyle+xml"/>
  <Override PartName="/word/diagrams/colors8.xml" ContentType="application/vnd.openxmlformats-officedocument.drawingml.diagramColors+xml"/>
  <Override PartName="/word/diagrams/drawing8.xml" ContentType="application/vnd.ms-office.drawingml.diagramDrawing+xml"/>
  <Override PartName="/word/diagrams/data9.xml" ContentType="application/vnd.openxmlformats-officedocument.drawingml.diagramData+xml"/>
  <Override PartName="/word/diagrams/layout9.xml" ContentType="application/vnd.openxmlformats-officedocument.drawingml.diagramLayout+xml"/>
  <Override PartName="/word/diagrams/quickStyle9.xml" ContentType="application/vnd.openxmlformats-officedocument.drawingml.diagramStyle+xml"/>
  <Override PartName="/word/diagrams/colors9.xml" ContentType="application/vnd.openxmlformats-officedocument.drawingml.diagramColors+xml"/>
  <Override PartName="/word/diagrams/drawing9.xml" ContentType="application/vnd.ms-office.drawingml.diagramDrawing+xml"/>
  <Override PartName="/word/comments.xml" ContentType="application/vnd.openxmlformats-officedocument.wordprocessingml.comments+xml"/>
  <Override PartName="/word/commentsExtended.xml" ContentType="application/vnd.openxmlformats-officedocument.wordprocessingml.commentsExtended+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00000002" w14:textId="35933939" w:rsidR="00AD17D4" w:rsidRPr="00490D3B" w:rsidRDefault="004A3922" w:rsidP="007A5C2D">
      <w:pPr>
        <w:pStyle w:val="Normal0"/>
        <w:tabs>
          <w:tab w:val="left" w:pos="3224"/>
        </w:tabs>
        <w:jc w:val="center"/>
        <w:rPr>
          <w:b/>
          <w:sz w:val="20"/>
          <w:szCs w:val="20"/>
        </w:rPr>
      </w:pPr>
      <w:r w:rsidRPr="00490D3B">
        <w:rPr>
          <w:b/>
          <w:sz w:val="20"/>
          <w:szCs w:val="20"/>
        </w:rPr>
        <w:t xml:space="preserve">        </w:t>
      </w:r>
      <w:r w:rsidR="00C55557" w:rsidRPr="00490D3B">
        <w:rPr>
          <w:b/>
          <w:sz w:val="20"/>
          <w:szCs w:val="20"/>
        </w:rPr>
        <w:t>ANEXO FORMATO COMPONENTE FORMATIVO</w:t>
      </w:r>
    </w:p>
    <w:p w14:paraId="55E91FFA" w14:textId="77777777" w:rsidR="00C55557" w:rsidRPr="00490D3B" w:rsidRDefault="00C55557" w:rsidP="007A5C2D">
      <w:pPr>
        <w:pStyle w:val="Normal0"/>
        <w:tabs>
          <w:tab w:val="left" w:pos="3224"/>
        </w:tabs>
        <w:jc w:val="center"/>
        <w:rPr>
          <w:sz w:val="20"/>
          <w:szCs w:val="20"/>
        </w:rPr>
      </w:pPr>
    </w:p>
    <w:tbl>
      <w:tblPr>
        <w:tblStyle w:val="Style64"/>
        <w:tblW w:w="9962"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3397"/>
        <w:gridCol w:w="6565"/>
      </w:tblGrid>
      <w:tr w:rsidR="00AD17D4" w:rsidRPr="00490D3B" w14:paraId="57121341" w14:textId="77777777" w:rsidTr="00C55557">
        <w:trPr>
          <w:trHeight w:val="340"/>
        </w:trPr>
        <w:tc>
          <w:tcPr>
            <w:tcW w:w="3397" w:type="dxa"/>
            <w:shd w:val="clear" w:color="auto" w:fill="auto"/>
            <w:vAlign w:val="center"/>
          </w:tcPr>
          <w:p w14:paraId="00000003" w14:textId="77777777" w:rsidR="00AD17D4" w:rsidRPr="00490D3B" w:rsidRDefault="00025888" w:rsidP="007A5C2D">
            <w:pPr>
              <w:pStyle w:val="Normal0"/>
              <w:rPr>
                <w:sz w:val="20"/>
                <w:szCs w:val="20"/>
              </w:rPr>
            </w:pPr>
            <w:r w:rsidRPr="00490D3B">
              <w:rPr>
                <w:sz w:val="20"/>
                <w:szCs w:val="20"/>
              </w:rPr>
              <w:t>PROGRAMA DE FORMACIÓN</w:t>
            </w:r>
          </w:p>
        </w:tc>
        <w:tc>
          <w:tcPr>
            <w:tcW w:w="6565" w:type="dxa"/>
            <w:shd w:val="clear" w:color="auto" w:fill="auto"/>
            <w:vAlign w:val="center"/>
          </w:tcPr>
          <w:p w14:paraId="00000004" w14:textId="1FCA4226" w:rsidR="00AD17D4" w:rsidRPr="00490D3B" w:rsidRDefault="009B1E3F" w:rsidP="007A5C2D">
            <w:pPr>
              <w:pStyle w:val="Normal0"/>
              <w:rPr>
                <w:b w:val="0"/>
                <w:color w:val="E36C09"/>
                <w:sz w:val="20"/>
                <w:szCs w:val="20"/>
              </w:rPr>
            </w:pPr>
            <w:r w:rsidRPr="00490D3B">
              <w:rPr>
                <w:b w:val="0"/>
                <w:sz w:val="20"/>
                <w:szCs w:val="20"/>
                <w:lang w:val="es-ES"/>
              </w:rPr>
              <w:t>Elaboración de nota técnica en procesos de contratación en salud</w:t>
            </w:r>
            <w:r w:rsidR="00396FA1" w:rsidRPr="00490D3B">
              <w:rPr>
                <w:b w:val="0"/>
                <w:sz w:val="20"/>
                <w:szCs w:val="20"/>
                <w:lang w:val="es-ES"/>
              </w:rPr>
              <w:t>.</w:t>
            </w:r>
          </w:p>
        </w:tc>
      </w:tr>
    </w:tbl>
    <w:p w14:paraId="00000005" w14:textId="77777777" w:rsidR="00AD17D4" w:rsidRPr="00490D3B" w:rsidRDefault="00AD17D4" w:rsidP="007A5C2D">
      <w:pPr>
        <w:pStyle w:val="Normal0"/>
        <w:rPr>
          <w:sz w:val="20"/>
          <w:szCs w:val="20"/>
        </w:rPr>
      </w:pPr>
    </w:p>
    <w:tbl>
      <w:tblPr>
        <w:tblStyle w:val="Style65"/>
        <w:tblW w:w="9962"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838"/>
        <w:gridCol w:w="2835"/>
        <w:gridCol w:w="2126"/>
        <w:gridCol w:w="3163"/>
      </w:tblGrid>
      <w:tr w:rsidR="00AD17D4" w:rsidRPr="00490D3B" w14:paraId="3DB511B9" w14:textId="77777777" w:rsidTr="00C55557">
        <w:trPr>
          <w:trHeight w:val="340"/>
        </w:trPr>
        <w:tc>
          <w:tcPr>
            <w:tcW w:w="1838" w:type="dxa"/>
            <w:shd w:val="clear" w:color="auto" w:fill="auto"/>
            <w:vAlign w:val="center"/>
          </w:tcPr>
          <w:p w14:paraId="00000006" w14:textId="77777777" w:rsidR="00AD17D4" w:rsidRPr="00490D3B" w:rsidRDefault="00025888" w:rsidP="007A5C2D">
            <w:pPr>
              <w:pStyle w:val="Normal0"/>
              <w:rPr>
                <w:sz w:val="20"/>
                <w:szCs w:val="20"/>
              </w:rPr>
            </w:pPr>
            <w:r w:rsidRPr="00490D3B">
              <w:rPr>
                <w:sz w:val="20"/>
                <w:szCs w:val="20"/>
              </w:rPr>
              <w:t>COMPETENCIA</w:t>
            </w:r>
          </w:p>
        </w:tc>
        <w:tc>
          <w:tcPr>
            <w:tcW w:w="2835" w:type="dxa"/>
            <w:shd w:val="clear" w:color="auto" w:fill="auto"/>
            <w:vAlign w:val="center"/>
          </w:tcPr>
          <w:p w14:paraId="00000007" w14:textId="194369F8" w:rsidR="00AD17D4" w:rsidRPr="00490D3B" w:rsidRDefault="009B1E3F" w:rsidP="007A5C2D">
            <w:pPr>
              <w:pStyle w:val="Normal0"/>
              <w:rPr>
                <w:b w:val="0"/>
                <w:sz w:val="20"/>
                <w:szCs w:val="20"/>
                <w:u w:val="single"/>
              </w:rPr>
            </w:pPr>
            <w:r w:rsidRPr="00490D3B">
              <w:rPr>
                <w:sz w:val="20"/>
                <w:szCs w:val="20"/>
                <w:lang w:val="es-ES"/>
              </w:rPr>
              <w:t xml:space="preserve">230101262. </w:t>
            </w:r>
            <w:r w:rsidRPr="00490D3B">
              <w:rPr>
                <w:b w:val="0"/>
                <w:sz w:val="20"/>
                <w:szCs w:val="20"/>
                <w:lang w:val="es-ES"/>
              </w:rPr>
              <w:t>Evaluar soportes de atención medica según manual técnico y normativa de salud.</w:t>
            </w:r>
          </w:p>
        </w:tc>
        <w:tc>
          <w:tcPr>
            <w:tcW w:w="2126" w:type="dxa"/>
            <w:shd w:val="clear" w:color="auto" w:fill="auto"/>
            <w:vAlign w:val="center"/>
          </w:tcPr>
          <w:p w14:paraId="00000008" w14:textId="77777777" w:rsidR="00AD17D4" w:rsidRPr="00490D3B" w:rsidRDefault="00025888" w:rsidP="007A5C2D">
            <w:pPr>
              <w:pStyle w:val="Normal0"/>
              <w:rPr>
                <w:sz w:val="20"/>
                <w:szCs w:val="20"/>
              </w:rPr>
            </w:pPr>
            <w:r w:rsidRPr="00490D3B">
              <w:rPr>
                <w:sz w:val="20"/>
                <w:szCs w:val="20"/>
              </w:rPr>
              <w:t>RESULTADOS DE APRENDIZAJE</w:t>
            </w:r>
          </w:p>
        </w:tc>
        <w:tc>
          <w:tcPr>
            <w:tcW w:w="3163" w:type="dxa"/>
            <w:shd w:val="clear" w:color="auto" w:fill="auto"/>
            <w:vAlign w:val="center"/>
          </w:tcPr>
          <w:p w14:paraId="4634CC44" w14:textId="77777777" w:rsidR="002C5768" w:rsidRPr="00490D3B" w:rsidRDefault="002C5768" w:rsidP="002C5768">
            <w:pPr>
              <w:pStyle w:val="Normal0"/>
              <w:ind w:left="66"/>
              <w:rPr>
                <w:sz w:val="20"/>
                <w:szCs w:val="20"/>
                <w:lang w:val="es-ES"/>
              </w:rPr>
            </w:pPr>
            <w:r w:rsidRPr="00490D3B">
              <w:rPr>
                <w:sz w:val="20"/>
                <w:szCs w:val="20"/>
                <w:lang w:val="es-ES"/>
              </w:rPr>
              <w:t xml:space="preserve">230101262-03. </w:t>
            </w:r>
            <w:r w:rsidRPr="00490D3B">
              <w:rPr>
                <w:b w:val="0"/>
                <w:sz w:val="20"/>
                <w:szCs w:val="20"/>
                <w:lang w:val="es-ES"/>
              </w:rPr>
              <w:t>Elaborar nota técnica teniendo en cuenta análisis de necesidades y parámetros de contratación en el sector salud.</w:t>
            </w:r>
          </w:p>
          <w:p w14:paraId="00000009" w14:textId="728D1E99" w:rsidR="006C6262" w:rsidRPr="00490D3B" w:rsidRDefault="002C5768" w:rsidP="002C5768">
            <w:pPr>
              <w:pStyle w:val="Normal0"/>
              <w:ind w:left="66"/>
              <w:rPr>
                <w:b w:val="0"/>
                <w:sz w:val="20"/>
                <w:szCs w:val="20"/>
              </w:rPr>
            </w:pPr>
            <w:r w:rsidRPr="00490D3B">
              <w:rPr>
                <w:sz w:val="20"/>
                <w:szCs w:val="20"/>
                <w:lang w:val="es-ES"/>
              </w:rPr>
              <w:t xml:space="preserve">230101262-04. </w:t>
            </w:r>
            <w:r w:rsidRPr="00490D3B">
              <w:rPr>
                <w:b w:val="0"/>
                <w:sz w:val="20"/>
                <w:szCs w:val="20"/>
                <w:lang w:val="es-ES"/>
              </w:rPr>
              <w:t>Validar nota técnica teniendo en cuenta revisión jurídica y financiera.</w:t>
            </w:r>
          </w:p>
        </w:tc>
      </w:tr>
    </w:tbl>
    <w:p w14:paraId="6E5288D5" w14:textId="4C8E3BD5" w:rsidR="00AD17D4" w:rsidRPr="00490D3B" w:rsidRDefault="00AD17D4" w:rsidP="007A5C2D">
      <w:pPr>
        <w:pStyle w:val="Normal0"/>
        <w:rPr>
          <w:sz w:val="20"/>
          <w:szCs w:val="20"/>
        </w:rPr>
      </w:pPr>
    </w:p>
    <w:tbl>
      <w:tblPr>
        <w:tblStyle w:val="Style66"/>
        <w:tblW w:w="9962"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3397"/>
        <w:gridCol w:w="6565"/>
      </w:tblGrid>
      <w:tr w:rsidR="00AD17D4" w:rsidRPr="00490D3B" w14:paraId="49D4BFBB" w14:textId="77777777" w:rsidTr="00C55557">
        <w:trPr>
          <w:trHeight w:val="340"/>
        </w:trPr>
        <w:tc>
          <w:tcPr>
            <w:tcW w:w="3397" w:type="dxa"/>
            <w:shd w:val="clear" w:color="auto" w:fill="auto"/>
            <w:vAlign w:val="center"/>
          </w:tcPr>
          <w:p w14:paraId="0000000C" w14:textId="77777777" w:rsidR="00AD17D4" w:rsidRPr="00490D3B" w:rsidRDefault="00025888" w:rsidP="007A5C2D">
            <w:pPr>
              <w:pStyle w:val="Normal0"/>
              <w:rPr>
                <w:sz w:val="20"/>
                <w:szCs w:val="20"/>
              </w:rPr>
            </w:pPr>
            <w:r w:rsidRPr="00490D3B">
              <w:rPr>
                <w:sz w:val="20"/>
                <w:szCs w:val="20"/>
              </w:rPr>
              <w:t>NÚMERO DEL COMPONENTE FORMATIVO</w:t>
            </w:r>
          </w:p>
        </w:tc>
        <w:tc>
          <w:tcPr>
            <w:tcW w:w="6565" w:type="dxa"/>
            <w:shd w:val="clear" w:color="auto" w:fill="auto"/>
            <w:vAlign w:val="center"/>
          </w:tcPr>
          <w:p w14:paraId="0000000D" w14:textId="47E476D5" w:rsidR="00AD17D4" w:rsidRPr="00490D3B" w:rsidRDefault="002C5768" w:rsidP="007A5C2D">
            <w:pPr>
              <w:pStyle w:val="Normal0"/>
              <w:rPr>
                <w:b w:val="0"/>
                <w:color w:val="39A900"/>
                <w:sz w:val="20"/>
                <w:szCs w:val="20"/>
              </w:rPr>
            </w:pPr>
            <w:r w:rsidRPr="00490D3B">
              <w:rPr>
                <w:b w:val="0"/>
                <w:sz w:val="20"/>
                <w:szCs w:val="20"/>
              </w:rPr>
              <w:t>02</w:t>
            </w:r>
          </w:p>
        </w:tc>
      </w:tr>
      <w:tr w:rsidR="00AD17D4" w:rsidRPr="00490D3B" w14:paraId="5196225A" w14:textId="77777777" w:rsidTr="00C55557">
        <w:trPr>
          <w:trHeight w:val="340"/>
        </w:trPr>
        <w:tc>
          <w:tcPr>
            <w:tcW w:w="3397" w:type="dxa"/>
            <w:shd w:val="clear" w:color="auto" w:fill="auto"/>
            <w:vAlign w:val="center"/>
          </w:tcPr>
          <w:p w14:paraId="0000000E" w14:textId="77777777" w:rsidR="00AD17D4" w:rsidRPr="00490D3B" w:rsidRDefault="00025888" w:rsidP="007A5C2D">
            <w:pPr>
              <w:pStyle w:val="Normal0"/>
              <w:rPr>
                <w:sz w:val="20"/>
                <w:szCs w:val="20"/>
              </w:rPr>
            </w:pPr>
            <w:r w:rsidRPr="00490D3B">
              <w:rPr>
                <w:sz w:val="20"/>
                <w:szCs w:val="20"/>
              </w:rPr>
              <w:t>NOMBRE DEL COMPONENTE FORMATIVO</w:t>
            </w:r>
          </w:p>
        </w:tc>
        <w:tc>
          <w:tcPr>
            <w:tcW w:w="6565" w:type="dxa"/>
            <w:shd w:val="clear" w:color="auto" w:fill="auto"/>
            <w:vAlign w:val="center"/>
          </w:tcPr>
          <w:p w14:paraId="0000000F" w14:textId="16230428" w:rsidR="00AD17D4" w:rsidRPr="00490D3B" w:rsidRDefault="002C5768" w:rsidP="00EC79FE">
            <w:pPr>
              <w:pStyle w:val="Normal0"/>
              <w:rPr>
                <w:b w:val="0"/>
                <w:color w:val="39A900"/>
                <w:sz w:val="20"/>
                <w:szCs w:val="20"/>
              </w:rPr>
            </w:pPr>
            <w:r w:rsidRPr="00490D3B">
              <w:rPr>
                <w:b w:val="0"/>
                <w:sz w:val="20"/>
                <w:szCs w:val="20"/>
                <w:lang w:val="es-ES"/>
              </w:rPr>
              <w:t>Elaboración y validación de la nota técnica</w:t>
            </w:r>
            <w:r w:rsidR="00396FA1" w:rsidRPr="00490D3B">
              <w:rPr>
                <w:b w:val="0"/>
                <w:sz w:val="20"/>
                <w:szCs w:val="20"/>
                <w:lang w:val="es-ES"/>
              </w:rPr>
              <w:t>.</w:t>
            </w:r>
          </w:p>
        </w:tc>
      </w:tr>
      <w:tr w:rsidR="00AD17D4" w:rsidRPr="00490D3B" w14:paraId="323364CF" w14:textId="77777777" w:rsidTr="00C55557">
        <w:trPr>
          <w:trHeight w:val="340"/>
        </w:trPr>
        <w:tc>
          <w:tcPr>
            <w:tcW w:w="3397" w:type="dxa"/>
            <w:shd w:val="clear" w:color="auto" w:fill="auto"/>
            <w:vAlign w:val="center"/>
          </w:tcPr>
          <w:p w14:paraId="00000010" w14:textId="77777777" w:rsidR="00AD17D4" w:rsidRPr="00490D3B" w:rsidRDefault="00025888" w:rsidP="007A5C2D">
            <w:pPr>
              <w:pStyle w:val="Normal0"/>
              <w:rPr>
                <w:sz w:val="20"/>
                <w:szCs w:val="20"/>
              </w:rPr>
            </w:pPr>
            <w:r w:rsidRPr="00490D3B">
              <w:rPr>
                <w:sz w:val="20"/>
                <w:szCs w:val="20"/>
              </w:rPr>
              <w:t>BREVE DESCRIPCIÓN</w:t>
            </w:r>
          </w:p>
        </w:tc>
        <w:tc>
          <w:tcPr>
            <w:tcW w:w="6565" w:type="dxa"/>
            <w:shd w:val="clear" w:color="auto" w:fill="auto"/>
            <w:vAlign w:val="center"/>
          </w:tcPr>
          <w:p w14:paraId="00000011" w14:textId="4EA6F8A7" w:rsidR="00AD17D4" w:rsidRPr="00490D3B" w:rsidRDefault="004813A0" w:rsidP="00A069B3">
            <w:pPr>
              <w:pStyle w:val="Normal0"/>
              <w:rPr>
                <w:b w:val="0"/>
                <w:color w:val="39A900"/>
                <w:sz w:val="20"/>
                <w:szCs w:val="20"/>
                <w:highlight w:val="yellow"/>
              </w:rPr>
            </w:pPr>
            <w:r w:rsidRPr="00490D3B">
              <w:rPr>
                <w:b w:val="0"/>
                <w:sz w:val="20"/>
                <w:szCs w:val="20"/>
                <w:lang w:val="es-ES"/>
              </w:rPr>
              <w:t>El componente desarrolla los elementos necesarios para elaborar, revisar, validar, ajustar y evaluar una nota técnica, integrando cálculos, costos, indicadores, riesgos, servicios y modalidades de contratación. Asimismo, aborda los procesos de validación técnica, jurídica y financiera, el seguimiento de resultados y la formulación de acciones de mejora para fortalecer la calidad y pertinencia de la nota técnica.</w:t>
            </w:r>
          </w:p>
        </w:tc>
      </w:tr>
      <w:tr w:rsidR="00AD17D4" w:rsidRPr="00490D3B" w14:paraId="4789F7AB" w14:textId="77777777" w:rsidTr="00C55557">
        <w:trPr>
          <w:trHeight w:val="340"/>
        </w:trPr>
        <w:tc>
          <w:tcPr>
            <w:tcW w:w="3397" w:type="dxa"/>
            <w:shd w:val="clear" w:color="auto" w:fill="auto"/>
            <w:vAlign w:val="center"/>
          </w:tcPr>
          <w:p w14:paraId="00000012" w14:textId="77777777" w:rsidR="00AD17D4" w:rsidRPr="00490D3B" w:rsidRDefault="00025888" w:rsidP="007A5C2D">
            <w:pPr>
              <w:pStyle w:val="Normal0"/>
              <w:rPr>
                <w:sz w:val="20"/>
                <w:szCs w:val="20"/>
              </w:rPr>
            </w:pPr>
            <w:r w:rsidRPr="00490D3B">
              <w:rPr>
                <w:sz w:val="20"/>
                <w:szCs w:val="20"/>
              </w:rPr>
              <w:t>PALABRAS CLAVE</w:t>
            </w:r>
          </w:p>
        </w:tc>
        <w:tc>
          <w:tcPr>
            <w:tcW w:w="6565" w:type="dxa"/>
            <w:shd w:val="clear" w:color="auto" w:fill="auto"/>
            <w:vAlign w:val="center"/>
          </w:tcPr>
          <w:p w14:paraId="00000013" w14:textId="09929E79" w:rsidR="00AD17D4" w:rsidRPr="00490D3B" w:rsidRDefault="004813A0" w:rsidP="004813A0">
            <w:pPr>
              <w:pStyle w:val="Normal0"/>
              <w:rPr>
                <w:b w:val="0"/>
                <w:bCs/>
                <w:sz w:val="20"/>
                <w:szCs w:val="20"/>
                <w:lang w:val="es-ES"/>
              </w:rPr>
            </w:pPr>
            <w:r w:rsidRPr="00490D3B">
              <w:rPr>
                <w:b w:val="0"/>
                <w:bCs/>
                <w:sz w:val="20"/>
                <w:szCs w:val="20"/>
                <w:lang w:val="es-ES"/>
              </w:rPr>
              <w:t>Elaboración, validación, cálculos, riesgos, mejoramiento.</w:t>
            </w:r>
          </w:p>
        </w:tc>
      </w:tr>
    </w:tbl>
    <w:p w14:paraId="00000014" w14:textId="77777777" w:rsidR="00AD17D4" w:rsidRPr="00490D3B" w:rsidRDefault="00AD17D4" w:rsidP="007A5C2D">
      <w:pPr>
        <w:pStyle w:val="Normal0"/>
        <w:rPr>
          <w:sz w:val="20"/>
          <w:szCs w:val="20"/>
        </w:rPr>
      </w:pPr>
    </w:p>
    <w:tbl>
      <w:tblPr>
        <w:tblStyle w:val="Style67"/>
        <w:tblW w:w="9962"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3397"/>
        <w:gridCol w:w="6565"/>
      </w:tblGrid>
      <w:tr w:rsidR="00AD17D4" w:rsidRPr="00490D3B" w14:paraId="4F59971A" w14:textId="77777777" w:rsidTr="00C55557">
        <w:trPr>
          <w:trHeight w:val="340"/>
        </w:trPr>
        <w:tc>
          <w:tcPr>
            <w:tcW w:w="3397" w:type="dxa"/>
            <w:shd w:val="clear" w:color="auto" w:fill="auto"/>
            <w:vAlign w:val="center"/>
          </w:tcPr>
          <w:p w14:paraId="00000015" w14:textId="77777777" w:rsidR="00AD17D4" w:rsidRPr="00490D3B" w:rsidRDefault="00025888" w:rsidP="006B703D">
            <w:pPr>
              <w:pStyle w:val="Normal0"/>
              <w:rPr>
                <w:sz w:val="20"/>
                <w:szCs w:val="20"/>
              </w:rPr>
            </w:pPr>
            <w:r w:rsidRPr="00490D3B">
              <w:rPr>
                <w:sz w:val="20"/>
                <w:szCs w:val="20"/>
              </w:rPr>
              <w:t>ÁREA OCUPACIONAL</w:t>
            </w:r>
          </w:p>
        </w:tc>
        <w:tc>
          <w:tcPr>
            <w:tcW w:w="6565" w:type="dxa"/>
            <w:shd w:val="clear" w:color="auto" w:fill="auto"/>
            <w:vAlign w:val="center"/>
          </w:tcPr>
          <w:p w14:paraId="00000020" w14:textId="68A42D77" w:rsidR="00AD17D4" w:rsidRPr="00490D3B" w:rsidRDefault="009B1E3F" w:rsidP="006B703D">
            <w:pPr>
              <w:pStyle w:val="Normal0"/>
              <w:rPr>
                <w:b w:val="0"/>
                <w:color w:val="39A900"/>
                <w:sz w:val="20"/>
                <w:szCs w:val="20"/>
              </w:rPr>
            </w:pPr>
            <w:r w:rsidRPr="00490D3B">
              <w:rPr>
                <w:b w:val="0"/>
                <w:sz w:val="20"/>
                <w:szCs w:val="20"/>
                <w:lang w:val="es-ES"/>
              </w:rPr>
              <w:t>Servicios</w:t>
            </w:r>
            <w:r w:rsidR="00011C67" w:rsidRPr="00490D3B">
              <w:rPr>
                <w:b w:val="0"/>
                <w:sz w:val="20"/>
                <w:szCs w:val="20"/>
                <w:lang w:val="es-ES"/>
              </w:rPr>
              <w:t xml:space="preserve"> de la salud</w:t>
            </w:r>
            <w:r w:rsidRPr="00490D3B">
              <w:rPr>
                <w:b w:val="0"/>
                <w:sz w:val="20"/>
                <w:szCs w:val="20"/>
                <w:lang w:val="es-ES"/>
              </w:rPr>
              <w:t>.</w:t>
            </w:r>
          </w:p>
        </w:tc>
      </w:tr>
      <w:tr w:rsidR="00AD17D4" w:rsidRPr="00490D3B" w14:paraId="6E9ED268" w14:textId="77777777" w:rsidTr="00C55557">
        <w:trPr>
          <w:trHeight w:val="465"/>
        </w:trPr>
        <w:tc>
          <w:tcPr>
            <w:tcW w:w="3397" w:type="dxa"/>
            <w:shd w:val="clear" w:color="auto" w:fill="auto"/>
            <w:vAlign w:val="center"/>
          </w:tcPr>
          <w:p w14:paraId="00000021" w14:textId="77777777" w:rsidR="00AD17D4" w:rsidRPr="00490D3B" w:rsidRDefault="00025888" w:rsidP="006B703D">
            <w:pPr>
              <w:pStyle w:val="Normal0"/>
              <w:rPr>
                <w:sz w:val="20"/>
                <w:szCs w:val="20"/>
              </w:rPr>
            </w:pPr>
            <w:r w:rsidRPr="00490D3B">
              <w:rPr>
                <w:sz w:val="20"/>
                <w:szCs w:val="20"/>
              </w:rPr>
              <w:t>IDIOMA</w:t>
            </w:r>
          </w:p>
        </w:tc>
        <w:tc>
          <w:tcPr>
            <w:tcW w:w="6565" w:type="dxa"/>
            <w:shd w:val="clear" w:color="auto" w:fill="auto"/>
            <w:vAlign w:val="center"/>
          </w:tcPr>
          <w:p w14:paraId="00000022" w14:textId="3C692FC1" w:rsidR="00AD17D4" w:rsidRPr="00490D3B" w:rsidRDefault="00025888" w:rsidP="006B703D">
            <w:pPr>
              <w:pStyle w:val="Normal0"/>
              <w:rPr>
                <w:color w:val="39A900"/>
                <w:sz w:val="20"/>
                <w:szCs w:val="20"/>
              </w:rPr>
            </w:pPr>
            <w:r w:rsidRPr="00490D3B">
              <w:rPr>
                <w:b w:val="0"/>
                <w:color w:val="000000"/>
                <w:sz w:val="20"/>
                <w:szCs w:val="20"/>
              </w:rPr>
              <w:t>Español</w:t>
            </w:r>
            <w:r w:rsidR="0086737C" w:rsidRPr="00490D3B">
              <w:rPr>
                <w:b w:val="0"/>
                <w:color w:val="000000"/>
                <w:sz w:val="20"/>
                <w:szCs w:val="20"/>
              </w:rPr>
              <w:t>.</w:t>
            </w:r>
          </w:p>
        </w:tc>
      </w:tr>
    </w:tbl>
    <w:p w14:paraId="163358DA" w14:textId="58633032" w:rsidR="00AD17D4" w:rsidRPr="00490D3B" w:rsidRDefault="00AD17D4" w:rsidP="006B703D">
      <w:pPr>
        <w:pStyle w:val="Normal0"/>
        <w:rPr>
          <w:b/>
          <w:color w:val="000000"/>
          <w:sz w:val="20"/>
          <w:szCs w:val="20"/>
        </w:rPr>
      </w:pPr>
    </w:p>
    <w:p w14:paraId="703CDACF" w14:textId="77777777" w:rsidR="002C5768" w:rsidRPr="00490D3B" w:rsidRDefault="002C5768" w:rsidP="006B703D">
      <w:pPr>
        <w:pStyle w:val="Normal0"/>
        <w:rPr>
          <w:b/>
          <w:color w:val="000000"/>
          <w:sz w:val="20"/>
          <w:szCs w:val="20"/>
        </w:rPr>
      </w:pPr>
    </w:p>
    <w:p w14:paraId="00000028" w14:textId="77777777" w:rsidR="00AD17D4" w:rsidRPr="00490D3B" w:rsidRDefault="00025888" w:rsidP="001B5F0C">
      <w:pPr>
        <w:pStyle w:val="Normal0"/>
        <w:numPr>
          <w:ilvl w:val="0"/>
          <w:numId w:val="1"/>
        </w:numPr>
        <w:ind w:left="284" w:hanging="284"/>
        <w:rPr>
          <w:b/>
          <w:sz w:val="20"/>
          <w:szCs w:val="20"/>
        </w:rPr>
      </w:pPr>
      <w:r w:rsidRPr="00490D3B">
        <w:rPr>
          <w:b/>
          <w:sz w:val="20"/>
          <w:szCs w:val="20"/>
        </w:rPr>
        <w:t xml:space="preserve">TABLA DE CONTENIDOS: </w:t>
      </w:r>
    </w:p>
    <w:p w14:paraId="00000029" w14:textId="77777777" w:rsidR="00AD17D4" w:rsidRPr="00490D3B" w:rsidRDefault="00AD17D4" w:rsidP="001B5F0C">
      <w:pPr>
        <w:pStyle w:val="Normal0"/>
        <w:rPr>
          <w:b/>
          <w:sz w:val="20"/>
          <w:szCs w:val="20"/>
        </w:rPr>
      </w:pPr>
    </w:p>
    <w:p w14:paraId="001F1C83" w14:textId="77777777" w:rsidR="00AD17D4" w:rsidRPr="00490D3B" w:rsidRDefault="00025888" w:rsidP="001B5F0C">
      <w:pPr>
        <w:pStyle w:val="Normal0"/>
        <w:rPr>
          <w:b/>
          <w:color w:val="000000"/>
          <w:sz w:val="20"/>
          <w:szCs w:val="20"/>
        </w:rPr>
      </w:pPr>
      <w:r w:rsidRPr="00490D3B">
        <w:rPr>
          <w:b/>
          <w:color w:val="000000"/>
          <w:sz w:val="20"/>
          <w:szCs w:val="20"/>
        </w:rPr>
        <w:t>Introducción</w:t>
      </w:r>
    </w:p>
    <w:p w14:paraId="089E1F2E" w14:textId="3626A8A4" w:rsidR="008A161D" w:rsidRPr="00490D3B" w:rsidRDefault="008A161D" w:rsidP="008A161D">
      <w:pPr>
        <w:pStyle w:val="Normal0"/>
        <w:numPr>
          <w:ilvl w:val="0"/>
          <w:numId w:val="29"/>
        </w:numPr>
        <w:rPr>
          <w:rFonts w:eastAsia="Calibri"/>
          <w:b/>
          <w:bCs/>
          <w:sz w:val="20"/>
          <w:szCs w:val="20"/>
          <w:lang w:eastAsia="en-US"/>
        </w:rPr>
      </w:pPr>
      <w:r w:rsidRPr="00490D3B">
        <w:rPr>
          <w:rFonts w:eastAsia="Calibri"/>
          <w:b/>
          <w:bCs/>
          <w:sz w:val="20"/>
          <w:szCs w:val="20"/>
          <w:lang w:eastAsia="en-US"/>
        </w:rPr>
        <w:t>Estructura y elementos previos de la nota técnica</w:t>
      </w:r>
    </w:p>
    <w:p w14:paraId="7D74FEF7" w14:textId="231D4D2E" w:rsidR="008A161D" w:rsidRPr="00490D3B" w:rsidRDefault="008A161D" w:rsidP="008A161D">
      <w:pPr>
        <w:pStyle w:val="Normal0"/>
        <w:numPr>
          <w:ilvl w:val="1"/>
          <w:numId w:val="29"/>
        </w:numPr>
        <w:rPr>
          <w:rFonts w:eastAsia="Calibri"/>
          <w:bCs/>
          <w:sz w:val="20"/>
          <w:szCs w:val="20"/>
          <w:lang w:eastAsia="en-US"/>
        </w:rPr>
      </w:pPr>
      <w:r w:rsidRPr="00490D3B">
        <w:rPr>
          <w:rFonts w:eastAsia="Calibri"/>
          <w:bCs/>
          <w:sz w:val="20"/>
          <w:szCs w:val="20"/>
          <w:lang w:eastAsia="en-US"/>
        </w:rPr>
        <w:t>Estructura de la nota técnica</w:t>
      </w:r>
    </w:p>
    <w:p w14:paraId="0C664D62" w14:textId="6E508B9C" w:rsidR="008A161D" w:rsidRPr="00490D3B" w:rsidRDefault="008A161D" w:rsidP="008A161D">
      <w:pPr>
        <w:pStyle w:val="Normal0"/>
        <w:numPr>
          <w:ilvl w:val="1"/>
          <w:numId w:val="29"/>
        </w:numPr>
        <w:rPr>
          <w:rFonts w:eastAsia="Calibri"/>
          <w:bCs/>
          <w:sz w:val="20"/>
          <w:szCs w:val="20"/>
          <w:lang w:eastAsia="en-US"/>
        </w:rPr>
      </w:pPr>
      <w:r w:rsidRPr="00490D3B">
        <w:rPr>
          <w:rFonts w:eastAsia="Calibri"/>
          <w:bCs/>
          <w:sz w:val="20"/>
          <w:szCs w:val="20"/>
          <w:lang w:eastAsia="en-US"/>
        </w:rPr>
        <w:t>Identificación de servicios y procedimientos</w:t>
      </w:r>
    </w:p>
    <w:p w14:paraId="4BB3619F" w14:textId="6B7E7B64" w:rsidR="008A161D" w:rsidRPr="00490D3B" w:rsidRDefault="008A161D" w:rsidP="008A161D">
      <w:pPr>
        <w:pStyle w:val="Normal0"/>
        <w:numPr>
          <w:ilvl w:val="1"/>
          <w:numId w:val="29"/>
        </w:numPr>
        <w:rPr>
          <w:rFonts w:eastAsia="Calibri"/>
          <w:bCs/>
          <w:sz w:val="20"/>
          <w:szCs w:val="20"/>
          <w:lang w:eastAsia="en-US"/>
        </w:rPr>
      </w:pPr>
      <w:r w:rsidRPr="00490D3B">
        <w:rPr>
          <w:rFonts w:eastAsia="Calibri"/>
          <w:bCs/>
          <w:sz w:val="20"/>
          <w:szCs w:val="20"/>
          <w:lang w:eastAsia="en-US"/>
        </w:rPr>
        <w:t>Elaboración de cálculos e indicadores</w:t>
      </w:r>
    </w:p>
    <w:p w14:paraId="3BB4F35E" w14:textId="1215DAFB" w:rsidR="008A161D" w:rsidRPr="00490D3B" w:rsidRDefault="008A161D" w:rsidP="008A161D">
      <w:pPr>
        <w:pStyle w:val="Normal0"/>
        <w:numPr>
          <w:ilvl w:val="1"/>
          <w:numId w:val="29"/>
        </w:numPr>
        <w:rPr>
          <w:rFonts w:eastAsia="Calibri"/>
          <w:bCs/>
          <w:sz w:val="20"/>
          <w:szCs w:val="20"/>
          <w:lang w:eastAsia="en-US"/>
        </w:rPr>
      </w:pPr>
      <w:r w:rsidRPr="00490D3B">
        <w:rPr>
          <w:rFonts w:eastAsia="Calibri"/>
          <w:bCs/>
          <w:sz w:val="20"/>
          <w:szCs w:val="20"/>
          <w:lang w:eastAsia="en-US"/>
        </w:rPr>
        <w:t>Costos y tarifas</w:t>
      </w:r>
    </w:p>
    <w:p w14:paraId="3928D6FF" w14:textId="72F457E9" w:rsidR="008A161D" w:rsidRPr="00490D3B" w:rsidRDefault="008A161D" w:rsidP="008A161D">
      <w:pPr>
        <w:pStyle w:val="Normal0"/>
        <w:numPr>
          <w:ilvl w:val="1"/>
          <w:numId w:val="29"/>
        </w:numPr>
        <w:rPr>
          <w:rFonts w:eastAsia="Calibri"/>
          <w:b/>
          <w:bCs/>
          <w:sz w:val="20"/>
          <w:szCs w:val="20"/>
          <w:lang w:eastAsia="en-US"/>
        </w:rPr>
      </w:pPr>
      <w:r w:rsidRPr="00490D3B">
        <w:rPr>
          <w:rFonts w:eastAsia="Calibri"/>
          <w:bCs/>
          <w:sz w:val="20"/>
          <w:szCs w:val="20"/>
          <w:lang w:eastAsia="en-US"/>
        </w:rPr>
        <w:t>Riesgo primario y riesgo técnico</w:t>
      </w:r>
    </w:p>
    <w:p w14:paraId="6ECCC854" w14:textId="5A0FEF13" w:rsidR="008A161D" w:rsidRPr="00490D3B" w:rsidRDefault="008A161D" w:rsidP="008A161D">
      <w:pPr>
        <w:pStyle w:val="Normal0"/>
        <w:numPr>
          <w:ilvl w:val="0"/>
          <w:numId w:val="29"/>
        </w:numPr>
        <w:rPr>
          <w:rFonts w:eastAsia="Calibri"/>
          <w:b/>
          <w:bCs/>
          <w:sz w:val="20"/>
          <w:szCs w:val="20"/>
          <w:lang w:eastAsia="en-US"/>
        </w:rPr>
      </w:pPr>
      <w:r w:rsidRPr="00490D3B">
        <w:rPr>
          <w:rFonts w:eastAsia="Calibri"/>
          <w:b/>
          <w:bCs/>
          <w:sz w:val="20"/>
          <w:szCs w:val="20"/>
          <w:lang w:eastAsia="en-US"/>
        </w:rPr>
        <w:t>Elaboración de la nota técnica</w:t>
      </w:r>
    </w:p>
    <w:p w14:paraId="258AD1A1" w14:textId="4E52D05A" w:rsidR="008A161D" w:rsidRPr="00490D3B" w:rsidRDefault="008A161D" w:rsidP="008A161D">
      <w:pPr>
        <w:pStyle w:val="Normal0"/>
        <w:numPr>
          <w:ilvl w:val="1"/>
          <w:numId w:val="29"/>
        </w:numPr>
        <w:rPr>
          <w:rFonts w:eastAsia="Calibri"/>
          <w:bCs/>
          <w:sz w:val="20"/>
          <w:szCs w:val="20"/>
          <w:lang w:eastAsia="en-US"/>
        </w:rPr>
      </w:pPr>
      <w:r w:rsidRPr="00490D3B">
        <w:rPr>
          <w:rFonts w:eastAsia="Calibri"/>
          <w:bCs/>
          <w:sz w:val="20"/>
          <w:szCs w:val="20"/>
          <w:lang w:eastAsia="en-US"/>
        </w:rPr>
        <w:t>Lineamientos para la elaboración de la nota técnica</w:t>
      </w:r>
    </w:p>
    <w:p w14:paraId="5998E35B" w14:textId="2AE201E8" w:rsidR="008A161D" w:rsidRPr="00490D3B" w:rsidRDefault="008A161D" w:rsidP="008A161D">
      <w:pPr>
        <w:pStyle w:val="Normal0"/>
        <w:numPr>
          <w:ilvl w:val="1"/>
          <w:numId w:val="29"/>
        </w:numPr>
        <w:rPr>
          <w:rFonts w:eastAsia="Calibri"/>
          <w:bCs/>
          <w:sz w:val="20"/>
          <w:szCs w:val="20"/>
          <w:lang w:eastAsia="en-US"/>
        </w:rPr>
      </w:pPr>
      <w:r w:rsidRPr="00490D3B">
        <w:rPr>
          <w:rFonts w:eastAsia="Calibri"/>
          <w:bCs/>
          <w:sz w:val="20"/>
          <w:szCs w:val="20"/>
          <w:lang w:eastAsia="en-US"/>
        </w:rPr>
        <w:t>Construcción y organización de la información</w:t>
      </w:r>
    </w:p>
    <w:p w14:paraId="5956FA0A" w14:textId="4FA5E8D5" w:rsidR="008A161D" w:rsidRPr="00490D3B" w:rsidRDefault="008A161D" w:rsidP="008A161D">
      <w:pPr>
        <w:pStyle w:val="Normal0"/>
        <w:numPr>
          <w:ilvl w:val="1"/>
          <w:numId w:val="29"/>
        </w:numPr>
        <w:rPr>
          <w:rFonts w:eastAsia="Calibri"/>
          <w:bCs/>
          <w:sz w:val="20"/>
          <w:szCs w:val="20"/>
          <w:lang w:eastAsia="en-US"/>
        </w:rPr>
      </w:pPr>
      <w:r w:rsidRPr="00490D3B">
        <w:rPr>
          <w:rFonts w:eastAsia="Calibri"/>
          <w:bCs/>
          <w:sz w:val="20"/>
          <w:szCs w:val="20"/>
          <w:lang w:eastAsia="en-US"/>
        </w:rPr>
        <w:t>Nota técnica según la modalidad de contratación</w:t>
      </w:r>
    </w:p>
    <w:p w14:paraId="78C3459E" w14:textId="3AC917E1" w:rsidR="008A161D" w:rsidRPr="00490D3B" w:rsidRDefault="008A161D" w:rsidP="008A161D">
      <w:pPr>
        <w:pStyle w:val="Normal0"/>
        <w:numPr>
          <w:ilvl w:val="1"/>
          <w:numId w:val="29"/>
        </w:numPr>
        <w:rPr>
          <w:rFonts w:eastAsia="Calibri"/>
          <w:bCs/>
          <w:sz w:val="20"/>
          <w:szCs w:val="20"/>
          <w:lang w:eastAsia="en-US"/>
        </w:rPr>
      </w:pPr>
      <w:r w:rsidRPr="00490D3B">
        <w:rPr>
          <w:rFonts w:eastAsia="Calibri"/>
          <w:bCs/>
          <w:sz w:val="20"/>
          <w:szCs w:val="20"/>
          <w:lang w:eastAsia="en-US"/>
        </w:rPr>
        <w:t>Integración y consolidación de la nota técnica</w:t>
      </w:r>
    </w:p>
    <w:p w14:paraId="606F5FCB" w14:textId="15B8D157" w:rsidR="008A161D" w:rsidRPr="00490D3B" w:rsidRDefault="008A161D" w:rsidP="008A161D">
      <w:pPr>
        <w:pStyle w:val="Normal0"/>
        <w:numPr>
          <w:ilvl w:val="1"/>
          <w:numId w:val="29"/>
        </w:numPr>
        <w:rPr>
          <w:rFonts w:eastAsia="Calibri"/>
          <w:bCs/>
          <w:sz w:val="20"/>
          <w:szCs w:val="20"/>
          <w:lang w:eastAsia="en-US"/>
        </w:rPr>
      </w:pPr>
      <w:r w:rsidRPr="00490D3B">
        <w:rPr>
          <w:rFonts w:eastAsia="Calibri"/>
          <w:bCs/>
          <w:sz w:val="20"/>
          <w:szCs w:val="20"/>
          <w:lang w:eastAsia="en-US"/>
        </w:rPr>
        <w:t>Ejercicio de construcción de una nota técnica</w:t>
      </w:r>
    </w:p>
    <w:p w14:paraId="2BBAD3AD" w14:textId="45506FB6" w:rsidR="008A161D" w:rsidRPr="00490D3B" w:rsidRDefault="008A161D" w:rsidP="008A161D">
      <w:pPr>
        <w:pStyle w:val="Normal0"/>
        <w:numPr>
          <w:ilvl w:val="0"/>
          <w:numId w:val="29"/>
        </w:numPr>
        <w:rPr>
          <w:rFonts w:eastAsia="Calibri"/>
          <w:b/>
          <w:bCs/>
          <w:sz w:val="20"/>
          <w:szCs w:val="20"/>
          <w:lang w:eastAsia="en-US"/>
        </w:rPr>
      </w:pPr>
      <w:r w:rsidRPr="00490D3B">
        <w:rPr>
          <w:rFonts w:eastAsia="Calibri"/>
          <w:b/>
          <w:bCs/>
          <w:sz w:val="20"/>
          <w:szCs w:val="20"/>
          <w:lang w:eastAsia="en-US"/>
        </w:rPr>
        <w:t>Revisión y validación de la nota técnica</w:t>
      </w:r>
    </w:p>
    <w:p w14:paraId="68320077" w14:textId="59484A1F" w:rsidR="008A161D" w:rsidRPr="00490D3B" w:rsidRDefault="008A161D" w:rsidP="008A161D">
      <w:pPr>
        <w:pStyle w:val="Normal0"/>
        <w:numPr>
          <w:ilvl w:val="1"/>
          <w:numId w:val="29"/>
        </w:numPr>
        <w:rPr>
          <w:rFonts w:eastAsia="Calibri"/>
          <w:bCs/>
          <w:sz w:val="20"/>
          <w:szCs w:val="20"/>
          <w:lang w:eastAsia="en-US"/>
        </w:rPr>
      </w:pPr>
      <w:r w:rsidRPr="00490D3B">
        <w:rPr>
          <w:rFonts w:eastAsia="Calibri"/>
          <w:bCs/>
          <w:sz w:val="20"/>
          <w:szCs w:val="20"/>
          <w:lang w:eastAsia="en-US"/>
        </w:rPr>
        <w:t>Validación técnica</w:t>
      </w:r>
    </w:p>
    <w:p w14:paraId="6148B48A" w14:textId="5DABEE6D" w:rsidR="008A161D" w:rsidRPr="00490D3B" w:rsidRDefault="008A161D" w:rsidP="008A161D">
      <w:pPr>
        <w:pStyle w:val="Normal0"/>
        <w:numPr>
          <w:ilvl w:val="1"/>
          <w:numId w:val="29"/>
        </w:numPr>
        <w:rPr>
          <w:rFonts w:eastAsia="Calibri"/>
          <w:bCs/>
          <w:sz w:val="20"/>
          <w:szCs w:val="20"/>
          <w:lang w:eastAsia="en-US"/>
        </w:rPr>
      </w:pPr>
      <w:r w:rsidRPr="00490D3B">
        <w:rPr>
          <w:rFonts w:eastAsia="Calibri"/>
          <w:bCs/>
          <w:sz w:val="20"/>
          <w:szCs w:val="20"/>
          <w:lang w:eastAsia="en-US"/>
        </w:rPr>
        <w:t>Validación jurídica</w:t>
      </w:r>
    </w:p>
    <w:p w14:paraId="3D42EDC5" w14:textId="16D0A739" w:rsidR="008A161D" w:rsidRPr="00490D3B" w:rsidRDefault="008A161D" w:rsidP="008A161D">
      <w:pPr>
        <w:pStyle w:val="Normal0"/>
        <w:numPr>
          <w:ilvl w:val="1"/>
          <w:numId w:val="29"/>
        </w:numPr>
        <w:rPr>
          <w:rFonts w:eastAsia="Calibri"/>
          <w:bCs/>
          <w:sz w:val="20"/>
          <w:szCs w:val="20"/>
          <w:lang w:eastAsia="en-US"/>
        </w:rPr>
      </w:pPr>
      <w:r w:rsidRPr="00490D3B">
        <w:rPr>
          <w:rFonts w:eastAsia="Calibri"/>
          <w:bCs/>
          <w:sz w:val="20"/>
          <w:szCs w:val="20"/>
          <w:lang w:eastAsia="en-US"/>
        </w:rPr>
        <w:lastRenderedPageBreak/>
        <w:t>Validación financiera</w:t>
      </w:r>
    </w:p>
    <w:p w14:paraId="19F795C2" w14:textId="1AA76B75" w:rsidR="008A161D" w:rsidRPr="00490D3B" w:rsidRDefault="008A161D" w:rsidP="008A161D">
      <w:pPr>
        <w:pStyle w:val="Normal0"/>
        <w:numPr>
          <w:ilvl w:val="1"/>
          <w:numId w:val="29"/>
        </w:numPr>
        <w:rPr>
          <w:rFonts w:eastAsia="Calibri"/>
          <w:bCs/>
          <w:sz w:val="20"/>
          <w:szCs w:val="20"/>
          <w:lang w:eastAsia="en-US"/>
        </w:rPr>
      </w:pPr>
      <w:r w:rsidRPr="00490D3B">
        <w:rPr>
          <w:rFonts w:eastAsia="Calibri"/>
          <w:bCs/>
          <w:sz w:val="20"/>
          <w:szCs w:val="20"/>
          <w:lang w:eastAsia="en-US"/>
        </w:rPr>
        <w:t>Consolidación de resultados de la validación</w:t>
      </w:r>
    </w:p>
    <w:p w14:paraId="4A38E454" w14:textId="1E744504" w:rsidR="008A161D" w:rsidRPr="00490D3B" w:rsidRDefault="008A161D" w:rsidP="008A161D">
      <w:pPr>
        <w:pStyle w:val="Normal0"/>
        <w:numPr>
          <w:ilvl w:val="0"/>
          <w:numId w:val="29"/>
        </w:numPr>
        <w:rPr>
          <w:rFonts w:eastAsia="Calibri"/>
          <w:b/>
          <w:bCs/>
          <w:sz w:val="20"/>
          <w:szCs w:val="20"/>
          <w:lang w:eastAsia="en-US"/>
        </w:rPr>
      </w:pPr>
      <w:r w:rsidRPr="00490D3B">
        <w:rPr>
          <w:rFonts w:eastAsia="Calibri"/>
          <w:b/>
          <w:bCs/>
          <w:sz w:val="20"/>
          <w:szCs w:val="20"/>
          <w:lang w:eastAsia="en-US"/>
        </w:rPr>
        <w:t>Ajustes y seguimiento de la nota técnica</w:t>
      </w:r>
    </w:p>
    <w:p w14:paraId="1F6F8C48" w14:textId="2BA2C535" w:rsidR="008A161D" w:rsidRPr="00490D3B" w:rsidRDefault="008A161D" w:rsidP="008A161D">
      <w:pPr>
        <w:pStyle w:val="Normal0"/>
        <w:numPr>
          <w:ilvl w:val="1"/>
          <w:numId w:val="29"/>
        </w:numPr>
        <w:rPr>
          <w:rFonts w:eastAsia="Calibri"/>
          <w:bCs/>
          <w:sz w:val="20"/>
          <w:szCs w:val="20"/>
          <w:lang w:eastAsia="en-US"/>
        </w:rPr>
      </w:pPr>
      <w:r w:rsidRPr="00490D3B">
        <w:rPr>
          <w:rFonts w:eastAsia="Calibri"/>
          <w:bCs/>
          <w:sz w:val="20"/>
          <w:szCs w:val="20"/>
          <w:lang w:eastAsia="en-US"/>
        </w:rPr>
        <w:t>Identificación y análisis de desviaciones</w:t>
      </w:r>
    </w:p>
    <w:p w14:paraId="15656746" w14:textId="62897082" w:rsidR="008A161D" w:rsidRPr="00490D3B" w:rsidRDefault="008A161D" w:rsidP="008A161D">
      <w:pPr>
        <w:pStyle w:val="Normal0"/>
        <w:numPr>
          <w:ilvl w:val="1"/>
          <w:numId w:val="29"/>
        </w:numPr>
        <w:rPr>
          <w:rFonts w:eastAsia="Calibri"/>
          <w:bCs/>
          <w:sz w:val="20"/>
          <w:szCs w:val="20"/>
          <w:lang w:eastAsia="en-US"/>
        </w:rPr>
      </w:pPr>
      <w:r w:rsidRPr="00490D3B">
        <w:rPr>
          <w:rFonts w:eastAsia="Calibri"/>
          <w:bCs/>
          <w:sz w:val="20"/>
          <w:szCs w:val="20"/>
          <w:lang w:eastAsia="en-US"/>
        </w:rPr>
        <w:t>Ajustes de tarifas y planificación de servicios</w:t>
      </w:r>
    </w:p>
    <w:p w14:paraId="6E3795FC" w14:textId="09357300" w:rsidR="008A161D" w:rsidRPr="00490D3B" w:rsidRDefault="008A161D" w:rsidP="008A161D">
      <w:pPr>
        <w:pStyle w:val="Normal0"/>
        <w:numPr>
          <w:ilvl w:val="1"/>
          <w:numId w:val="29"/>
        </w:numPr>
        <w:rPr>
          <w:rFonts w:eastAsia="Calibri"/>
          <w:bCs/>
          <w:sz w:val="20"/>
          <w:szCs w:val="20"/>
          <w:lang w:eastAsia="en-US"/>
        </w:rPr>
      </w:pPr>
      <w:r w:rsidRPr="00490D3B">
        <w:rPr>
          <w:rFonts w:eastAsia="Calibri"/>
          <w:bCs/>
          <w:sz w:val="20"/>
          <w:szCs w:val="20"/>
          <w:lang w:eastAsia="en-US"/>
        </w:rPr>
        <w:t>Ajustes relacionados con el riesgo</w:t>
      </w:r>
    </w:p>
    <w:p w14:paraId="3FF590BE" w14:textId="23080288" w:rsidR="008A161D" w:rsidRPr="00490D3B" w:rsidRDefault="008A161D" w:rsidP="008A161D">
      <w:pPr>
        <w:pStyle w:val="Normal0"/>
        <w:numPr>
          <w:ilvl w:val="1"/>
          <w:numId w:val="29"/>
        </w:numPr>
        <w:rPr>
          <w:rFonts w:eastAsia="Calibri"/>
          <w:bCs/>
          <w:sz w:val="20"/>
          <w:szCs w:val="20"/>
          <w:lang w:eastAsia="en-US"/>
        </w:rPr>
      </w:pPr>
      <w:r w:rsidRPr="00490D3B">
        <w:rPr>
          <w:rFonts w:eastAsia="Calibri"/>
          <w:bCs/>
          <w:sz w:val="20"/>
          <w:szCs w:val="20"/>
          <w:lang w:eastAsia="en-US"/>
        </w:rPr>
        <w:t>Seguimiento e indicadores de ejecución</w:t>
      </w:r>
    </w:p>
    <w:p w14:paraId="4ABEA6FC" w14:textId="129254CC" w:rsidR="008A161D" w:rsidRPr="00490D3B" w:rsidRDefault="008A161D" w:rsidP="008A161D">
      <w:pPr>
        <w:pStyle w:val="Normal0"/>
        <w:numPr>
          <w:ilvl w:val="0"/>
          <w:numId w:val="29"/>
        </w:numPr>
        <w:rPr>
          <w:rFonts w:eastAsia="Calibri"/>
          <w:b/>
          <w:bCs/>
          <w:sz w:val="20"/>
          <w:szCs w:val="20"/>
          <w:lang w:eastAsia="en-US"/>
        </w:rPr>
      </w:pPr>
      <w:r w:rsidRPr="00490D3B">
        <w:rPr>
          <w:rFonts w:eastAsia="Calibri"/>
          <w:b/>
          <w:bCs/>
          <w:sz w:val="20"/>
          <w:szCs w:val="20"/>
          <w:lang w:eastAsia="en-US"/>
        </w:rPr>
        <w:t>Evaluación y mejoramiento de la nota técnica</w:t>
      </w:r>
    </w:p>
    <w:p w14:paraId="48C35561" w14:textId="24600451" w:rsidR="008A161D" w:rsidRPr="00490D3B" w:rsidRDefault="008A161D" w:rsidP="008A161D">
      <w:pPr>
        <w:pStyle w:val="Normal0"/>
        <w:numPr>
          <w:ilvl w:val="1"/>
          <w:numId w:val="29"/>
        </w:numPr>
        <w:rPr>
          <w:rFonts w:eastAsia="Calibri"/>
          <w:bCs/>
          <w:sz w:val="20"/>
          <w:szCs w:val="20"/>
          <w:lang w:eastAsia="en-US"/>
        </w:rPr>
      </w:pPr>
      <w:r w:rsidRPr="00490D3B">
        <w:rPr>
          <w:rFonts w:eastAsia="Calibri"/>
          <w:bCs/>
          <w:sz w:val="20"/>
          <w:szCs w:val="20"/>
          <w:lang w:eastAsia="en-US"/>
        </w:rPr>
        <w:t>Identificación y análisis de hallazgos</w:t>
      </w:r>
    </w:p>
    <w:p w14:paraId="08AF4D13" w14:textId="3B024B7E" w:rsidR="008A161D" w:rsidRPr="00490D3B" w:rsidRDefault="008A161D" w:rsidP="008A161D">
      <w:pPr>
        <w:pStyle w:val="Normal0"/>
        <w:numPr>
          <w:ilvl w:val="1"/>
          <w:numId w:val="29"/>
        </w:numPr>
        <w:rPr>
          <w:rFonts w:eastAsia="Calibri"/>
          <w:bCs/>
          <w:sz w:val="20"/>
          <w:szCs w:val="20"/>
          <w:lang w:eastAsia="en-US"/>
        </w:rPr>
      </w:pPr>
      <w:r w:rsidRPr="00490D3B">
        <w:rPr>
          <w:rFonts w:eastAsia="Calibri"/>
          <w:bCs/>
          <w:sz w:val="20"/>
          <w:szCs w:val="20"/>
          <w:lang w:eastAsia="en-US"/>
        </w:rPr>
        <w:t>Formulación de acciones de mejora</w:t>
      </w:r>
    </w:p>
    <w:p w14:paraId="482C756B" w14:textId="6C5F00BB" w:rsidR="008A161D" w:rsidRPr="00490D3B" w:rsidRDefault="008A161D" w:rsidP="008A161D">
      <w:pPr>
        <w:pStyle w:val="Normal0"/>
        <w:numPr>
          <w:ilvl w:val="1"/>
          <w:numId w:val="29"/>
        </w:numPr>
        <w:rPr>
          <w:rFonts w:eastAsia="Calibri"/>
          <w:bCs/>
          <w:sz w:val="20"/>
          <w:szCs w:val="20"/>
          <w:lang w:eastAsia="en-US"/>
        </w:rPr>
      </w:pPr>
      <w:r w:rsidRPr="00490D3B">
        <w:rPr>
          <w:rFonts w:eastAsia="Calibri"/>
          <w:bCs/>
          <w:sz w:val="20"/>
          <w:szCs w:val="20"/>
          <w:lang w:eastAsia="en-US"/>
        </w:rPr>
        <w:t>Seguimiento al plan de mejoramiento</w:t>
      </w:r>
    </w:p>
    <w:p w14:paraId="188C9785" w14:textId="6724084B" w:rsidR="00A11EF6" w:rsidRPr="00490D3B" w:rsidRDefault="008A161D" w:rsidP="008A161D">
      <w:pPr>
        <w:pStyle w:val="Normal0"/>
        <w:numPr>
          <w:ilvl w:val="1"/>
          <w:numId w:val="29"/>
        </w:numPr>
        <w:rPr>
          <w:sz w:val="20"/>
          <w:szCs w:val="20"/>
        </w:rPr>
      </w:pPr>
      <w:r w:rsidRPr="00490D3B">
        <w:rPr>
          <w:rFonts w:eastAsia="Calibri"/>
          <w:bCs/>
          <w:sz w:val="20"/>
          <w:szCs w:val="20"/>
          <w:lang w:eastAsia="en-US"/>
        </w:rPr>
        <w:t>Actualización de la nota técnica</w:t>
      </w:r>
    </w:p>
    <w:p w14:paraId="37487B73" w14:textId="4396B187" w:rsidR="000D04CD" w:rsidRPr="00490D3B" w:rsidRDefault="000D04CD" w:rsidP="001B5F0C">
      <w:pPr>
        <w:pStyle w:val="Normal0"/>
        <w:rPr>
          <w:b/>
          <w:sz w:val="20"/>
          <w:szCs w:val="20"/>
        </w:rPr>
      </w:pPr>
    </w:p>
    <w:p w14:paraId="07255ED0" w14:textId="77777777" w:rsidR="00D743F1" w:rsidRPr="00490D3B" w:rsidRDefault="00D743F1" w:rsidP="001B5F0C">
      <w:pPr>
        <w:pStyle w:val="Normal0"/>
        <w:rPr>
          <w:b/>
          <w:sz w:val="20"/>
          <w:szCs w:val="20"/>
        </w:rPr>
      </w:pPr>
    </w:p>
    <w:p w14:paraId="00000036" w14:textId="77777777" w:rsidR="00AD17D4" w:rsidRPr="00490D3B" w:rsidRDefault="00025888" w:rsidP="001B5F0C">
      <w:pPr>
        <w:pStyle w:val="Normal0"/>
        <w:numPr>
          <w:ilvl w:val="0"/>
          <w:numId w:val="1"/>
        </w:numPr>
        <w:ind w:left="284" w:hanging="284"/>
        <w:rPr>
          <w:b/>
          <w:sz w:val="20"/>
          <w:szCs w:val="20"/>
        </w:rPr>
      </w:pPr>
      <w:r w:rsidRPr="00490D3B">
        <w:rPr>
          <w:b/>
          <w:sz w:val="20"/>
          <w:szCs w:val="20"/>
        </w:rPr>
        <w:t>INTRODUCCIÓN</w:t>
      </w:r>
    </w:p>
    <w:p w14:paraId="00000037" w14:textId="77777777" w:rsidR="00AD17D4" w:rsidRPr="00490D3B" w:rsidRDefault="00AD17D4" w:rsidP="006B703D">
      <w:pPr>
        <w:pStyle w:val="Normal0"/>
        <w:rPr>
          <w:b/>
          <w:sz w:val="20"/>
          <w:szCs w:val="20"/>
        </w:rPr>
      </w:pPr>
    </w:p>
    <w:p w14:paraId="3A46C636" w14:textId="4FDD774B" w:rsidR="00D743F1" w:rsidRPr="00490D3B" w:rsidRDefault="004F6302" w:rsidP="00D743F1">
      <w:pPr>
        <w:rPr>
          <w:bCs/>
          <w:sz w:val="20"/>
          <w:szCs w:val="20"/>
          <w:lang w:val="es-ES"/>
        </w:rPr>
      </w:pPr>
      <w:r w:rsidRPr="00490D3B">
        <w:rPr>
          <w:bCs/>
          <w:sz w:val="20"/>
          <w:szCs w:val="20"/>
          <w:lang w:val="es-ES"/>
        </w:rPr>
        <w:t>Para garantizar una planeación sólida y organizada de los servicios y tecnologías en salud dentro de los acuerdos de voluntades, la nota técnica se convierte en un instrumento indispensable</w:t>
      </w:r>
      <w:r w:rsidR="00D743F1" w:rsidRPr="00490D3B">
        <w:rPr>
          <w:bCs/>
          <w:sz w:val="20"/>
          <w:szCs w:val="20"/>
          <w:lang w:val="es-ES"/>
        </w:rPr>
        <w:t>. Su elaboración integra información relacionada con la población objeto, los servicios y procedimientos, las frecuencias de uso, los costos, las tarifas y los riesgos, con el propósito de establecer una proyección técnica y financiera coherente con las condiciones de contratación.</w:t>
      </w:r>
    </w:p>
    <w:p w14:paraId="482EC6BB" w14:textId="77777777" w:rsidR="00D743F1" w:rsidRPr="00490D3B" w:rsidRDefault="00D743F1" w:rsidP="00D743F1">
      <w:pPr>
        <w:rPr>
          <w:bCs/>
          <w:sz w:val="20"/>
          <w:szCs w:val="20"/>
          <w:lang w:val="es-ES"/>
        </w:rPr>
      </w:pPr>
    </w:p>
    <w:p w14:paraId="458AC7DA" w14:textId="77777777" w:rsidR="00D743F1" w:rsidRPr="00490D3B" w:rsidRDefault="00D743F1" w:rsidP="00D743F1">
      <w:pPr>
        <w:rPr>
          <w:bCs/>
          <w:sz w:val="20"/>
          <w:szCs w:val="20"/>
          <w:lang w:val="es-ES"/>
        </w:rPr>
      </w:pPr>
      <w:r w:rsidRPr="00490D3B">
        <w:rPr>
          <w:bCs/>
          <w:sz w:val="20"/>
          <w:szCs w:val="20"/>
          <w:lang w:val="es-ES"/>
        </w:rPr>
        <w:t>En este componente se abordan los elementos necesarios para elaborar, revisar, validar, ajustar y evaluar una nota técnica, a partir de la organización y análisis de la información disponible. Se desarrollan aspectos relacionados con la identificación y codificación de servicios, los cálculos e indicadores, la estimación de costos, la consideración de los riesgos y la integración de la información según la modalidad de contratación.</w:t>
      </w:r>
    </w:p>
    <w:p w14:paraId="7821E0D1" w14:textId="77777777" w:rsidR="00D743F1" w:rsidRPr="00490D3B" w:rsidRDefault="00D743F1" w:rsidP="00D743F1">
      <w:pPr>
        <w:rPr>
          <w:bCs/>
          <w:sz w:val="20"/>
          <w:szCs w:val="20"/>
          <w:lang w:val="es-ES"/>
        </w:rPr>
      </w:pPr>
    </w:p>
    <w:p w14:paraId="4A33A915" w14:textId="004B309A" w:rsidR="000D04CD" w:rsidRPr="00490D3B" w:rsidRDefault="00D743F1" w:rsidP="00D743F1">
      <w:pPr>
        <w:rPr>
          <w:bCs/>
          <w:sz w:val="20"/>
          <w:szCs w:val="20"/>
          <w:lang w:val="es-ES"/>
        </w:rPr>
      </w:pPr>
      <w:r w:rsidRPr="00490D3B">
        <w:rPr>
          <w:bCs/>
          <w:sz w:val="20"/>
          <w:szCs w:val="20"/>
          <w:lang w:val="es-ES"/>
        </w:rPr>
        <w:t>Asimismo, se estudian los procesos de validación técnica, jurídica y financiera, junto con el seguimiento de resultados, la identificación de desviaciones y hallazgos, y la formulación de acciones de mejora. De esta manera, se fortalecen los elementos requeridos para mantener una nota técnica coherente con las condiciones del acuerdo de voluntades y susceptible de actualización de acuerdo con los resultados de su seguimiento.</w:t>
      </w:r>
    </w:p>
    <w:p w14:paraId="5F9440EF" w14:textId="77777777" w:rsidR="00D743F1" w:rsidRPr="00490D3B" w:rsidRDefault="00D743F1" w:rsidP="00D743F1">
      <w:pPr>
        <w:rPr>
          <w:bCs/>
          <w:sz w:val="20"/>
          <w:szCs w:val="20"/>
          <w:lang w:val="es-ES"/>
        </w:rPr>
      </w:pPr>
    </w:p>
    <w:p w14:paraId="65598A62" w14:textId="77777777" w:rsidR="00396FA1" w:rsidRPr="00490D3B" w:rsidRDefault="00396FA1" w:rsidP="00396FA1">
      <w:pPr>
        <w:rPr>
          <w:bCs/>
          <w:sz w:val="20"/>
          <w:szCs w:val="20"/>
          <w:lang w:val="es-ES"/>
        </w:rPr>
      </w:pPr>
      <w:r w:rsidRPr="00490D3B">
        <w:rPr>
          <w:bCs/>
          <w:sz w:val="20"/>
          <w:szCs w:val="20"/>
          <w:lang w:val="es-ES"/>
        </w:rPr>
        <w:t>Para complementar la comprensión de los temas abordados, se recomienda acceder al siguiente video.</w:t>
      </w:r>
    </w:p>
    <w:p w14:paraId="2C41C388" w14:textId="77777777" w:rsidR="00D146E9" w:rsidRPr="00490D3B" w:rsidRDefault="00D146E9" w:rsidP="00D146E9">
      <w:pPr>
        <w:pStyle w:val="Normal0"/>
        <w:rPr>
          <w:sz w:val="20"/>
          <w:szCs w:val="20"/>
        </w:rPr>
      </w:pPr>
    </w:p>
    <w:p w14:paraId="2DF85D62" w14:textId="757CBEE5" w:rsidR="00AD17D4" w:rsidRPr="00490D3B" w:rsidRDefault="00025888" w:rsidP="007A5C2D">
      <w:pPr>
        <w:pStyle w:val="Normal0"/>
        <w:jc w:val="center"/>
        <w:rPr>
          <w:sz w:val="20"/>
          <w:szCs w:val="20"/>
        </w:rPr>
      </w:pPr>
      <w:r w:rsidRPr="00490D3B">
        <w:rPr>
          <w:noProof/>
          <w:sz w:val="20"/>
          <w:szCs w:val="20"/>
          <w:lang w:val="en-US" w:eastAsia="en-US"/>
        </w:rPr>
        <mc:AlternateContent>
          <mc:Choice Requires="wps">
            <w:drawing>
              <wp:inline distT="0" distB="0" distL="0" distR="0" wp14:anchorId="479A2C21" wp14:editId="009BD325">
                <wp:extent cx="5412105" cy="732155"/>
                <wp:effectExtent l="0" t="0" r="17145" b="10795"/>
                <wp:docPr id="249" name="Rectángulo 249"/>
                <wp:cNvGraphicFramePr/>
                <a:graphic xmlns:a="http://schemas.openxmlformats.org/drawingml/2006/main">
                  <a:graphicData uri="http://schemas.microsoft.com/office/word/2010/wordprocessingShape">
                    <wps:wsp>
                      <wps:cNvSpPr/>
                      <wps:spPr>
                        <a:xfrm>
                          <a:off x="2646298" y="3420273"/>
                          <a:ext cx="5399405" cy="719455"/>
                        </a:xfrm>
                        <a:prstGeom prst="rect">
                          <a:avLst/>
                        </a:prstGeom>
                        <a:solidFill>
                          <a:srgbClr val="39A900"/>
                        </a:solidFill>
                        <a:ln w="12700" cap="flat" cmpd="sng">
                          <a:solidFill>
                            <a:srgbClr val="42719B"/>
                          </a:solidFill>
                          <a:prstDash val="solid"/>
                          <a:miter lim="8000"/>
                          <a:headEnd type="none" w="sm" len="sm"/>
                          <a:tailEnd type="none" w="sm" len="sm"/>
                        </a:ln>
                      </wps:spPr>
                      <wps:txbx>
                        <w:txbxContent>
                          <w:p w14:paraId="70993A7A" w14:textId="4DB8A814" w:rsidR="004A3922" w:rsidRDefault="004A3922">
                            <w:pPr>
                              <w:spacing w:line="275" w:lineRule="auto"/>
                              <w:jc w:val="center"/>
                              <w:rPr>
                                <w:b/>
                              </w:rPr>
                            </w:pPr>
                            <w:r>
                              <w:rPr>
                                <w:b/>
                                <w:color w:val="FFFFFF"/>
                              </w:rPr>
                              <w:t>13450096_CF02</w:t>
                            </w:r>
                            <w:r w:rsidRPr="006F1666">
                              <w:rPr>
                                <w:b/>
                                <w:color w:val="FFFFFF"/>
                              </w:rPr>
                              <w:t>_Guion_Introduccion_Video</w:t>
                            </w:r>
                          </w:p>
                        </w:txbxContent>
                      </wps:txbx>
                      <wps:bodyPr spcFirstLastPara="1" wrap="square" lIns="91425" tIns="45700" rIns="91425" bIns="45700" anchor="ctr" anchorCtr="0">
                        <a:noAutofit/>
                      </wps:bodyPr>
                    </wps:wsp>
                  </a:graphicData>
                </a:graphic>
              </wp:inline>
            </w:drawing>
          </mc:Choice>
          <mc:Fallback>
            <w:pict>
              <v:rect w14:anchorId="479A2C21" id="Rectángulo 249" o:spid="_x0000_s1026" style="width:426.15pt;height:57.65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" fillcolor="#39a900" strokecolor="#42719b" strokeweight="1pt">
                <v:stroke startarrowwidth="narrow" startarrowlength="short" endarrowwidth="narrow" endarrowlength="short" miterlimit="5243f"/>
                <v:textbox inset="2.53958mm,1.2694mm,2.53958mm,1.2694mm">
                  <w:txbxContent>
                    <w:p w14:paraId="70993A7A" w14:textId="4DB8A814" w:rsidR="004A3922" w:rsidRDefault="004A3922">
                      <w:pPr>
                        <w:spacing w:line="275" w:lineRule="auto"/>
                        <w:jc w:val="center"/>
                        <w:rPr>
                          <w:b/>
                        </w:rPr>
                      </w:pPr>
                      <w:r>
                        <w:rPr>
                          <w:b/>
                          <w:color w:val="FFFFFF"/>
                        </w:rPr>
                        <w:t>13450096_CF02</w:t>
                      </w:r>
                      <w:r w:rsidRPr="006F1666">
                        <w:rPr>
                          <w:b/>
                          <w:color w:val="FFFFFF"/>
                        </w:rPr>
                        <w:t>_Guion_Introduccion_Video</w:t>
                      </w:r>
                    </w:p>
                  </w:txbxContent>
                </v:textbox>
                <w10:anchorlock/>
              </v:rect>
            </w:pict>
          </mc:Fallback>
        </mc:AlternateContent>
      </w:r>
    </w:p>
    <w:p w14:paraId="4DB44C87" w14:textId="18E8C245" w:rsidR="00A11EF6" w:rsidRPr="00490D3B" w:rsidRDefault="00A11EF6" w:rsidP="007A5C2D">
      <w:pPr>
        <w:pStyle w:val="Normal0"/>
        <w:jc w:val="center"/>
        <w:rPr>
          <w:sz w:val="20"/>
          <w:szCs w:val="20"/>
        </w:rPr>
      </w:pPr>
    </w:p>
    <w:p w14:paraId="7C57EF0D" w14:textId="558C0B7B" w:rsidR="00A11EF6" w:rsidRPr="00490D3B" w:rsidRDefault="00A11EF6" w:rsidP="007A5C2D">
      <w:pPr>
        <w:pStyle w:val="Normal0"/>
        <w:jc w:val="center"/>
        <w:rPr>
          <w:sz w:val="20"/>
          <w:szCs w:val="20"/>
        </w:rPr>
      </w:pPr>
    </w:p>
    <w:p w14:paraId="78A1632B" w14:textId="626661A1" w:rsidR="00D743F1" w:rsidRPr="00490D3B" w:rsidRDefault="00D743F1" w:rsidP="007A5C2D">
      <w:pPr>
        <w:pStyle w:val="Normal0"/>
        <w:jc w:val="center"/>
        <w:rPr>
          <w:sz w:val="20"/>
          <w:szCs w:val="20"/>
        </w:rPr>
      </w:pPr>
    </w:p>
    <w:p w14:paraId="0CBC44D1" w14:textId="2DA8CBE9" w:rsidR="00D743F1" w:rsidRPr="00490D3B" w:rsidRDefault="00D743F1" w:rsidP="007A5C2D">
      <w:pPr>
        <w:pStyle w:val="Normal0"/>
        <w:jc w:val="center"/>
        <w:rPr>
          <w:sz w:val="20"/>
          <w:szCs w:val="20"/>
        </w:rPr>
      </w:pPr>
    </w:p>
    <w:p w14:paraId="3FA37626" w14:textId="7CF854BC" w:rsidR="00D743F1" w:rsidRPr="00490D3B" w:rsidRDefault="00D743F1" w:rsidP="007A5C2D">
      <w:pPr>
        <w:pStyle w:val="Normal0"/>
        <w:jc w:val="center"/>
        <w:rPr>
          <w:sz w:val="20"/>
          <w:szCs w:val="20"/>
        </w:rPr>
      </w:pPr>
    </w:p>
    <w:p w14:paraId="5DD7B4B2" w14:textId="373BE901" w:rsidR="00D743F1" w:rsidRPr="00490D3B" w:rsidRDefault="00D743F1" w:rsidP="007A5C2D">
      <w:pPr>
        <w:pStyle w:val="Normal0"/>
        <w:jc w:val="center"/>
        <w:rPr>
          <w:sz w:val="20"/>
          <w:szCs w:val="20"/>
        </w:rPr>
      </w:pPr>
    </w:p>
    <w:p w14:paraId="1066AB20" w14:textId="4DBFA358" w:rsidR="00D743F1" w:rsidRPr="00490D3B" w:rsidRDefault="00D743F1" w:rsidP="007A5C2D">
      <w:pPr>
        <w:pStyle w:val="Normal0"/>
        <w:jc w:val="center"/>
        <w:rPr>
          <w:sz w:val="20"/>
          <w:szCs w:val="20"/>
        </w:rPr>
      </w:pPr>
    </w:p>
    <w:p w14:paraId="4BEA5410" w14:textId="77A7D5A2" w:rsidR="00D743F1" w:rsidRPr="00490D3B" w:rsidRDefault="00D743F1" w:rsidP="007A5C2D">
      <w:pPr>
        <w:pStyle w:val="Normal0"/>
        <w:jc w:val="center"/>
        <w:rPr>
          <w:sz w:val="20"/>
          <w:szCs w:val="20"/>
        </w:rPr>
      </w:pPr>
    </w:p>
    <w:p w14:paraId="7CBB904C" w14:textId="77777777" w:rsidR="00D743F1" w:rsidRPr="00490D3B" w:rsidRDefault="00D743F1" w:rsidP="007A5C2D">
      <w:pPr>
        <w:pStyle w:val="Normal0"/>
        <w:jc w:val="center"/>
        <w:rPr>
          <w:sz w:val="20"/>
          <w:szCs w:val="20"/>
        </w:rPr>
      </w:pPr>
    </w:p>
    <w:p w14:paraId="4730B12F" w14:textId="320A43F9" w:rsidR="00AD590A" w:rsidRPr="00490D3B" w:rsidRDefault="00AD590A" w:rsidP="007A5C2D">
      <w:pPr>
        <w:pStyle w:val="Normal0"/>
        <w:jc w:val="center"/>
        <w:rPr>
          <w:sz w:val="20"/>
          <w:szCs w:val="20"/>
        </w:rPr>
      </w:pPr>
    </w:p>
    <w:p w14:paraId="77F6D97B" w14:textId="40E8EC19" w:rsidR="00303B68" w:rsidRPr="00490D3B" w:rsidRDefault="00025888" w:rsidP="007A5C2D">
      <w:pPr>
        <w:pStyle w:val="Normal0"/>
        <w:numPr>
          <w:ilvl w:val="0"/>
          <w:numId w:val="1"/>
        </w:numPr>
        <w:ind w:left="284" w:hanging="284"/>
        <w:rPr>
          <w:b/>
          <w:color w:val="000000"/>
          <w:sz w:val="20"/>
          <w:szCs w:val="20"/>
        </w:rPr>
      </w:pPr>
      <w:r w:rsidRPr="00490D3B">
        <w:rPr>
          <w:b/>
          <w:color w:val="000000"/>
          <w:sz w:val="20"/>
          <w:szCs w:val="20"/>
        </w:rPr>
        <w:lastRenderedPageBreak/>
        <w:t>DESARROLLO DE CONTENIDOS:</w:t>
      </w:r>
    </w:p>
    <w:p w14:paraId="42B64EC7" w14:textId="66F8FE02" w:rsidR="00D743F1" w:rsidRPr="00490D3B" w:rsidRDefault="00D743F1" w:rsidP="00D743F1">
      <w:pPr>
        <w:pStyle w:val="Normal0"/>
        <w:rPr>
          <w:b/>
          <w:color w:val="000000"/>
          <w:sz w:val="20"/>
          <w:szCs w:val="20"/>
        </w:rPr>
      </w:pPr>
    </w:p>
    <w:p w14:paraId="16279396" w14:textId="0C21FFA3" w:rsidR="00D743F1" w:rsidRPr="00490D3B" w:rsidRDefault="00D743F1" w:rsidP="00D743F1">
      <w:pPr>
        <w:pStyle w:val="Normal0"/>
        <w:numPr>
          <w:ilvl w:val="0"/>
          <w:numId w:val="30"/>
        </w:numPr>
        <w:rPr>
          <w:rFonts w:eastAsia="Calibri"/>
          <w:b/>
          <w:bCs/>
          <w:sz w:val="20"/>
          <w:szCs w:val="20"/>
          <w:lang w:eastAsia="en-US"/>
        </w:rPr>
      </w:pPr>
      <w:r w:rsidRPr="00490D3B">
        <w:rPr>
          <w:rFonts w:eastAsia="Calibri"/>
          <w:b/>
          <w:bCs/>
          <w:sz w:val="20"/>
          <w:szCs w:val="20"/>
          <w:lang w:eastAsia="en-US"/>
        </w:rPr>
        <w:t>Estructura y elementos previos de la nota técnica</w:t>
      </w:r>
    </w:p>
    <w:p w14:paraId="0F58D0F5" w14:textId="5D54F815" w:rsidR="00DA76B1" w:rsidRPr="00490D3B" w:rsidRDefault="00DA76B1" w:rsidP="00DA76B1">
      <w:pPr>
        <w:pStyle w:val="Normal0"/>
        <w:rPr>
          <w:rFonts w:eastAsia="Calibri"/>
          <w:b/>
          <w:bCs/>
          <w:sz w:val="20"/>
          <w:szCs w:val="20"/>
          <w:lang w:eastAsia="en-US"/>
        </w:rPr>
      </w:pPr>
    </w:p>
    <w:p w14:paraId="3F03DE11" w14:textId="77777777" w:rsidR="00DA76B1" w:rsidRPr="00490D3B" w:rsidRDefault="00DA76B1" w:rsidP="00DA76B1">
      <w:pPr>
        <w:pStyle w:val="Normal0"/>
        <w:rPr>
          <w:rFonts w:eastAsia="Calibri"/>
          <w:bCs/>
          <w:sz w:val="20"/>
          <w:szCs w:val="20"/>
          <w:lang w:eastAsia="en-US"/>
        </w:rPr>
      </w:pPr>
      <w:r w:rsidRPr="00490D3B">
        <w:rPr>
          <w:rFonts w:eastAsia="Calibri"/>
          <w:bCs/>
          <w:sz w:val="20"/>
          <w:szCs w:val="20"/>
          <w:lang w:eastAsia="en-US"/>
        </w:rPr>
        <w:t>La elaboración de una nota técnica requiere organizar previamente la información que sustenta la proyección de los servicios y tecnologías en salud. Para ello, se consideran elementos relacionados con la identificación de los servicios y procedimientos, la población objeto, las frecuencias de uso, los costos, las tarifas y los riesgos asociados a la atención. Estos elementos permiten consolidar una base técnica para la construcción de la nota y facilitan su posterior revisión y validación.</w:t>
      </w:r>
    </w:p>
    <w:p w14:paraId="126AF970" w14:textId="77777777" w:rsidR="00DA76B1" w:rsidRPr="00490D3B" w:rsidRDefault="00DA76B1" w:rsidP="00DA76B1">
      <w:pPr>
        <w:pStyle w:val="Normal0"/>
        <w:rPr>
          <w:rFonts w:eastAsia="Calibri"/>
          <w:bCs/>
          <w:sz w:val="20"/>
          <w:szCs w:val="20"/>
          <w:lang w:eastAsia="en-US"/>
        </w:rPr>
      </w:pPr>
    </w:p>
    <w:p w14:paraId="2CEFE733" w14:textId="77777777" w:rsidR="00DA76B1" w:rsidRPr="00490D3B" w:rsidRDefault="00DA76B1" w:rsidP="00DA76B1">
      <w:pPr>
        <w:pStyle w:val="Normal0"/>
        <w:rPr>
          <w:rFonts w:eastAsia="Calibri"/>
          <w:bCs/>
          <w:sz w:val="20"/>
          <w:szCs w:val="20"/>
          <w:lang w:eastAsia="en-US"/>
        </w:rPr>
      </w:pPr>
      <w:r w:rsidRPr="00490D3B">
        <w:rPr>
          <w:rFonts w:eastAsia="Calibri"/>
          <w:bCs/>
          <w:sz w:val="20"/>
          <w:szCs w:val="20"/>
          <w:lang w:eastAsia="en-US"/>
        </w:rPr>
        <w:t>Antes de integrar la información en el documento, es necesario verificar que los datos utilizados sean pertinentes, consistentes y se encuentren relacionados con las condiciones del acuerdo de voluntades. La información histórica de prestación de servicios, los códigos de los servicios y tecnologías, las frecuencias de uso y los valores económicos constituyen insumos para realizar los cálculos y establecer las proyecciones correspondientes.</w:t>
      </w:r>
    </w:p>
    <w:p w14:paraId="0A855B22" w14:textId="77777777" w:rsidR="00DA76B1" w:rsidRPr="00490D3B" w:rsidRDefault="00DA76B1" w:rsidP="00DA76B1">
      <w:pPr>
        <w:pStyle w:val="Normal0"/>
        <w:rPr>
          <w:rFonts w:eastAsia="Calibri"/>
          <w:bCs/>
          <w:sz w:val="20"/>
          <w:szCs w:val="20"/>
          <w:lang w:eastAsia="en-US"/>
        </w:rPr>
      </w:pPr>
    </w:p>
    <w:p w14:paraId="1FBE167F" w14:textId="3905E565" w:rsidR="00DA76B1" w:rsidRPr="00490D3B" w:rsidRDefault="00DA76B1" w:rsidP="00DA76B1">
      <w:pPr>
        <w:pStyle w:val="Normal0"/>
        <w:rPr>
          <w:rFonts w:eastAsia="Calibri"/>
          <w:bCs/>
          <w:sz w:val="20"/>
          <w:szCs w:val="20"/>
          <w:lang w:eastAsia="en-US"/>
        </w:rPr>
      </w:pPr>
      <w:r w:rsidRPr="00490D3B">
        <w:rPr>
          <w:rFonts w:eastAsia="Calibri"/>
          <w:bCs/>
          <w:sz w:val="20"/>
          <w:szCs w:val="20"/>
          <w:lang w:eastAsia="en-US"/>
        </w:rPr>
        <w:t>En este proceso también se consideran los riesgos primario y técnico, debido a su relación con las condiciones de salud de la población y con la variabilidad en la utilización de servicios y recursos. De esta manera, los elementos previos permiten estructurar una nota técnica con información organizada y articulada con las características de la población, los servicios requeridos y las condiciones económicas de la contratación.</w:t>
      </w:r>
    </w:p>
    <w:p w14:paraId="5A5D3183" w14:textId="77777777" w:rsidR="00DA76B1" w:rsidRPr="00490D3B" w:rsidRDefault="00DA76B1" w:rsidP="00DA76B1">
      <w:pPr>
        <w:pStyle w:val="Normal0"/>
        <w:rPr>
          <w:rFonts w:eastAsia="Calibri"/>
          <w:b/>
          <w:bCs/>
          <w:sz w:val="20"/>
          <w:szCs w:val="20"/>
          <w:lang w:eastAsia="en-US"/>
        </w:rPr>
      </w:pPr>
    </w:p>
    <w:p w14:paraId="07559B44" w14:textId="12F033EA" w:rsidR="00D743F1" w:rsidRPr="00490D3B" w:rsidRDefault="00D743F1" w:rsidP="00D743F1">
      <w:pPr>
        <w:pStyle w:val="Normal0"/>
        <w:numPr>
          <w:ilvl w:val="1"/>
          <w:numId w:val="30"/>
        </w:numPr>
        <w:rPr>
          <w:rFonts w:eastAsia="Calibri"/>
          <w:b/>
          <w:bCs/>
          <w:sz w:val="20"/>
          <w:szCs w:val="20"/>
          <w:lang w:eastAsia="en-US"/>
        </w:rPr>
      </w:pPr>
      <w:r w:rsidRPr="00490D3B">
        <w:rPr>
          <w:rFonts w:eastAsia="Calibri"/>
          <w:b/>
          <w:bCs/>
          <w:sz w:val="20"/>
          <w:szCs w:val="20"/>
          <w:lang w:eastAsia="en-US"/>
        </w:rPr>
        <w:t>Estructura de la nota técnica</w:t>
      </w:r>
    </w:p>
    <w:p w14:paraId="24044E55" w14:textId="543DE0CE" w:rsidR="00DA76B1" w:rsidRPr="00490D3B" w:rsidRDefault="00DA76B1" w:rsidP="00DA76B1">
      <w:pPr>
        <w:pStyle w:val="Normal0"/>
        <w:rPr>
          <w:rFonts w:eastAsia="Calibri"/>
          <w:bCs/>
          <w:sz w:val="20"/>
          <w:szCs w:val="20"/>
          <w:lang w:eastAsia="en-US"/>
        </w:rPr>
      </w:pPr>
    </w:p>
    <w:p w14:paraId="1BC29959" w14:textId="77777777" w:rsidR="00DA76B1" w:rsidRPr="00490D3B" w:rsidRDefault="00DA76B1" w:rsidP="00DA76B1">
      <w:pPr>
        <w:pStyle w:val="Normal0"/>
        <w:rPr>
          <w:rFonts w:eastAsia="Calibri"/>
          <w:bCs/>
          <w:sz w:val="20"/>
          <w:szCs w:val="20"/>
          <w:lang w:eastAsia="en-US"/>
        </w:rPr>
      </w:pPr>
      <w:r w:rsidRPr="00490D3B">
        <w:rPr>
          <w:rFonts w:eastAsia="Calibri"/>
          <w:bCs/>
          <w:sz w:val="20"/>
          <w:szCs w:val="20"/>
          <w:lang w:eastAsia="en-US"/>
        </w:rPr>
        <w:t>La nota técnica organiza la información necesaria para sustentar la planeación de los servicios y tecnologías en salud que hacen parte de un acuerdo de voluntades. Su estructura integra elementos técnicos, poblacionales y económicos que permiten establecer una proyección de los servicios requeridos y los recursos asociados. Entre sus elementos principales se encuentran la identificación de los servicios y tecnologías, la población objeto, las frecuencias o cantidades estimadas, los valores económicos y las condiciones relacionadas con el seguimiento, la auditoría y la gestión del riesgo.</w:t>
      </w:r>
    </w:p>
    <w:p w14:paraId="1381B6B7" w14:textId="77777777" w:rsidR="00DA76B1" w:rsidRPr="00490D3B" w:rsidRDefault="00DA76B1" w:rsidP="00DA76B1">
      <w:pPr>
        <w:pStyle w:val="Normal0"/>
        <w:rPr>
          <w:rFonts w:eastAsia="Calibri"/>
          <w:bCs/>
          <w:sz w:val="20"/>
          <w:szCs w:val="20"/>
          <w:lang w:eastAsia="en-US"/>
        </w:rPr>
      </w:pPr>
    </w:p>
    <w:p w14:paraId="724B4A9E" w14:textId="77777777" w:rsidR="00DA76B1" w:rsidRPr="00490D3B" w:rsidRDefault="00DA76B1" w:rsidP="00DA76B1">
      <w:pPr>
        <w:pStyle w:val="Normal0"/>
        <w:rPr>
          <w:rFonts w:eastAsia="Calibri"/>
          <w:bCs/>
          <w:sz w:val="20"/>
          <w:szCs w:val="20"/>
          <w:lang w:eastAsia="en-US"/>
        </w:rPr>
      </w:pPr>
      <w:r w:rsidRPr="00490D3B">
        <w:rPr>
          <w:rFonts w:eastAsia="Calibri"/>
          <w:bCs/>
          <w:sz w:val="20"/>
          <w:szCs w:val="20"/>
          <w:lang w:eastAsia="en-US"/>
        </w:rPr>
        <w:t>Para su construcción, la información puede organizarse de manera secuencial, de acuerdo con la relación entre la población, los servicios y los valores proyectados:</w:t>
      </w:r>
    </w:p>
    <w:p w14:paraId="4D7A7BD2" w14:textId="77777777" w:rsidR="00DA76B1" w:rsidRPr="00490D3B" w:rsidRDefault="00DA76B1" w:rsidP="00DA76B1">
      <w:pPr>
        <w:pStyle w:val="Normal0"/>
        <w:rPr>
          <w:rFonts w:eastAsia="Calibri"/>
          <w:bCs/>
          <w:sz w:val="20"/>
          <w:szCs w:val="20"/>
          <w:lang w:eastAsia="en-US"/>
        </w:rPr>
      </w:pPr>
    </w:p>
    <w:p w14:paraId="145FAB87" w14:textId="4EC68BA7" w:rsidR="00DA76B1" w:rsidRPr="00490D3B" w:rsidRDefault="00F95315" w:rsidP="00DA76B1">
      <w:pPr>
        <w:pStyle w:val="Normal0"/>
        <w:rPr>
          <w:rFonts w:eastAsia="Calibri"/>
          <w:bCs/>
          <w:sz w:val="20"/>
          <w:szCs w:val="20"/>
          <w:lang w:eastAsia="en-US"/>
        </w:rPr>
      </w:pPr>
      <w:r w:rsidRPr="00490D3B">
        <w:rPr>
          <w:rFonts w:eastAsia="Calibri"/>
          <w:bCs/>
          <w:noProof/>
          <w:sz w:val="20"/>
          <w:szCs w:val="20"/>
          <w:lang w:val="en-US" w:eastAsia="en-US"/>
        </w:rPr>
        <w:drawing>
          <wp:inline distT="0" distB="0" distL="0" distR="0" wp14:anchorId="04360DA7" wp14:editId="601083E5">
            <wp:extent cx="6400800" cy="1647190"/>
            <wp:effectExtent l="0" t="0" r="57150" b="0"/>
            <wp:docPr id="1" name="Diagrama 1"/>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12" r:lo="rId13" r:qs="rId14" r:cs="rId15"/>
              </a:graphicData>
            </a:graphic>
          </wp:inline>
        </w:drawing>
      </w:r>
    </w:p>
    <w:p w14:paraId="31E86EF2" w14:textId="77777777" w:rsidR="00F95315" w:rsidRPr="00490D3B" w:rsidRDefault="00F95315" w:rsidP="00DA76B1">
      <w:pPr>
        <w:pStyle w:val="Normal0"/>
        <w:rPr>
          <w:rFonts w:eastAsia="Calibri"/>
          <w:bCs/>
          <w:sz w:val="20"/>
          <w:szCs w:val="20"/>
          <w:lang w:eastAsia="en-US"/>
        </w:rPr>
      </w:pPr>
    </w:p>
    <w:p w14:paraId="35440E1E" w14:textId="77777777" w:rsidR="00DA76B1" w:rsidRPr="00490D3B" w:rsidRDefault="00DA76B1" w:rsidP="00DA76B1">
      <w:pPr>
        <w:pStyle w:val="Normal0"/>
        <w:rPr>
          <w:rFonts w:eastAsia="Calibri"/>
          <w:bCs/>
          <w:sz w:val="20"/>
          <w:szCs w:val="20"/>
          <w:lang w:eastAsia="en-US"/>
        </w:rPr>
      </w:pPr>
      <w:r w:rsidRPr="00490D3B">
        <w:rPr>
          <w:rFonts w:eastAsia="Calibri"/>
          <w:bCs/>
          <w:sz w:val="20"/>
          <w:szCs w:val="20"/>
          <w:lang w:eastAsia="en-US"/>
        </w:rPr>
        <w:t>Esta organización facilita la integración de los datos provenientes de fuentes históricas y de los diferentes soportes utilizados para sustentar los cálculos. También permite realizar posteriormente las validaciones técnica, jurídica y financiera requeridas para determinar la consistencia de la nota técnica.</w:t>
      </w:r>
    </w:p>
    <w:p w14:paraId="0EDE77F5" w14:textId="77777777" w:rsidR="00DA76B1" w:rsidRPr="00490D3B" w:rsidRDefault="00DA76B1" w:rsidP="00DA76B1">
      <w:pPr>
        <w:pStyle w:val="Normal0"/>
        <w:rPr>
          <w:rFonts w:eastAsia="Calibri"/>
          <w:bCs/>
          <w:sz w:val="20"/>
          <w:szCs w:val="20"/>
          <w:lang w:eastAsia="en-US"/>
        </w:rPr>
      </w:pPr>
    </w:p>
    <w:p w14:paraId="64E61514" w14:textId="07ACAA6E" w:rsidR="00DA76B1" w:rsidRPr="00490D3B" w:rsidRDefault="00DA76B1" w:rsidP="00DA76B1">
      <w:pPr>
        <w:pStyle w:val="Normal0"/>
        <w:rPr>
          <w:rFonts w:eastAsia="Calibri"/>
          <w:bCs/>
          <w:sz w:val="20"/>
          <w:szCs w:val="20"/>
          <w:lang w:eastAsia="en-US"/>
        </w:rPr>
      </w:pPr>
      <w:r w:rsidRPr="00490D3B">
        <w:rPr>
          <w:rFonts w:eastAsia="Calibri"/>
          <w:bCs/>
          <w:sz w:val="20"/>
          <w:szCs w:val="20"/>
          <w:lang w:eastAsia="en-US"/>
        </w:rPr>
        <w:lastRenderedPageBreak/>
        <w:t>En consecuencia, la estructura de la nota técnica no se limita a la presentación de valores económicos, sino que articula la información que permite explicar, sustentar y hacer seguimiento a las proyecciones de servicios y tecnologías en salud.</w:t>
      </w:r>
    </w:p>
    <w:p w14:paraId="0B94CAF5" w14:textId="77777777" w:rsidR="00DA76B1" w:rsidRPr="00490D3B" w:rsidRDefault="00DA76B1" w:rsidP="00DA76B1">
      <w:pPr>
        <w:pStyle w:val="Normal0"/>
        <w:rPr>
          <w:rFonts w:eastAsia="Calibri"/>
          <w:bCs/>
          <w:sz w:val="20"/>
          <w:szCs w:val="20"/>
          <w:lang w:eastAsia="en-US"/>
        </w:rPr>
      </w:pPr>
    </w:p>
    <w:p w14:paraId="7A3234E6" w14:textId="41A87F28" w:rsidR="00D743F1" w:rsidRPr="00490D3B" w:rsidRDefault="00D743F1" w:rsidP="00D743F1">
      <w:pPr>
        <w:pStyle w:val="Normal0"/>
        <w:numPr>
          <w:ilvl w:val="1"/>
          <w:numId w:val="30"/>
        </w:numPr>
        <w:rPr>
          <w:rFonts w:eastAsia="Calibri"/>
          <w:b/>
          <w:bCs/>
          <w:sz w:val="20"/>
          <w:szCs w:val="20"/>
          <w:lang w:eastAsia="en-US"/>
        </w:rPr>
      </w:pPr>
      <w:r w:rsidRPr="00490D3B">
        <w:rPr>
          <w:rFonts w:eastAsia="Calibri"/>
          <w:b/>
          <w:bCs/>
          <w:sz w:val="20"/>
          <w:szCs w:val="20"/>
          <w:lang w:eastAsia="en-US"/>
        </w:rPr>
        <w:t>Identificación de servicios y procedimientos</w:t>
      </w:r>
    </w:p>
    <w:p w14:paraId="7822FF60" w14:textId="71AC064D" w:rsidR="00EC31FC" w:rsidRPr="00490D3B" w:rsidRDefault="00EC31FC" w:rsidP="00EC31FC">
      <w:pPr>
        <w:pStyle w:val="Normal0"/>
        <w:rPr>
          <w:rFonts w:eastAsia="Calibri"/>
          <w:bCs/>
          <w:sz w:val="20"/>
          <w:szCs w:val="20"/>
          <w:lang w:eastAsia="en-US"/>
        </w:rPr>
      </w:pPr>
    </w:p>
    <w:p w14:paraId="4D69A610" w14:textId="77777777" w:rsidR="00EC31FC" w:rsidRPr="00490D3B" w:rsidRDefault="00EC31FC" w:rsidP="00EC31FC">
      <w:pPr>
        <w:pStyle w:val="Normal0"/>
        <w:rPr>
          <w:rFonts w:eastAsia="Calibri"/>
          <w:bCs/>
          <w:sz w:val="20"/>
          <w:szCs w:val="20"/>
          <w:lang w:eastAsia="en-US"/>
        </w:rPr>
      </w:pPr>
      <w:r w:rsidRPr="00490D3B">
        <w:rPr>
          <w:rFonts w:eastAsia="Calibri"/>
          <w:bCs/>
          <w:sz w:val="20"/>
          <w:szCs w:val="20"/>
          <w:lang w:eastAsia="en-US"/>
        </w:rPr>
        <w:t>La identificación de los servicios y procedimientos constituye un elemento fundamental para la construcción de la nota técnica, debido a que permite establecer con precisión las atenciones y tecnologías que serán consideradas en el acuerdo de voluntades. Para ello, cada servicio o procedimiento debe asociarse con el código correspondiente en las tablas de referencia estandarizadas y relacionarse con la población y las frecuencias de uso proyectadas.</w:t>
      </w:r>
    </w:p>
    <w:p w14:paraId="6914A3D4" w14:textId="77777777" w:rsidR="00EC31FC" w:rsidRPr="00490D3B" w:rsidRDefault="00EC31FC" w:rsidP="00EC31FC">
      <w:pPr>
        <w:pStyle w:val="Normal0"/>
        <w:rPr>
          <w:rFonts w:eastAsia="Calibri"/>
          <w:bCs/>
          <w:sz w:val="20"/>
          <w:szCs w:val="20"/>
          <w:lang w:eastAsia="en-US"/>
        </w:rPr>
      </w:pPr>
    </w:p>
    <w:p w14:paraId="57DDEB0F" w14:textId="77777777" w:rsidR="00EC31FC" w:rsidRPr="00490D3B" w:rsidRDefault="00EC31FC" w:rsidP="00EC31FC">
      <w:pPr>
        <w:pStyle w:val="Normal0"/>
        <w:rPr>
          <w:rFonts w:eastAsia="Calibri"/>
          <w:bCs/>
          <w:sz w:val="20"/>
          <w:szCs w:val="20"/>
          <w:lang w:eastAsia="en-US"/>
        </w:rPr>
      </w:pPr>
      <w:r w:rsidRPr="00490D3B">
        <w:rPr>
          <w:rFonts w:eastAsia="Calibri"/>
          <w:bCs/>
          <w:sz w:val="20"/>
          <w:szCs w:val="20"/>
          <w:lang w:eastAsia="en-US"/>
        </w:rPr>
        <w:t>Entre las principales referencias para esta identificación se encuentran:</w:t>
      </w:r>
    </w:p>
    <w:p w14:paraId="778F7FA1" w14:textId="77777777" w:rsidR="00EC31FC" w:rsidRPr="00490D3B" w:rsidRDefault="00EC31FC" w:rsidP="00EC31FC">
      <w:pPr>
        <w:pStyle w:val="Normal0"/>
        <w:rPr>
          <w:rFonts w:eastAsia="Calibri"/>
          <w:bCs/>
          <w:sz w:val="20"/>
          <w:szCs w:val="20"/>
          <w:lang w:eastAsia="en-US"/>
        </w:rPr>
      </w:pPr>
    </w:p>
    <w:p w14:paraId="1DADBB47" w14:textId="71424905" w:rsidR="00EC31FC" w:rsidRPr="00490D3B" w:rsidRDefault="00EC31FC" w:rsidP="00EC31FC">
      <w:pPr>
        <w:pStyle w:val="Normal0"/>
        <w:rPr>
          <w:rFonts w:eastAsia="Calibri"/>
          <w:bCs/>
          <w:sz w:val="20"/>
          <w:szCs w:val="20"/>
          <w:lang w:eastAsia="en-US"/>
        </w:rPr>
      </w:pPr>
      <w:r w:rsidRPr="00490D3B">
        <w:rPr>
          <w:rFonts w:eastAsia="Calibri"/>
          <w:bCs/>
          <w:noProof/>
          <w:sz w:val="20"/>
          <w:szCs w:val="20"/>
          <w:lang w:val="en-US" w:eastAsia="en-US"/>
        </w:rPr>
        <w:drawing>
          <wp:inline distT="0" distB="0" distL="0" distR="0" wp14:anchorId="725D996D" wp14:editId="63802667">
            <wp:extent cx="6315075" cy="2095500"/>
            <wp:effectExtent l="0" t="0" r="9525" b="0"/>
            <wp:docPr id="2" name="Diagrama 2"/>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17" r:lo="rId18" r:qs="rId19" r:cs="rId20"/>
              </a:graphicData>
            </a:graphic>
          </wp:inline>
        </w:drawing>
      </w:r>
    </w:p>
    <w:p w14:paraId="16F842B3" w14:textId="77777777" w:rsidR="00EC31FC" w:rsidRPr="00490D3B" w:rsidRDefault="00EC31FC" w:rsidP="00EC31FC">
      <w:pPr>
        <w:pStyle w:val="Normal0"/>
        <w:rPr>
          <w:rFonts w:eastAsia="Calibri"/>
          <w:bCs/>
          <w:sz w:val="20"/>
          <w:szCs w:val="20"/>
          <w:lang w:eastAsia="en-US"/>
        </w:rPr>
      </w:pPr>
    </w:p>
    <w:p w14:paraId="2CF64658" w14:textId="77777777" w:rsidR="00EC31FC" w:rsidRPr="00490D3B" w:rsidRDefault="00EC31FC" w:rsidP="00EC31FC">
      <w:pPr>
        <w:pStyle w:val="Normal0"/>
        <w:rPr>
          <w:rFonts w:eastAsia="Calibri"/>
          <w:bCs/>
          <w:sz w:val="20"/>
          <w:szCs w:val="20"/>
          <w:lang w:eastAsia="en-US"/>
        </w:rPr>
      </w:pPr>
      <w:r w:rsidRPr="00490D3B">
        <w:rPr>
          <w:rFonts w:eastAsia="Calibri"/>
          <w:bCs/>
          <w:sz w:val="20"/>
          <w:szCs w:val="20"/>
          <w:lang w:eastAsia="en-US"/>
        </w:rPr>
        <w:t>La selección de los códigos debe realizarse de acuerdo con las tablas y clasificaciones vigentes. Además, es necesario comprobar que los códigos utilizados correspondan efectivamente al servicio o procedimiento que se pretende incluir y que no se encuentren desactualizados. Esta verificación contribuye a mantener la consistencia entre la información de la nota técnica, los registros de prestación de servicios y los procesos posteriores de seguimiento y validación.</w:t>
      </w:r>
    </w:p>
    <w:p w14:paraId="7EF5769B" w14:textId="77777777" w:rsidR="00EC31FC" w:rsidRPr="00490D3B" w:rsidRDefault="00EC31FC" w:rsidP="00EC31FC">
      <w:pPr>
        <w:pStyle w:val="Normal0"/>
        <w:rPr>
          <w:rFonts w:eastAsia="Calibri"/>
          <w:bCs/>
          <w:sz w:val="20"/>
          <w:szCs w:val="20"/>
          <w:lang w:eastAsia="en-US"/>
        </w:rPr>
      </w:pPr>
    </w:p>
    <w:p w14:paraId="6F7A9EB2" w14:textId="29D413F1" w:rsidR="00EC31FC" w:rsidRPr="00490D3B" w:rsidRDefault="00EC31FC" w:rsidP="00EC31FC">
      <w:pPr>
        <w:pStyle w:val="Normal0"/>
        <w:rPr>
          <w:rFonts w:eastAsia="Calibri"/>
          <w:bCs/>
          <w:sz w:val="20"/>
          <w:szCs w:val="20"/>
          <w:lang w:eastAsia="en-US"/>
        </w:rPr>
      </w:pPr>
      <w:r w:rsidRPr="00490D3B">
        <w:rPr>
          <w:rFonts w:eastAsia="Calibri"/>
          <w:bCs/>
          <w:sz w:val="20"/>
          <w:szCs w:val="20"/>
          <w:lang w:eastAsia="en-US"/>
        </w:rPr>
        <w:t>Una vez identificados los servicios y procedimientos, estos pueden organizarse y agruparse según sus características, nivel de atención u otras condiciones pertinentes para el análisis. Posteriormente, esta información se relaciona con la población susceptible y las frecuencias históricas o proyectadas, con el propósito de establecer las cantidades que serán consideradas en la nota técnica.</w:t>
      </w:r>
    </w:p>
    <w:p w14:paraId="4C399E53" w14:textId="77777777" w:rsidR="00EC31FC" w:rsidRPr="00490D3B" w:rsidRDefault="00EC31FC" w:rsidP="00EC31FC">
      <w:pPr>
        <w:pStyle w:val="Normal0"/>
        <w:rPr>
          <w:rFonts w:eastAsia="Calibri"/>
          <w:bCs/>
          <w:sz w:val="20"/>
          <w:szCs w:val="20"/>
          <w:lang w:eastAsia="en-US"/>
        </w:rPr>
      </w:pPr>
    </w:p>
    <w:p w14:paraId="73245A68" w14:textId="537CE438" w:rsidR="00D743F1" w:rsidRPr="00490D3B" w:rsidRDefault="00D743F1" w:rsidP="00D743F1">
      <w:pPr>
        <w:pStyle w:val="Normal0"/>
        <w:numPr>
          <w:ilvl w:val="1"/>
          <w:numId w:val="30"/>
        </w:numPr>
        <w:rPr>
          <w:rFonts w:eastAsia="Calibri"/>
          <w:b/>
          <w:bCs/>
          <w:sz w:val="20"/>
          <w:szCs w:val="20"/>
          <w:lang w:eastAsia="en-US"/>
        </w:rPr>
      </w:pPr>
      <w:r w:rsidRPr="00490D3B">
        <w:rPr>
          <w:rFonts w:eastAsia="Calibri"/>
          <w:b/>
          <w:bCs/>
          <w:sz w:val="20"/>
          <w:szCs w:val="20"/>
          <w:lang w:eastAsia="en-US"/>
        </w:rPr>
        <w:t>Elaboración de cálculos e indicadores</w:t>
      </w:r>
    </w:p>
    <w:p w14:paraId="794C0A50" w14:textId="75349453" w:rsidR="00D2742B" w:rsidRPr="00490D3B" w:rsidRDefault="00D2742B" w:rsidP="00D2742B">
      <w:pPr>
        <w:pStyle w:val="Normal0"/>
        <w:rPr>
          <w:rFonts w:eastAsia="Calibri"/>
          <w:bCs/>
          <w:sz w:val="20"/>
          <w:szCs w:val="20"/>
          <w:lang w:eastAsia="en-US"/>
        </w:rPr>
      </w:pPr>
    </w:p>
    <w:p w14:paraId="5F9B0136" w14:textId="77777777" w:rsidR="00D2742B" w:rsidRPr="00490D3B" w:rsidRDefault="00D2742B" w:rsidP="00D2742B">
      <w:pPr>
        <w:pStyle w:val="Normal0"/>
        <w:rPr>
          <w:rFonts w:eastAsia="Calibri"/>
          <w:bCs/>
          <w:sz w:val="20"/>
          <w:szCs w:val="20"/>
          <w:lang w:eastAsia="en-US"/>
        </w:rPr>
      </w:pPr>
      <w:r w:rsidRPr="00490D3B">
        <w:rPr>
          <w:rFonts w:eastAsia="Calibri"/>
          <w:bCs/>
          <w:sz w:val="20"/>
          <w:szCs w:val="20"/>
          <w:lang w:eastAsia="en-US"/>
        </w:rPr>
        <w:t>La elaboración de cálculos e indicadores permite transformar la información poblacional y los datos históricos de utilización de servicios en valores que pueden ser utilizados para proyectar las necesidades de atención. Para este proceso se consideran variables como la población objeto, la población susceptible, los servicios o tecnologías utilizados, las frecuencias de uso y los costos asociados.</w:t>
      </w:r>
    </w:p>
    <w:p w14:paraId="588A4FBB" w14:textId="77777777" w:rsidR="00D2742B" w:rsidRPr="00490D3B" w:rsidRDefault="00D2742B" w:rsidP="00D2742B">
      <w:pPr>
        <w:pStyle w:val="Normal0"/>
        <w:rPr>
          <w:rFonts w:eastAsia="Calibri"/>
          <w:bCs/>
          <w:sz w:val="20"/>
          <w:szCs w:val="20"/>
          <w:lang w:eastAsia="en-US"/>
        </w:rPr>
      </w:pPr>
    </w:p>
    <w:p w14:paraId="4D218DFA" w14:textId="77777777" w:rsidR="00D2742B" w:rsidRPr="00490D3B" w:rsidRDefault="00D2742B" w:rsidP="00D2742B">
      <w:pPr>
        <w:pStyle w:val="Normal0"/>
        <w:rPr>
          <w:rFonts w:eastAsia="Calibri"/>
          <w:bCs/>
          <w:sz w:val="20"/>
          <w:szCs w:val="20"/>
          <w:lang w:eastAsia="en-US"/>
        </w:rPr>
      </w:pPr>
      <w:r w:rsidRPr="00490D3B">
        <w:rPr>
          <w:rFonts w:eastAsia="Calibri"/>
          <w:bCs/>
          <w:sz w:val="20"/>
          <w:szCs w:val="20"/>
          <w:lang w:eastAsia="en-US"/>
        </w:rPr>
        <w:t>Uno de los cálculos fundamentales corresponde a la frecuencia de uso, que relaciona el número de servicios utilizados con la población susceptible durante un periodo determinado. De manera general, puede expresarse mediante la siguiente fórmula:</w:t>
      </w:r>
    </w:p>
    <w:p w14:paraId="494D9B88" w14:textId="41549350" w:rsidR="00D2742B" w:rsidRPr="00490D3B" w:rsidRDefault="00D2742B" w:rsidP="00D2742B">
      <w:pPr>
        <w:pStyle w:val="Normal0"/>
        <w:rPr>
          <w:rFonts w:eastAsia="Calibri"/>
          <w:bCs/>
          <w:sz w:val="20"/>
          <w:szCs w:val="20"/>
          <w:lang w:eastAsia="en-US"/>
        </w:rPr>
      </w:pPr>
    </w:p>
    <w:p w14:paraId="64A434E9" w14:textId="34A609BB" w:rsidR="00D2742B" w:rsidRPr="00490D3B" w:rsidRDefault="007533E1" w:rsidP="00D2742B">
      <w:pPr>
        <w:pStyle w:val="Normal0"/>
        <w:rPr>
          <w:rFonts w:eastAsia="Calibri"/>
          <w:b/>
          <w:bCs/>
          <w:sz w:val="20"/>
          <w:szCs w:val="20"/>
          <w:lang w:eastAsia="en-US"/>
        </w:rPr>
      </w:pPr>
      <m:oMathPara>
        <m:oMath>
          <m:r>
            <m:rPr>
              <m:sty m:val="b"/>
            </m:rPr>
            <w:rPr>
              <w:rFonts w:ascii="Cambria Math" w:eastAsia="Calibri" w:hAnsi="Cambria Math"/>
              <w:sz w:val="20"/>
              <w:szCs w:val="20"/>
              <w:lang w:eastAsia="en-US"/>
            </w:rPr>
            <m:t>Frecuencia de uso=</m:t>
          </m:r>
          <m:f>
            <m:fPr>
              <m:ctrlPr>
                <w:rPr>
                  <w:rFonts w:ascii="Cambria Math" w:eastAsia="Calibri" w:hAnsi="Cambria Math"/>
                  <w:b/>
                  <w:bCs/>
                  <w:sz w:val="20"/>
                  <w:szCs w:val="20"/>
                  <w:lang w:eastAsia="en-US"/>
                </w:rPr>
              </m:ctrlPr>
            </m:fPr>
            <m:num>
              <m:r>
                <m:rPr>
                  <m:sty m:val="b"/>
                </m:rPr>
                <w:rPr>
                  <w:rFonts w:ascii="Cambria Math" w:eastAsia="Calibri" w:hAnsi="Cambria Math"/>
                  <w:sz w:val="20"/>
                  <w:szCs w:val="20"/>
                  <w:lang w:eastAsia="en-US"/>
                </w:rPr>
                <m:t>Número de servicios utilizados</m:t>
              </m:r>
            </m:num>
            <m:den>
              <m:r>
                <m:rPr>
                  <m:sty m:val="b"/>
                </m:rPr>
                <w:rPr>
                  <w:rFonts w:ascii="Cambria Math" w:eastAsia="Calibri" w:hAnsi="Cambria Math"/>
                  <w:sz w:val="20"/>
                  <w:szCs w:val="20"/>
                  <w:lang w:eastAsia="en-US"/>
                </w:rPr>
                <m:t>Población susceptible</m:t>
              </m:r>
            </m:den>
          </m:f>
        </m:oMath>
      </m:oMathPara>
    </w:p>
    <w:p w14:paraId="009DBC7F" w14:textId="77777777" w:rsidR="00D2742B" w:rsidRPr="00490D3B" w:rsidRDefault="00D2742B" w:rsidP="00D2742B">
      <w:pPr>
        <w:pStyle w:val="Normal0"/>
        <w:rPr>
          <w:rFonts w:eastAsia="Calibri"/>
          <w:bCs/>
          <w:sz w:val="20"/>
          <w:szCs w:val="20"/>
          <w:lang w:eastAsia="en-US"/>
        </w:rPr>
      </w:pPr>
    </w:p>
    <w:p w14:paraId="3E54F4BB" w14:textId="77777777" w:rsidR="00D2742B" w:rsidRPr="00490D3B" w:rsidRDefault="00D2742B" w:rsidP="00D2742B">
      <w:pPr>
        <w:pStyle w:val="Normal0"/>
        <w:rPr>
          <w:rFonts w:eastAsia="Calibri"/>
          <w:bCs/>
          <w:sz w:val="20"/>
          <w:szCs w:val="20"/>
          <w:lang w:eastAsia="en-US"/>
        </w:rPr>
      </w:pPr>
      <w:r w:rsidRPr="00490D3B">
        <w:rPr>
          <w:rFonts w:eastAsia="Calibri"/>
          <w:bCs/>
          <w:sz w:val="20"/>
          <w:szCs w:val="20"/>
          <w:lang w:eastAsia="en-US"/>
        </w:rPr>
        <w:t>Por ejemplo, si durante un periodo se registraron 3.000 atenciones para una población susceptible de 2.000 personas, la frecuencia de uso sería:</w:t>
      </w:r>
    </w:p>
    <w:p w14:paraId="5C3D844C" w14:textId="77777777" w:rsidR="00D2742B" w:rsidRPr="00490D3B" w:rsidRDefault="00D2742B" w:rsidP="00D2742B">
      <w:pPr>
        <w:pStyle w:val="Normal0"/>
        <w:rPr>
          <w:rFonts w:eastAsia="Calibri"/>
          <w:bCs/>
          <w:sz w:val="20"/>
          <w:szCs w:val="20"/>
          <w:lang w:eastAsia="en-US"/>
        </w:rPr>
      </w:pPr>
    </w:p>
    <w:p w14:paraId="60C8E2C8" w14:textId="279A7F3B" w:rsidR="00D2742B" w:rsidRPr="00490D3B" w:rsidRDefault="000B3F8C" w:rsidP="00D2742B">
      <w:pPr>
        <w:pStyle w:val="Normal0"/>
        <w:rPr>
          <w:rFonts w:eastAsia="Calibri"/>
          <w:b/>
          <w:bCs/>
          <w:sz w:val="20"/>
          <w:szCs w:val="20"/>
          <w:lang w:eastAsia="en-US"/>
        </w:rPr>
      </w:pPr>
      <m:oMathPara>
        <m:oMath>
          <m:f>
            <m:fPr>
              <m:ctrlPr>
                <w:rPr>
                  <w:rFonts w:ascii="Cambria Math" w:eastAsia="Calibri" w:hAnsi="Cambria Math"/>
                  <w:b/>
                  <w:bCs/>
                  <w:i/>
                  <w:sz w:val="20"/>
                  <w:szCs w:val="20"/>
                  <w:lang w:eastAsia="en-US"/>
                </w:rPr>
              </m:ctrlPr>
            </m:fPr>
            <m:num>
              <m:r>
                <m:rPr>
                  <m:sty m:val="bi"/>
                </m:rPr>
                <w:rPr>
                  <w:rFonts w:ascii="Cambria Math" w:eastAsia="Calibri" w:hAnsi="Cambria Math"/>
                  <w:sz w:val="20"/>
                  <w:szCs w:val="20"/>
                  <w:lang w:eastAsia="en-US"/>
                </w:rPr>
                <m:t>3.000</m:t>
              </m:r>
            </m:num>
            <m:den>
              <m:r>
                <m:rPr>
                  <m:sty m:val="bi"/>
                </m:rPr>
                <w:rPr>
                  <w:rFonts w:ascii="Cambria Math" w:eastAsia="Calibri" w:hAnsi="Cambria Math"/>
                  <w:sz w:val="20"/>
                  <w:szCs w:val="20"/>
                  <w:lang w:eastAsia="en-US"/>
                </w:rPr>
                <m:t>2.000</m:t>
              </m:r>
            </m:den>
          </m:f>
          <m:r>
            <m:rPr>
              <m:sty m:val="bi"/>
            </m:rPr>
            <w:rPr>
              <w:rFonts w:ascii="Cambria Math" w:eastAsia="Calibri" w:hAnsi="Cambria Math"/>
              <w:sz w:val="20"/>
              <w:szCs w:val="20"/>
              <w:lang w:eastAsia="en-US"/>
            </w:rPr>
            <m:t>=1,5</m:t>
          </m:r>
        </m:oMath>
      </m:oMathPara>
    </w:p>
    <w:p w14:paraId="39C292B5" w14:textId="77777777" w:rsidR="00D2742B" w:rsidRPr="00490D3B" w:rsidRDefault="00D2742B" w:rsidP="00D2742B">
      <w:pPr>
        <w:pStyle w:val="Normal0"/>
        <w:rPr>
          <w:rFonts w:eastAsia="Calibri"/>
          <w:bCs/>
          <w:sz w:val="20"/>
          <w:szCs w:val="20"/>
          <w:lang w:eastAsia="en-US"/>
        </w:rPr>
      </w:pPr>
    </w:p>
    <w:p w14:paraId="15B0F929" w14:textId="77777777" w:rsidR="00D2742B" w:rsidRPr="00490D3B" w:rsidRDefault="00D2742B" w:rsidP="00D2742B">
      <w:pPr>
        <w:pStyle w:val="Normal0"/>
        <w:rPr>
          <w:rFonts w:eastAsia="Calibri"/>
          <w:bCs/>
          <w:sz w:val="20"/>
          <w:szCs w:val="20"/>
          <w:lang w:eastAsia="en-US"/>
        </w:rPr>
      </w:pPr>
      <w:r w:rsidRPr="00490D3B">
        <w:rPr>
          <w:rFonts w:eastAsia="Calibri"/>
          <w:bCs/>
          <w:sz w:val="20"/>
          <w:szCs w:val="20"/>
          <w:lang w:eastAsia="en-US"/>
        </w:rPr>
        <w:t>Esto significa que, durante el periodo analizado, se registraron en promedio 1,5 atenciones por persona susceptible.</w:t>
      </w:r>
    </w:p>
    <w:p w14:paraId="41535FF4" w14:textId="77777777" w:rsidR="00D2742B" w:rsidRPr="00490D3B" w:rsidRDefault="00D2742B" w:rsidP="00D2742B">
      <w:pPr>
        <w:pStyle w:val="Normal0"/>
        <w:rPr>
          <w:rFonts w:eastAsia="Calibri"/>
          <w:bCs/>
          <w:sz w:val="20"/>
          <w:szCs w:val="20"/>
          <w:lang w:eastAsia="en-US"/>
        </w:rPr>
      </w:pPr>
    </w:p>
    <w:p w14:paraId="3694E71D" w14:textId="77777777" w:rsidR="00D2742B" w:rsidRPr="00490D3B" w:rsidRDefault="00D2742B" w:rsidP="00D2742B">
      <w:pPr>
        <w:pStyle w:val="Normal0"/>
        <w:rPr>
          <w:rFonts w:eastAsia="Calibri"/>
          <w:bCs/>
          <w:sz w:val="20"/>
          <w:szCs w:val="20"/>
          <w:lang w:eastAsia="en-US"/>
        </w:rPr>
      </w:pPr>
      <w:r w:rsidRPr="00490D3B">
        <w:rPr>
          <w:rFonts w:eastAsia="Calibri"/>
          <w:bCs/>
          <w:sz w:val="20"/>
          <w:szCs w:val="20"/>
          <w:lang w:eastAsia="en-US"/>
        </w:rPr>
        <w:t>A partir de la frecuencia obtenida, puede estimarse la cantidad de servicios que se requerirían para una población determinada:</w:t>
      </w:r>
    </w:p>
    <w:p w14:paraId="0973045A" w14:textId="77777777" w:rsidR="00D2742B" w:rsidRPr="00490D3B" w:rsidRDefault="00D2742B" w:rsidP="00D2742B">
      <w:pPr>
        <w:pStyle w:val="Normal0"/>
        <w:rPr>
          <w:rFonts w:eastAsia="Calibri"/>
          <w:bCs/>
          <w:sz w:val="20"/>
          <w:szCs w:val="20"/>
          <w:lang w:eastAsia="en-US"/>
        </w:rPr>
      </w:pPr>
    </w:p>
    <w:p w14:paraId="1C7AA8BF" w14:textId="60B39B90" w:rsidR="00D2742B" w:rsidRPr="00490D3B" w:rsidRDefault="00D2742B" w:rsidP="00D2742B">
      <w:pPr>
        <w:pStyle w:val="Normal0"/>
        <w:jc w:val="center"/>
        <w:rPr>
          <w:rFonts w:eastAsia="Calibri"/>
          <w:b/>
          <w:bCs/>
          <w:sz w:val="20"/>
          <w:szCs w:val="20"/>
          <w:lang w:eastAsia="en-US"/>
        </w:rPr>
      </w:pPr>
      <w:r w:rsidRPr="00490D3B">
        <w:rPr>
          <w:rFonts w:eastAsia="Calibri"/>
          <w:b/>
          <w:bCs/>
          <w:sz w:val="20"/>
          <w:szCs w:val="20"/>
          <w:lang w:eastAsia="en-US"/>
        </w:rPr>
        <w:t>Cantidad proyectada de servicios = Población susceptible x Frecuencia de uso</w:t>
      </w:r>
    </w:p>
    <w:p w14:paraId="28A855C5" w14:textId="77777777" w:rsidR="00D2742B" w:rsidRPr="00490D3B" w:rsidRDefault="00D2742B" w:rsidP="00D2742B">
      <w:pPr>
        <w:pStyle w:val="Normal0"/>
        <w:rPr>
          <w:rFonts w:eastAsia="Calibri"/>
          <w:bCs/>
          <w:sz w:val="20"/>
          <w:szCs w:val="20"/>
          <w:lang w:eastAsia="en-US"/>
        </w:rPr>
      </w:pPr>
    </w:p>
    <w:p w14:paraId="5CEF2AC0" w14:textId="77777777" w:rsidR="00D2742B" w:rsidRPr="00490D3B" w:rsidRDefault="00D2742B" w:rsidP="00D2742B">
      <w:pPr>
        <w:pStyle w:val="Normal0"/>
        <w:rPr>
          <w:rFonts w:eastAsia="Calibri"/>
          <w:bCs/>
          <w:sz w:val="20"/>
          <w:szCs w:val="20"/>
          <w:lang w:eastAsia="en-US"/>
        </w:rPr>
      </w:pPr>
      <w:r w:rsidRPr="00490D3B">
        <w:rPr>
          <w:rFonts w:eastAsia="Calibri"/>
          <w:bCs/>
          <w:sz w:val="20"/>
          <w:szCs w:val="20"/>
          <w:lang w:eastAsia="en-US"/>
        </w:rPr>
        <w:t>Por ejemplo, para una población susceptible de 2.500 personas y una frecuencia de uso de 1,5, la cantidad proyectada sería:</w:t>
      </w:r>
    </w:p>
    <w:p w14:paraId="5E47ECD4" w14:textId="77777777" w:rsidR="00D2742B" w:rsidRPr="00490D3B" w:rsidRDefault="00D2742B" w:rsidP="00D2742B">
      <w:pPr>
        <w:pStyle w:val="Normal0"/>
        <w:jc w:val="center"/>
        <w:rPr>
          <w:rFonts w:eastAsia="Calibri"/>
          <w:bCs/>
          <w:sz w:val="20"/>
          <w:szCs w:val="20"/>
          <w:lang w:eastAsia="en-US"/>
        </w:rPr>
      </w:pPr>
    </w:p>
    <w:p w14:paraId="08555C22" w14:textId="7AFD12C0" w:rsidR="00D2742B" w:rsidRPr="00490D3B" w:rsidRDefault="00D2742B" w:rsidP="00D2742B">
      <w:pPr>
        <w:pStyle w:val="Normal0"/>
        <w:jc w:val="center"/>
        <w:rPr>
          <w:rFonts w:eastAsia="Calibri"/>
          <w:b/>
          <w:bCs/>
          <w:sz w:val="20"/>
          <w:szCs w:val="20"/>
          <w:lang w:eastAsia="en-US"/>
        </w:rPr>
      </w:pPr>
      <w:r w:rsidRPr="00490D3B">
        <w:rPr>
          <w:rFonts w:eastAsia="Calibri"/>
          <w:b/>
          <w:bCs/>
          <w:sz w:val="20"/>
          <w:szCs w:val="20"/>
          <w:lang w:eastAsia="en-US"/>
        </w:rPr>
        <w:t>2.500 x 1,5 = 3.750</w:t>
      </w:r>
    </w:p>
    <w:p w14:paraId="4DBC3308" w14:textId="77777777" w:rsidR="00D2742B" w:rsidRPr="00490D3B" w:rsidRDefault="00D2742B" w:rsidP="00D2742B">
      <w:pPr>
        <w:pStyle w:val="Normal0"/>
        <w:rPr>
          <w:rFonts w:eastAsia="Calibri"/>
          <w:bCs/>
          <w:sz w:val="20"/>
          <w:szCs w:val="20"/>
          <w:lang w:eastAsia="en-US"/>
        </w:rPr>
      </w:pPr>
    </w:p>
    <w:p w14:paraId="47FE99F7" w14:textId="77777777" w:rsidR="00D2742B" w:rsidRPr="00490D3B" w:rsidRDefault="00D2742B" w:rsidP="00D2742B">
      <w:pPr>
        <w:pStyle w:val="Normal0"/>
        <w:rPr>
          <w:rFonts w:eastAsia="Calibri"/>
          <w:bCs/>
          <w:sz w:val="20"/>
          <w:szCs w:val="20"/>
          <w:lang w:eastAsia="en-US"/>
        </w:rPr>
      </w:pPr>
      <w:r w:rsidRPr="00490D3B">
        <w:rPr>
          <w:rFonts w:eastAsia="Calibri"/>
          <w:bCs/>
          <w:sz w:val="20"/>
          <w:szCs w:val="20"/>
          <w:lang w:eastAsia="en-US"/>
        </w:rPr>
        <w:t>Por tanto, se proyectarían 3.750 servicios para el periodo establecido.</w:t>
      </w:r>
    </w:p>
    <w:p w14:paraId="0D656D54" w14:textId="77777777" w:rsidR="00D2742B" w:rsidRPr="00490D3B" w:rsidRDefault="00D2742B" w:rsidP="00D2742B">
      <w:pPr>
        <w:pStyle w:val="Normal0"/>
        <w:rPr>
          <w:rFonts w:eastAsia="Calibri"/>
          <w:bCs/>
          <w:sz w:val="20"/>
          <w:szCs w:val="20"/>
          <w:lang w:eastAsia="en-US"/>
        </w:rPr>
      </w:pPr>
    </w:p>
    <w:p w14:paraId="071FE5C4" w14:textId="77777777" w:rsidR="00D2742B" w:rsidRPr="00490D3B" w:rsidRDefault="00D2742B" w:rsidP="00D2742B">
      <w:pPr>
        <w:pStyle w:val="Normal0"/>
        <w:rPr>
          <w:rFonts w:eastAsia="Calibri"/>
          <w:bCs/>
          <w:sz w:val="20"/>
          <w:szCs w:val="20"/>
          <w:lang w:eastAsia="en-US"/>
        </w:rPr>
      </w:pPr>
      <w:r w:rsidRPr="00490D3B">
        <w:rPr>
          <w:rFonts w:eastAsia="Calibri"/>
          <w:bCs/>
          <w:sz w:val="20"/>
          <w:szCs w:val="20"/>
          <w:lang w:eastAsia="en-US"/>
        </w:rPr>
        <w:t>Cuando se dispone de un costo unitario, también es posible estimar el valor asociado a los servicios proyectados:</w:t>
      </w:r>
    </w:p>
    <w:p w14:paraId="6DBE5728" w14:textId="77777777" w:rsidR="00D2742B" w:rsidRPr="00490D3B" w:rsidRDefault="00D2742B" w:rsidP="00D2742B">
      <w:pPr>
        <w:pStyle w:val="Normal0"/>
        <w:rPr>
          <w:rFonts w:eastAsia="Calibri"/>
          <w:bCs/>
          <w:sz w:val="20"/>
          <w:szCs w:val="20"/>
          <w:lang w:eastAsia="en-US"/>
        </w:rPr>
      </w:pPr>
    </w:p>
    <w:p w14:paraId="3A229A42" w14:textId="49A5B1F1" w:rsidR="00D2742B" w:rsidRPr="00490D3B" w:rsidRDefault="00D2742B" w:rsidP="00100579">
      <w:pPr>
        <w:pStyle w:val="Normal0"/>
        <w:jc w:val="center"/>
        <w:rPr>
          <w:rFonts w:eastAsia="Calibri"/>
          <w:b/>
          <w:bCs/>
          <w:sz w:val="20"/>
          <w:szCs w:val="20"/>
          <w:lang w:eastAsia="en-US"/>
        </w:rPr>
      </w:pPr>
      <w:r w:rsidRPr="00490D3B">
        <w:rPr>
          <w:rFonts w:eastAsia="Calibri"/>
          <w:b/>
          <w:bCs/>
          <w:sz w:val="20"/>
          <w:szCs w:val="20"/>
          <w:lang w:eastAsia="en-US"/>
        </w:rPr>
        <w:t>Costo proyectado = Cantidad proyec</w:t>
      </w:r>
      <w:r w:rsidR="00100579" w:rsidRPr="00490D3B">
        <w:rPr>
          <w:rFonts w:eastAsia="Calibri"/>
          <w:b/>
          <w:bCs/>
          <w:sz w:val="20"/>
          <w:szCs w:val="20"/>
          <w:lang w:eastAsia="en-US"/>
        </w:rPr>
        <w:t>tada de servicios x Costo unitario</w:t>
      </w:r>
    </w:p>
    <w:p w14:paraId="5C84B236" w14:textId="77777777" w:rsidR="00D2742B" w:rsidRPr="00490D3B" w:rsidRDefault="00D2742B" w:rsidP="00D2742B">
      <w:pPr>
        <w:pStyle w:val="Normal0"/>
        <w:rPr>
          <w:rFonts w:eastAsia="Calibri"/>
          <w:bCs/>
          <w:sz w:val="20"/>
          <w:szCs w:val="20"/>
          <w:lang w:eastAsia="en-US"/>
        </w:rPr>
      </w:pPr>
    </w:p>
    <w:p w14:paraId="69B5B275" w14:textId="77777777" w:rsidR="00D2742B" w:rsidRPr="00490D3B" w:rsidRDefault="00D2742B" w:rsidP="00D2742B">
      <w:pPr>
        <w:pStyle w:val="Normal0"/>
        <w:rPr>
          <w:rFonts w:eastAsia="Calibri"/>
          <w:bCs/>
          <w:sz w:val="20"/>
          <w:szCs w:val="20"/>
          <w:lang w:eastAsia="en-US"/>
        </w:rPr>
      </w:pPr>
      <w:r w:rsidRPr="00490D3B">
        <w:rPr>
          <w:rFonts w:eastAsia="Calibri"/>
          <w:bCs/>
          <w:sz w:val="20"/>
          <w:szCs w:val="20"/>
          <w:lang w:eastAsia="en-US"/>
        </w:rPr>
        <w:t>Así, si se proyectan 3.750 servicios y cada uno tiene un costo unitario de $40.000, el costo proyectado sería:</w:t>
      </w:r>
    </w:p>
    <w:p w14:paraId="7A8C2178" w14:textId="77777777" w:rsidR="00D2742B" w:rsidRPr="00490D3B" w:rsidRDefault="00D2742B" w:rsidP="00D2742B">
      <w:pPr>
        <w:pStyle w:val="Normal0"/>
        <w:rPr>
          <w:rFonts w:eastAsia="Calibri"/>
          <w:bCs/>
          <w:sz w:val="20"/>
          <w:szCs w:val="20"/>
          <w:lang w:eastAsia="en-US"/>
        </w:rPr>
      </w:pPr>
    </w:p>
    <w:p w14:paraId="6CECF92B" w14:textId="04710A62" w:rsidR="00D2742B" w:rsidRPr="00490D3B" w:rsidRDefault="00100579" w:rsidP="00100579">
      <w:pPr>
        <w:pStyle w:val="Normal0"/>
        <w:jc w:val="center"/>
        <w:rPr>
          <w:rFonts w:eastAsia="Calibri"/>
          <w:b/>
          <w:bCs/>
          <w:sz w:val="20"/>
          <w:szCs w:val="20"/>
          <w:lang w:eastAsia="en-US"/>
        </w:rPr>
      </w:pPr>
      <w:r w:rsidRPr="00490D3B">
        <w:rPr>
          <w:rFonts w:eastAsia="Calibri"/>
          <w:b/>
          <w:bCs/>
          <w:sz w:val="20"/>
          <w:szCs w:val="20"/>
          <w:lang w:eastAsia="en-US"/>
        </w:rPr>
        <w:t>3.750 x $40.000 = $150.000.000</w:t>
      </w:r>
    </w:p>
    <w:p w14:paraId="5A1FDB22" w14:textId="77777777" w:rsidR="00D2742B" w:rsidRPr="00490D3B" w:rsidRDefault="00D2742B" w:rsidP="00D2742B">
      <w:pPr>
        <w:pStyle w:val="Normal0"/>
        <w:rPr>
          <w:rFonts w:eastAsia="Calibri"/>
          <w:bCs/>
          <w:sz w:val="20"/>
          <w:szCs w:val="20"/>
          <w:lang w:eastAsia="en-US"/>
        </w:rPr>
      </w:pPr>
    </w:p>
    <w:p w14:paraId="13269294" w14:textId="77777777" w:rsidR="00D2742B" w:rsidRPr="00490D3B" w:rsidRDefault="00D2742B" w:rsidP="00D2742B">
      <w:pPr>
        <w:pStyle w:val="Normal0"/>
        <w:rPr>
          <w:rFonts w:eastAsia="Calibri"/>
          <w:bCs/>
          <w:sz w:val="20"/>
          <w:szCs w:val="20"/>
          <w:lang w:eastAsia="en-US"/>
        </w:rPr>
      </w:pPr>
      <w:r w:rsidRPr="00490D3B">
        <w:rPr>
          <w:rFonts w:eastAsia="Calibri"/>
          <w:bCs/>
          <w:sz w:val="20"/>
          <w:szCs w:val="20"/>
          <w:lang w:eastAsia="en-US"/>
        </w:rPr>
        <w:t>Estos cálculos permiten relacionar la información de población, utilización y costos, y constituyen una base para la proyección económica de la nota técnica.</w:t>
      </w:r>
    </w:p>
    <w:p w14:paraId="49D1E878" w14:textId="77777777" w:rsidR="00D2742B" w:rsidRPr="00490D3B" w:rsidRDefault="00D2742B" w:rsidP="00D2742B">
      <w:pPr>
        <w:pStyle w:val="Normal0"/>
        <w:rPr>
          <w:rFonts w:eastAsia="Calibri"/>
          <w:bCs/>
          <w:sz w:val="20"/>
          <w:szCs w:val="20"/>
          <w:lang w:eastAsia="en-US"/>
        </w:rPr>
      </w:pPr>
    </w:p>
    <w:p w14:paraId="14D01FFC" w14:textId="77777777" w:rsidR="00D2742B" w:rsidRPr="00490D3B" w:rsidRDefault="00D2742B" w:rsidP="00D2742B">
      <w:pPr>
        <w:pStyle w:val="Normal0"/>
        <w:rPr>
          <w:rFonts w:eastAsia="Calibri"/>
          <w:bCs/>
          <w:sz w:val="20"/>
          <w:szCs w:val="20"/>
          <w:lang w:eastAsia="en-US"/>
        </w:rPr>
      </w:pPr>
      <w:r w:rsidRPr="00490D3B">
        <w:rPr>
          <w:rFonts w:eastAsia="Calibri"/>
          <w:bCs/>
          <w:sz w:val="20"/>
          <w:szCs w:val="20"/>
          <w:lang w:eastAsia="en-US"/>
        </w:rPr>
        <w:t>Los indicadores complementan estos cálculos al facilitar el seguimiento del comportamiento de variables relevantes. Por ejemplo, un indicador porcentual de utilización puede expresarse de la siguiente manera:</w:t>
      </w:r>
    </w:p>
    <w:p w14:paraId="0F67B89A" w14:textId="77777777" w:rsidR="00D2742B" w:rsidRPr="00490D3B" w:rsidRDefault="00D2742B" w:rsidP="00D2742B">
      <w:pPr>
        <w:pStyle w:val="Normal0"/>
        <w:rPr>
          <w:rFonts w:eastAsia="Calibri"/>
          <w:bCs/>
          <w:sz w:val="20"/>
          <w:szCs w:val="20"/>
          <w:lang w:eastAsia="en-US"/>
        </w:rPr>
      </w:pPr>
    </w:p>
    <w:p w14:paraId="568E63CA" w14:textId="6A91A34D" w:rsidR="00100579" w:rsidRPr="00490D3B" w:rsidRDefault="007533E1" w:rsidP="00D2742B">
      <w:pPr>
        <w:pStyle w:val="Normal0"/>
        <w:rPr>
          <w:rFonts w:eastAsia="Calibri"/>
          <w:b/>
          <w:bCs/>
          <w:sz w:val="20"/>
          <w:szCs w:val="20"/>
          <w:lang w:eastAsia="en-US"/>
        </w:rPr>
      </w:pPr>
      <m:oMathPara>
        <m:oMath>
          <m:r>
            <m:rPr>
              <m:sty m:val="b"/>
            </m:rPr>
            <w:rPr>
              <w:rFonts w:ascii="Cambria Math" w:eastAsia="Calibri" w:hAnsi="Cambria Math"/>
              <w:sz w:val="20"/>
              <w:szCs w:val="20"/>
              <w:lang w:eastAsia="en-US"/>
            </w:rPr>
            <m:t xml:space="preserve">Porcentaje de utilización= </m:t>
          </m:r>
          <m:f>
            <m:fPr>
              <m:ctrlPr>
                <w:rPr>
                  <w:rFonts w:ascii="Cambria Math" w:eastAsia="Calibri" w:hAnsi="Cambria Math"/>
                  <w:b/>
                  <w:bCs/>
                  <w:sz w:val="20"/>
                  <w:szCs w:val="20"/>
                  <w:lang w:eastAsia="en-US"/>
                </w:rPr>
              </m:ctrlPr>
            </m:fPr>
            <m:num>
              <m:r>
                <m:rPr>
                  <m:sty m:val="b"/>
                </m:rPr>
                <w:rPr>
                  <w:rFonts w:ascii="Cambria Math" w:eastAsia="Calibri" w:hAnsi="Cambria Math"/>
                  <w:sz w:val="20"/>
                  <w:szCs w:val="20"/>
                  <w:lang w:eastAsia="en-US"/>
                </w:rPr>
                <m:t>Número de servicios utilizados</m:t>
              </m:r>
            </m:num>
            <m:den>
              <m:r>
                <m:rPr>
                  <m:sty m:val="b"/>
                </m:rPr>
                <w:rPr>
                  <w:rFonts w:ascii="Cambria Math" w:eastAsia="Calibri" w:hAnsi="Cambria Math"/>
                  <w:sz w:val="20"/>
                  <w:szCs w:val="20"/>
                  <w:lang w:eastAsia="en-US"/>
                </w:rPr>
                <m:t>Población susceptible</m:t>
              </m:r>
            </m:den>
          </m:f>
          <m:r>
            <m:rPr>
              <m:sty m:val="b"/>
            </m:rPr>
            <w:rPr>
              <w:rFonts w:ascii="Cambria Math" w:eastAsia="Calibri" w:hAnsi="Cambria Math"/>
              <w:sz w:val="20"/>
              <w:szCs w:val="20"/>
              <w:lang w:eastAsia="en-US"/>
            </w:rPr>
            <m:t xml:space="preserve"> x 100</m:t>
          </m:r>
        </m:oMath>
      </m:oMathPara>
    </w:p>
    <w:p w14:paraId="53A969F4" w14:textId="77777777" w:rsidR="00100579" w:rsidRPr="00490D3B" w:rsidRDefault="00100579" w:rsidP="00D2742B">
      <w:pPr>
        <w:pStyle w:val="Normal0"/>
        <w:rPr>
          <w:rFonts w:eastAsia="Calibri"/>
          <w:bCs/>
          <w:sz w:val="20"/>
          <w:szCs w:val="20"/>
          <w:lang w:eastAsia="en-US"/>
        </w:rPr>
      </w:pPr>
    </w:p>
    <w:p w14:paraId="08D099DE" w14:textId="2F971FBD" w:rsidR="00D2742B" w:rsidRPr="00490D3B" w:rsidRDefault="00D2742B" w:rsidP="00D2742B">
      <w:pPr>
        <w:pStyle w:val="Normal0"/>
        <w:rPr>
          <w:rFonts w:eastAsia="Calibri"/>
          <w:bCs/>
          <w:sz w:val="20"/>
          <w:szCs w:val="20"/>
          <w:lang w:eastAsia="en-US"/>
        </w:rPr>
      </w:pPr>
      <w:r w:rsidRPr="00490D3B">
        <w:rPr>
          <w:rFonts w:eastAsia="Calibri"/>
          <w:bCs/>
          <w:sz w:val="20"/>
          <w:szCs w:val="20"/>
          <w:lang w:eastAsia="en-US"/>
        </w:rPr>
        <w:t>La información histórica debe organizarse por periodos y someterse a procesos de depuración y validación antes de utilizarse para realizar proyecciones. Cuando se presentan diferencias significativas en el comportamiento de utilización entre grupos de población, pueden establecerse frecuencias diferenciadas y utilizar ponderadores de acuerdo con las características identificadas.</w:t>
      </w:r>
    </w:p>
    <w:p w14:paraId="45AB9B96" w14:textId="77777777" w:rsidR="00D2742B" w:rsidRPr="00490D3B" w:rsidRDefault="00D2742B" w:rsidP="00D2742B">
      <w:pPr>
        <w:pStyle w:val="Normal0"/>
        <w:rPr>
          <w:rFonts w:eastAsia="Calibri"/>
          <w:bCs/>
          <w:sz w:val="20"/>
          <w:szCs w:val="20"/>
          <w:lang w:eastAsia="en-US"/>
        </w:rPr>
      </w:pPr>
    </w:p>
    <w:p w14:paraId="637C9D56" w14:textId="77777777" w:rsidR="00D2742B" w:rsidRPr="00490D3B" w:rsidRDefault="00D2742B" w:rsidP="00D2742B">
      <w:pPr>
        <w:pStyle w:val="Normal0"/>
        <w:rPr>
          <w:rFonts w:eastAsia="Calibri"/>
          <w:bCs/>
          <w:sz w:val="20"/>
          <w:szCs w:val="20"/>
          <w:lang w:eastAsia="en-US"/>
        </w:rPr>
      </w:pPr>
      <w:r w:rsidRPr="00490D3B">
        <w:rPr>
          <w:rFonts w:eastAsia="Calibri"/>
          <w:bCs/>
          <w:sz w:val="20"/>
          <w:szCs w:val="20"/>
          <w:lang w:eastAsia="en-US"/>
        </w:rPr>
        <w:lastRenderedPageBreak/>
        <w:t>De esta manera, los cálculos e indicadores permiten sustentar las cantidades y valores incorporados en la nota técnica y facilitan su posterior seguimiento y validación. Es importante conservar la trazabilidad de las fuentes y de los procedimientos utilizados, de modo que los resultados puedan ser revisados desde las perspectivas técnica, jurídica y financiera.</w:t>
      </w:r>
    </w:p>
    <w:p w14:paraId="3E710429" w14:textId="073D5D17" w:rsidR="00D2742B" w:rsidRPr="00490D3B" w:rsidRDefault="00D2742B" w:rsidP="00D2742B">
      <w:pPr>
        <w:pStyle w:val="Normal0"/>
        <w:rPr>
          <w:rFonts w:eastAsia="Calibri"/>
          <w:bCs/>
          <w:sz w:val="20"/>
          <w:szCs w:val="20"/>
          <w:lang w:eastAsia="en-US"/>
        </w:rPr>
      </w:pPr>
    </w:p>
    <w:p w14:paraId="54AD358D" w14:textId="37A998AB" w:rsidR="00D743F1" w:rsidRPr="00490D3B" w:rsidRDefault="00D743F1" w:rsidP="00D743F1">
      <w:pPr>
        <w:pStyle w:val="Normal0"/>
        <w:numPr>
          <w:ilvl w:val="1"/>
          <w:numId w:val="30"/>
        </w:numPr>
        <w:rPr>
          <w:rFonts w:eastAsia="Calibri"/>
          <w:b/>
          <w:bCs/>
          <w:sz w:val="20"/>
          <w:szCs w:val="20"/>
          <w:lang w:eastAsia="en-US"/>
        </w:rPr>
      </w:pPr>
      <w:r w:rsidRPr="00490D3B">
        <w:rPr>
          <w:rFonts w:eastAsia="Calibri"/>
          <w:b/>
          <w:bCs/>
          <w:sz w:val="20"/>
          <w:szCs w:val="20"/>
          <w:lang w:eastAsia="en-US"/>
        </w:rPr>
        <w:t>Costos y tarifas</w:t>
      </w:r>
    </w:p>
    <w:p w14:paraId="0052B4D0" w14:textId="7FEF371F" w:rsidR="00923161" w:rsidRPr="00490D3B" w:rsidRDefault="00923161" w:rsidP="00923161">
      <w:pPr>
        <w:pStyle w:val="Normal0"/>
        <w:rPr>
          <w:rFonts w:eastAsia="Calibri"/>
          <w:bCs/>
          <w:sz w:val="20"/>
          <w:szCs w:val="20"/>
          <w:lang w:eastAsia="en-US"/>
        </w:rPr>
      </w:pPr>
    </w:p>
    <w:p w14:paraId="27E5A11D" w14:textId="77777777" w:rsidR="00923161" w:rsidRPr="00490D3B" w:rsidRDefault="00923161" w:rsidP="00923161">
      <w:pPr>
        <w:pStyle w:val="Normal0"/>
        <w:rPr>
          <w:rFonts w:eastAsia="Calibri"/>
          <w:bCs/>
          <w:sz w:val="20"/>
          <w:szCs w:val="20"/>
          <w:lang w:eastAsia="en-US"/>
        </w:rPr>
      </w:pPr>
      <w:r w:rsidRPr="00490D3B">
        <w:rPr>
          <w:rFonts w:eastAsia="Calibri"/>
          <w:bCs/>
          <w:sz w:val="20"/>
          <w:szCs w:val="20"/>
          <w:lang w:eastAsia="en-US"/>
        </w:rPr>
        <w:t>Los costos y las tarifas constituyen elementos fundamentales para establecer el valor económico de los servicios y tecnologías incluidos en la nota técnica. Su análisis permite relacionar las cantidades proyectadas con los recursos requeridos para la prestación de los servicios y determinar los valores que serán considerados en el acuerdo de voluntades.</w:t>
      </w:r>
    </w:p>
    <w:p w14:paraId="2F628FE8" w14:textId="77777777" w:rsidR="00923161" w:rsidRPr="00490D3B" w:rsidRDefault="00923161" w:rsidP="00923161">
      <w:pPr>
        <w:pStyle w:val="Normal0"/>
        <w:rPr>
          <w:rFonts w:eastAsia="Calibri"/>
          <w:bCs/>
          <w:sz w:val="20"/>
          <w:szCs w:val="20"/>
          <w:lang w:eastAsia="en-US"/>
        </w:rPr>
      </w:pPr>
    </w:p>
    <w:p w14:paraId="73377DDC" w14:textId="77777777" w:rsidR="00923161" w:rsidRPr="00490D3B" w:rsidRDefault="00923161" w:rsidP="00923161">
      <w:pPr>
        <w:pStyle w:val="Normal0"/>
        <w:rPr>
          <w:rFonts w:eastAsia="Calibri"/>
          <w:bCs/>
          <w:sz w:val="20"/>
          <w:szCs w:val="20"/>
          <w:lang w:eastAsia="en-US"/>
        </w:rPr>
      </w:pPr>
      <w:r w:rsidRPr="00490D3B">
        <w:rPr>
          <w:rFonts w:eastAsia="Calibri"/>
          <w:bCs/>
          <w:sz w:val="20"/>
          <w:szCs w:val="20"/>
          <w:lang w:eastAsia="en-US"/>
        </w:rPr>
        <w:t>El costo corresponde a los recursos necesarios para producir o prestar un servicio. En su estimación pueden considerarse los siguientes elementos:</w:t>
      </w:r>
    </w:p>
    <w:p w14:paraId="32E4652C" w14:textId="77777777" w:rsidR="00923161" w:rsidRPr="00490D3B" w:rsidRDefault="00923161" w:rsidP="00923161">
      <w:pPr>
        <w:pStyle w:val="Normal0"/>
        <w:rPr>
          <w:rFonts w:eastAsia="Calibri"/>
          <w:bCs/>
          <w:sz w:val="20"/>
          <w:szCs w:val="20"/>
          <w:lang w:eastAsia="en-US"/>
        </w:rPr>
      </w:pPr>
    </w:p>
    <w:p w14:paraId="67770F5B" w14:textId="3C06C21E" w:rsidR="00923161" w:rsidRPr="00490D3B" w:rsidRDefault="00923161" w:rsidP="00923161">
      <w:pPr>
        <w:pStyle w:val="Normal0"/>
        <w:rPr>
          <w:rFonts w:eastAsia="Calibri"/>
          <w:bCs/>
          <w:sz w:val="20"/>
          <w:szCs w:val="20"/>
          <w:lang w:eastAsia="en-US"/>
        </w:rPr>
      </w:pPr>
      <w:r w:rsidRPr="00490D3B">
        <w:rPr>
          <w:rFonts w:eastAsia="Calibri"/>
          <w:bCs/>
          <w:noProof/>
          <w:sz w:val="20"/>
          <w:szCs w:val="20"/>
          <w:lang w:val="en-US" w:eastAsia="en-US"/>
        </w:rPr>
        <w:drawing>
          <wp:inline distT="0" distB="0" distL="0" distR="0" wp14:anchorId="4B2B2F7F" wp14:editId="5B2548E8">
            <wp:extent cx="6315075" cy="3200400"/>
            <wp:effectExtent l="0" t="19050" r="0" b="57150"/>
            <wp:docPr id="3" name="Diagrama 3"/>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22" r:lo="rId23" r:qs="rId24" r:cs="rId25"/>
              </a:graphicData>
            </a:graphic>
          </wp:inline>
        </w:drawing>
      </w:r>
    </w:p>
    <w:p w14:paraId="6A51BCDB" w14:textId="77777777" w:rsidR="00923161" w:rsidRPr="00490D3B" w:rsidRDefault="00923161" w:rsidP="00923161">
      <w:pPr>
        <w:pStyle w:val="Normal0"/>
        <w:rPr>
          <w:rFonts w:eastAsia="Calibri"/>
          <w:bCs/>
          <w:sz w:val="20"/>
          <w:szCs w:val="20"/>
          <w:lang w:eastAsia="en-US"/>
        </w:rPr>
      </w:pPr>
    </w:p>
    <w:p w14:paraId="5D9512D0" w14:textId="77777777" w:rsidR="00923161" w:rsidRPr="00490D3B" w:rsidRDefault="00923161" w:rsidP="00923161">
      <w:pPr>
        <w:pStyle w:val="Normal0"/>
        <w:rPr>
          <w:rFonts w:eastAsia="Calibri"/>
          <w:bCs/>
          <w:sz w:val="20"/>
          <w:szCs w:val="20"/>
          <w:lang w:eastAsia="en-US"/>
        </w:rPr>
      </w:pPr>
      <w:r w:rsidRPr="00490D3B">
        <w:rPr>
          <w:rFonts w:eastAsia="Calibri"/>
          <w:bCs/>
          <w:sz w:val="20"/>
          <w:szCs w:val="20"/>
          <w:lang w:eastAsia="en-US"/>
        </w:rPr>
        <w:t>De acuerdo con su comportamiento, los costos pueden clasificarse en fijos y variables. Los costos fijos permanecen relativamente estables frente a las variaciones en el volumen de servicios, mientras que los costos variables cambian de acuerdo con la cantidad de servicios prestados. También pueden diferenciarse en directos e indirectos, según su relación con la prestación específica del servicio.</w:t>
      </w:r>
    </w:p>
    <w:p w14:paraId="3AFF9FF6" w14:textId="77777777" w:rsidR="00923161" w:rsidRPr="00490D3B" w:rsidRDefault="00923161" w:rsidP="00923161">
      <w:pPr>
        <w:pStyle w:val="Normal0"/>
        <w:rPr>
          <w:rFonts w:eastAsia="Calibri"/>
          <w:bCs/>
          <w:sz w:val="20"/>
          <w:szCs w:val="20"/>
          <w:lang w:eastAsia="en-US"/>
        </w:rPr>
      </w:pPr>
    </w:p>
    <w:p w14:paraId="7BA87781" w14:textId="77777777" w:rsidR="00923161" w:rsidRPr="00490D3B" w:rsidRDefault="00923161" w:rsidP="00923161">
      <w:pPr>
        <w:pStyle w:val="Normal0"/>
        <w:rPr>
          <w:rFonts w:eastAsia="Calibri"/>
          <w:bCs/>
          <w:sz w:val="20"/>
          <w:szCs w:val="20"/>
          <w:lang w:eastAsia="en-US"/>
        </w:rPr>
      </w:pPr>
      <w:r w:rsidRPr="00490D3B">
        <w:rPr>
          <w:rFonts w:eastAsia="Calibri"/>
          <w:bCs/>
          <w:sz w:val="20"/>
          <w:szCs w:val="20"/>
          <w:lang w:eastAsia="en-US"/>
        </w:rPr>
        <w:t>De manera general, el costo total puede expresarse mediante la siguiente relación:</w:t>
      </w:r>
    </w:p>
    <w:p w14:paraId="08FD9996" w14:textId="77777777" w:rsidR="00923161" w:rsidRPr="00490D3B" w:rsidRDefault="00923161" w:rsidP="00923161">
      <w:pPr>
        <w:pStyle w:val="Normal0"/>
        <w:rPr>
          <w:rFonts w:eastAsia="Calibri"/>
          <w:bCs/>
          <w:sz w:val="20"/>
          <w:szCs w:val="20"/>
          <w:lang w:eastAsia="en-US"/>
        </w:rPr>
      </w:pPr>
    </w:p>
    <w:p w14:paraId="03F9BD94" w14:textId="7D0DD656" w:rsidR="00923161" w:rsidRPr="00490D3B" w:rsidRDefault="00A15D57" w:rsidP="00A15D57">
      <w:pPr>
        <w:pStyle w:val="Normal0"/>
        <w:jc w:val="center"/>
        <w:rPr>
          <w:rFonts w:eastAsia="Calibri"/>
          <w:b/>
          <w:bCs/>
          <w:sz w:val="20"/>
          <w:szCs w:val="20"/>
          <w:lang w:eastAsia="en-US"/>
        </w:rPr>
      </w:pPr>
      <w:r w:rsidRPr="00490D3B">
        <w:rPr>
          <w:rFonts w:eastAsia="Calibri"/>
          <w:b/>
          <w:bCs/>
          <w:sz w:val="20"/>
          <w:szCs w:val="20"/>
          <w:lang w:eastAsia="en-US"/>
        </w:rPr>
        <w:t>Costo total = Costos fijos + Costos variables</w:t>
      </w:r>
    </w:p>
    <w:p w14:paraId="1EEA7F14" w14:textId="77777777" w:rsidR="00923161" w:rsidRPr="00490D3B" w:rsidRDefault="00923161" w:rsidP="00923161">
      <w:pPr>
        <w:pStyle w:val="Normal0"/>
        <w:rPr>
          <w:rFonts w:eastAsia="Calibri"/>
          <w:bCs/>
          <w:sz w:val="20"/>
          <w:szCs w:val="20"/>
          <w:lang w:eastAsia="en-US"/>
        </w:rPr>
      </w:pPr>
    </w:p>
    <w:p w14:paraId="2519F178" w14:textId="77777777" w:rsidR="00923161" w:rsidRPr="00490D3B" w:rsidRDefault="00923161" w:rsidP="00923161">
      <w:pPr>
        <w:pStyle w:val="Normal0"/>
        <w:rPr>
          <w:rFonts w:eastAsia="Calibri"/>
          <w:bCs/>
          <w:sz w:val="20"/>
          <w:szCs w:val="20"/>
          <w:lang w:eastAsia="en-US"/>
        </w:rPr>
      </w:pPr>
      <w:r w:rsidRPr="00490D3B">
        <w:rPr>
          <w:rFonts w:eastAsia="Calibri"/>
          <w:bCs/>
          <w:sz w:val="20"/>
          <w:szCs w:val="20"/>
          <w:lang w:eastAsia="en-US"/>
        </w:rPr>
        <w:t xml:space="preserve">Por otra parte, la tarifa corresponde al valor económico asignado a un servicio o tecnología para efectos de reconocimiento o negociación. Para establecer estos valores pueden utilizarse diferentes referentes, de acuerdo con las condiciones del acuerdo de voluntades. El insumo contempla como referencias las tarifas </w:t>
      </w:r>
      <w:r w:rsidRPr="00490D3B">
        <w:rPr>
          <w:rFonts w:eastAsia="Calibri"/>
          <w:bCs/>
          <w:sz w:val="20"/>
          <w:szCs w:val="20"/>
          <w:lang w:eastAsia="en-US"/>
        </w:rPr>
        <w:lastRenderedPageBreak/>
        <w:t>institucionales, los manuales tarifarios y otros valores de referencia, entre ellos el SOAT y la UVB cuando corresponda.</w:t>
      </w:r>
    </w:p>
    <w:p w14:paraId="6F513BD8" w14:textId="77777777" w:rsidR="00923161" w:rsidRPr="00490D3B" w:rsidRDefault="00923161" w:rsidP="00923161">
      <w:pPr>
        <w:pStyle w:val="Normal0"/>
        <w:rPr>
          <w:rFonts w:eastAsia="Calibri"/>
          <w:bCs/>
          <w:sz w:val="20"/>
          <w:szCs w:val="20"/>
          <w:lang w:eastAsia="en-US"/>
        </w:rPr>
      </w:pPr>
    </w:p>
    <w:p w14:paraId="1A71B09A" w14:textId="77777777" w:rsidR="00923161" w:rsidRPr="00490D3B" w:rsidRDefault="00923161" w:rsidP="00923161">
      <w:pPr>
        <w:pStyle w:val="Normal0"/>
        <w:rPr>
          <w:rFonts w:eastAsia="Calibri"/>
          <w:bCs/>
          <w:sz w:val="20"/>
          <w:szCs w:val="20"/>
          <w:lang w:eastAsia="en-US"/>
        </w:rPr>
      </w:pPr>
      <w:r w:rsidRPr="00490D3B">
        <w:rPr>
          <w:rFonts w:eastAsia="Calibri"/>
          <w:bCs/>
          <w:sz w:val="20"/>
          <w:szCs w:val="20"/>
          <w:lang w:eastAsia="en-US"/>
        </w:rPr>
        <w:t>En la construcción de la nota técnica, los costos y las tarifas deben relacionarse con las cantidades proyectadas. Así, el valor estimado de un servicio puede calcularse mediante:</w:t>
      </w:r>
    </w:p>
    <w:p w14:paraId="1690C36A" w14:textId="77777777" w:rsidR="00923161" w:rsidRPr="00490D3B" w:rsidRDefault="00923161" w:rsidP="00923161">
      <w:pPr>
        <w:pStyle w:val="Normal0"/>
        <w:rPr>
          <w:rFonts w:eastAsia="Calibri"/>
          <w:bCs/>
          <w:sz w:val="20"/>
          <w:szCs w:val="20"/>
          <w:lang w:eastAsia="en-US"/>
        </w:rPr>
      </w:pPr>
    </w:p>
    <w:p w14:paraId="4AA56737" w14:textId="461488BA" w:rsidR="00923161" w:rsidRPr="00490D3B" w:rsidRDefault="00A15D57" w:rsidP="00A15D57">
      <w:pPr>
        <w:pStyle w:val="Normal0"/>
        <w:jc w:val="center"/>
        <w:rPr>
          <w:rFonts w:eastAsia="Calibri"/>
          <w:b/>
          <w:bCs/>
          <w:sz w:val="20"/>
          <w:szCs w:val="20"/>
          <w:lang w:eastAsia="en-US"/>
        </w:rPr>
      </w:pPr>
      <w:r w:rsidRPr="00490D3B">
        <w:rPr>
          <w:rFonts w:eastAsia="Calibri"/>
          <w:b/>
          <w:bCs/>
          <w:sz w:val="20"/>
          <w:szCs w:val="20"/>
          <w:lang w:eastAsia="en-US"/>
        </w:rPr>
        <w:t xml:space="preserve">Valor proyectado = </w:t>
      </w:r>
      <w:r w:rsidR="00923161" w:rsidRPr="00490D3B">
        <w:rPr>
          <w:rFonts w:eastAsia="Calibri"/>
          <w:b/>
          <w:bCs/>
          <w:sz w:val="20"/>
          <w:szCs w:val="20"/>
          <w:lang w:eastAsia="en-US"/>
        </w:rPr>
        <w:t>Ca</w:t>
      </w:r>
      <w:r w:rsidRPr="00490D3B">
        <w:rPr>
          <w:rFonts w:eastAsia="Calibri"/>
          <w:b/>
          <w:bCs/>
          <w:sz w:val="20"/>
          <w:szCs w:val="20"/>
          <w:lang w:eastAsia="en-US"/>
        </w:rPr>
        <w:t>ntidad proyectada x Tarifa o valor unitario</w:t>
      </w:r>
    </w:p>
    <w:p w14:paraId="46757B2D" w14:textId="77777777" w:rsidR="00923161" w:rsidRPr="00490D3B" w:rsidRDefault="00923161" w:rsidP="00923161">
      <w:pPr>
        <w:pStyle w:val="Normal0"/>
        <w:rPr>
          <w:rFonts w:eastAsia="Calibri"/>
          <w:bCs/>
          <w:sz w:val="20"/>
          <w:szCs w:val="20"/>
          <w:lang w:eastAsia="en-US"/>
        </w:rPr>
      </w:pPr>
    </w:p>
    <w:p w14:paraId="195CD7DE" w14:textId="60682172" w:rsidR="00A15D57" w:rsidRPr="00490D3B" w:rsidRDefault="00A15D57" w:rsidP="00A15D57">
      <w:pPr>
        <w:pStyle w:val="Normal0"/>
        <w:jc w:val="center"/>
        <w:rPr>
          <w:rFonts w:eastAsia="Calibri"/>
          <w:bCs/>
          <w:sz w:val="20"/>
          <w:szCs w:val="20"/>
          <w:lang w:eastAsia="en-US"/>
        </w:rPr>
      </w:pPr>
      <w:r w:rsidRPr="00490D3B">
        <w:rPr>
          <w:rFonts w:eastAsia="Calibri"/>
          <w:bCs/>
          <w:noProof/>
          <w:sz w:val="20"/>
          <w:szCs w:val="20"/>
          <w:lang w:val="en-US" w:eastAsia="en-US"/>
        </w:rPr>
        <mc:AlternateContent>
          <mc:Choice Requires="wps">
            <w:drawing>
              <wp:inline distT="0" distB="0" distL="0" distR="0" wp14:anchorId="1DE6534D" wp14:editId="6B240CE9">
                <wp:extent cx="5524500" cy="1404620"/>
                <wp:effectExtent l="0" t="0" r="0" b="8890"/>
                <wp:docPr id="217"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524500" cy="1404620"/>
                        </a:xfrm>
                        <a:prstGeom prst="rect">
                          <a:avLst/>
                        </a:prstGeom>
                        <a:solidFill>
                          <a:schemeClr val="accent1">
                            <a:lumMod val="40000"/>
                            <a:lumOff val="60000"/>
                          </a:schemeClr>
                        </a:solidFill>
                        <a:ln w="9525">
                          <a:noFill/>
                          <a:miter lim="800000"/>
                          <a:headEnd/>
                          <a:tailEnd/>
                        </a:ln>
                      </wps:spPr>
                      <wps:txbx>
                        <w:txbxContent>
                          <w:p w14:paraId="3F4E2D59" w14:textId="77777777" w:rsidR="004A3922" w:rsidRPr="00923161" w:rsidRDefault="004A3922" w:rsidP="00A15D57">
                            <w:pPr>
                              <w:pStyle w:val="Normal0"/>
                              <w:rPr>
                                <w:rFonts w:eastAsia="Calibri"/>
                                <w:bCs/>
                                <w:sz w:val="20"/>
                                <w:szCs w:val="20"/>
                                <w:lang w:eastAsia="en-US"/>
                              </w:rPr>
                            </w:pPr>
                            <w:r w:rsidRPr="00923161">
                              <w:rPr>
                                <w:rFonts w:eastAsia="Calibri"/>
                                <w:bCs/>
                                <w:sz w:val="20"/>
                                <w:szCs w:val="20"/>
                                <w:lang w:eastAsia="en-US"/>
                              </w:rPr>
                              <w:t>Por ejemplo, si se proyectan 3.000 procedimientos y el valor unitario acordado es de $50.000, el valor proyectado será:</w:t>
                            </w:r>
                          </w:p>
                          <w:p w14:paraId="352E86B3" w14:textId="77777777" w:rsidR="004A3922" w:rsidRPr="00923161" w:rsidRDefault="004A3922" w:rsidP="00A15D57">
                            <w:pPr>
                              <w:pStyle w:val="Normal0"/>
                              <w:rPr>
                                <w:rFonts w:eastAsia="Calibri"/>
                                <w:bCs/>
                                <w:sz w:val="20"/>
                                <w:szCs w:val="20"/>
                                <w:lang w:eastAsia="en-US"/>
                              </w:rPr>
                            </w:pPr>
                          </w:p>
                          <w:p w14:paraId="700B1014" w14:textId="7E2486B1" w:rsidR="004A3922" w:rsidRPr="00A15D57" w:rsidRDefault="004A3922" w:rsidP="00A15D57">
                            <w:pPr>
                              <w:pStyle w:val="Normal0"/>
                              <w:jc w:val="center"/>
                              <w:rPr>
                                <w:rFonts w:eastAsia="Calibri"/>
                                <w:b/>
                                <w:bCs/>
                                <w:sz w:val="20"/>
                                <w:szCs w:val="20"/>
                                <w:lang w:eastAsia="en-US"/>
                              </w:rPr>
                            </w:pPr>
                            <w:r w:rsidRPr="00A15D57">
                              <w:rPr>
                                <w:rFonts w:eastAsia="Calibri"/>
                                <w:b/>
                                <w:bCs/>
                                <w:sz w:val="20"/>
                                <w:szCs w:val="20"/>
                                <w:lang w:eastAsia="en-US"/>
                              </w:rPr>
                              <w:t xml:space="preserve">3.000 </w:t>
                            </w:r>
                            <w:r>
                              <w:rPr>
                                <w:rFonts w:eastAsia="Calibri"/>
                                <w:b/>
                                <w:bCs/>
                                <w:sz w:val="20"/>
                                <w:szCs w:val="20"/>
                                <w:lang w:eastAsia="en-US"/>
                              </w:rPr>
                              <w:t xml:space="preserve">x </w:t>
                            </w:r>
                            <w:r w:rsidRPr="00A15D57">
                              <w:rPr>
                                <w:rFonts w:eastAsia="Calibri"/>
                                <w:b/>
                                <w:bCs/>
                                <w:sz w:val="20"/>
                                <w:szCs w:val="20"/>
                                <w:lang w:eastAsia="en-US"/>
                              </w:rPr>
                              <w:t>$50.000 = $150.000.000</w:t>
                            </w:r>
                          </w:p>
                        </w:txbxContent>
                      </wps:txbx>
                      <wps:bodyPr rot="0" vert="horz" wrap="square" lIns="91440" tIns="45720" rIns="91440" bIns="45720" anchor="t" anchorCtr="0">
                        <a:spAutoFit/>
                      </wps:bodyPr>
                    </wps:wsp>
                  </a:graphicData>
                </a:graphic>
              </wp:inline>
            </w:drawing>
          </mc:Choice>
          <mc:Fallback>
            <w:pict>
              <v:shapetype w14:anchorId="1DE6534D" id="_x0000_t202" coordsize="21600,21600" o:spt="202" path="m,l,21600r21600,l21600,xe">
                <v:stroke joinstyle="miter"/>
                <v:path gradientshapeok="t" o:connecttype="rect"/>
              </v:shapetype>
              <v:shape id="Cuadro de texto 2" o:spid="_x0000_s1027" type="#_x0000_t202" style="width:435pt;height:110.6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" fillcolor="#b8cce4 [1300]" stroked="f">
                <v:textbox style="mso-fit-shape-to-text:t">
                  <w:txbxContent>
                    <w:p w14:paraId="3F4E2D59" w14:textId="77777777" w:rsidR="004A3922" w:rsidRPr="00923161" w:rsidRDefault="004A3922" w:rsidP="00A15D57">
                      <w:pPr>
                        <w:pStyle w:val="Normal0"/>
                        <w:rPr>
                          <w:rFonts w:eastAsia="Calibri"/>
                          <w:bCs/>
                          <w:sz w:val="20"/>
                          <w:szCs w:val="20"/>
                          <w:lang w:eastAsia="en-US"/>
                        </w:rPr>
                      </w:pPr>
                      <w:r w:rsidRPr="00923161">
                        <w:rPr>
                          <w:rFonts w:eastAsia="Calibri"/>
                          <w:bCs/>
                          <w:sz w:val="20"/>
                          <w:szCs w:val="20"/>
                          <w:lang w:eastAsia="en-US"/>
                        </w:rPr>
                        <w:t>Por ejemplo, si se proyectan 3.000 procedimientos y el valor unitario acordado es de $50.000, el valor proyectado será:</w:t>
                      </w:r>
                    </w:p>
                    <w:p w14:paraId="352E86B3" w14:textId="77777777" w:rsidR="004A3922" w:rsidRPr="00923161" w:rsidRDefault="004A3922" w:rsidP="00A15D57">
                      <w:pPr>
                        <w:pStyle w:val="Normal0"/>
                        <w:rPr>
                          <w:rFonts w:eastAsia="Calibri"/>
                          <w:bCs/>
                          <w:sz w:val="20"/>
                          <w:szCs w:val="20"/>
                          <w:lang w:eastAsia="en-US"/>
                        </w:rPr>
                      </w:pPr>
                    </w:p>
                    <w:p w14:paraId="700B1014" w14:textId="7E2486B1" w:rsidR="004A3922" w:rsidRPr="00A15D57" w:rsidRDefault="004A3922" w:rsidP="00A15D57">
                      <w:pPr>
                        <w:pStyle w:val="Normal0"/>
                        <w:jc w:val="center"/>
                        <w:rPr>
                          <w:rFonts w:eastAsia="Calibri"/>
                          <w:b/>
                          <w:bCs/>
                          <w:sz w:val="20"/>
                          <w:szCs w:val="20"/>
                          <w:lang w:eastAsia="en-US"/>
                        </w:rPr>
                      </w:pPr>
                      <w:r w:rsidRPr="00A15D57">
                        <w:rPr>
                          <w:rFonts w:eastAsia="Calibri"/>
                          <w:b/>
                          <w:bCs/>
                          <w:sz w:val="20"/>
                          <w:szCs w:val="20"/>
                          <w:lang w:eastAsia="en-US"/>
                        </w:rPr>
                        <w:t xml:space="preserve">3.000 </w:t>
                      </w:r>
                      <w:r>
                        <w:rPr>
                          <w:rFonts w:eastAsia="Calibri"/>
                          <w:b/>
                          <w:bCs/>
                          <w:sz w:val="20"/>
                          <w:szCs w:val="20"/>
                          <w:lang w:eastAsia="en-US"/>
                        </w:rPr>
                        <w:t xml:space="preserve">x </w:t>
                      </w:r>
                      <w:r w:rsidRPr="00A15D57">
                        <w:rPr>
                          <w:rFonts w:eastAsia="Calibri"/>
                          <w:b/>
                          <w:bCs/>
                          <w:sz w:val="20"/>
                          <w:szCs w:val="20"/>
                          <w:lang w:eastAsia="en-US"/>
                        </w:rPr>
                        <w:t>$50.000 = $150.000.000</w:t>
                      </w:r>
                    </w:p>
                  </w:txbxContent>
                </v:textbox>
                <w10:anchorlock/>
              </v:shape>
            </w:pict>
          </mc:Fallback>
        </mc:AlternateContent>
      </w:r>
    </w:p>
    <w:p w14:paraId="3D10CA82" w14:textId="77777777" w:rsidR="00923161" w:rsidRPr="00490D3B" w:rsidRDefault="00923161" w:rsidP="00923161">
      <w:pPr>
        <w:pStyle w:val="Normal0"/>
        <w:rPr>
          <w:rFonts w:eastAsia="Calibri"/>
          <w:bCs/>
          <w:sz w:val="20"/>
          <w:szCs w:val="20"/>
          <w:lang w:eastAsia="en-US"/>
        </w:rPr>
      </w:pPr>
    </w:p>
    <w:p w14:paraId="17229CDF" w14:textId="4835A0F6" w:rsidR="00923161" w:rsidRPr="00490D3B" w:rsidRDefault="00923161" w:rsidP="00923161">
      <w:pPr>
        <w:pStyle w:val="Normal0"/>
        <w:rPr>
          <w:rFonts w:eastAsia="Calibri"/>
          <w:bCs/>
          <w:sz w:val="20"/>
          <w:szCs w:val="20"/>
          <w:lang w:eastAsia="en-US"/>
        </w:rPr>
      </w:pPr>
      <w:r w:rsidRPr="00490D3B">
        <w:rPr>
          <w:rFonts w:eastAsia="Calibri"/>
          <w:bCs/>
          <w:sz w:val="20"/>
          <w:szCs w:val="20"/>
          <w:lang w:eastAsia="en-US"/>
        </w:rPr>
        <w:t>La información utilizada para establecer costos y tarifas debe encontrarse debidamente sustentada y ser coherente con los servicios identificados, las frecuencias de uso y las condiciones de contratación. Esta relación permite consolidar los valores económicos de la nota técnica y facilita su posterior validación financiera.</w:t>
      </w:r>
    </w:p>
    <w:p w14:paraId="713C5198" w14:textId="77777777" w:rsidR="00923161" w:rsidRPr="00490D3B" w:rsidRDefault="00923161" w:rsidP="00923161">
      <w:pPr>
        <w:pStyle w:val="Normal0"/>
        <w:rPr>
          <w:rFonts w:eastAsia="Calibri"/>
          <w:bCs/>
          <w:sz w:val="20"/>
          <w:szCs w:val="20"/>
          <w:lang w:eastAsia="en-US"/>
        </w:rPr>
      </w:pPr>
    </w:p>
    <w:p w14:paraId="13EC401C" w14:textId="61B05DBF" w:rsidR="00D743F1" w:rsidRPr="00490D3B" w:rsidRDefault="00D743F1" w:rsidP="00D743F1">
      <w:pPr>
        <w:pStyle w:val="Normal0"/>
        <w:numPr>
          <w:ilvl w:val="1"/>
          <w:numId w:val="30"/>
        </w:numPr>
        <w:rPr>
          <w:rFonts w:eastAsia="Calibri"/>
          <w:b/>
          <w:bCs/>
          <w:sz w:val="20"/>
          <w:szCs w:val="20"/>
          <w:lang w:eastAsia="en-US"/>
        </w:rPr>
      </w:pPr>
      <w:r w:rsidRPr="00490D3B">
        <w:rPr>
          <w:rFonts w:eastAsia="Calibri"/>
          <w:b/>
          <w:bCs/>
          <w:sz w:val="20"/>
          <w:szCs w:val="20"/>
          <w:lang w:eastAsia="en-US"/>
        </w:rPr>
        <w:t>Riesgo primario y riesgo técnico</w:t>
      </w:r>
    </w:p>
    <w:p w14:paraId="4609545C" w14:textId="6EF61D71" w:rsidR="005D6C2B" w:rsidRPr="00490D3B" w:rsidRDefault="005D6C2B" w:rsidP="005D6C2B">
      <w:pPr>
        <w:pStyle w:val="Normal0"/>
        <w:rPr>
          <w:rFonts w:eastAsia="Calibri"/>
          <w:bCs/>
          <w:sz w:val="20"/>
          <w:szCs w:val="20"/>
          <w:lang w:eastAsia="en-US"/>
        </w:rPr>
      </w:pPr>
    </w:p>
    <w:p w14:paraId="6AA24750" w14:textId="77777777" w:rsidR="004C1239" w:rsidRPr="00490D3B" w:rsidRDefault="004C1239" w:rsidP="004C1239">
      <w:pPr>
        <w:pStyle w:val="Normal0"/>
        <w:rPr>
          <w:rFonts w:eastAsia="Calibri"/>
          <w:bCs/>
          <w:sz w:val="20"/>
          <w:szCs w:val="20"/>
          <w:lang w:eastAsia="en-US"/>
        </w:rPr>
      </w:pPr>
      <w:r w:rsidRPr="00490D3B">
        <w:rPr>
          <w:rFonts w:eastAsia="Calibri"/>
          <w:bCs/>
          <w:sz w:val="20"/>
          <w:szCs w:val="20"/>
          <w:lang w:eastAsia="en-US"/>
        </w:rPr>
        <w:t>La identificación de los riesgos constituye un elemento importante en la construcción de la nota técnica, debido a que permite considerar las condiciones que pueden influir en la utilización de los servicios y tecnologías en salud y en los recursos requeridos para su atención. En este contexto, se diferencian el riesgo primario y el riesgo técnico, los cuales se relacionan con aspectos distintos de la atención y de su comportamiento esperado.</w:t>
      </w:r>
    </w:p>
    <w:p w14:paraId="6E96AAE4" w14:textId="77777777" w:rsidR="004C1239" w:rsidRPr="00490D3B" w:rsidRDefault="004C1239" w:rsidP="004C1239">
      <w:pPr>
        <w:pStyle w:val="Normal0"/>
        <w:rPr>
          <w:rFonts w:eastAsia="Calibri"/>
          <w:bCs/>
          <w:sz w:val="20"/>
          <w:szCs w:val="20"/>
          <w:lang w:eastAsia="en-US"/>
        </w:rPr>
      </w:pPr>
    </w:p>
    <w:p w14:paraId="2526DD13" w14:textId="77777777" w:rsidR="004C1239" w:rsidRPr="00490D3B" w:rsidRDefault="004C1239" w:rsidP="004C1239">
      <w:pPr>
        <w:pStyle w:val="Normal0"/>
        <w:rPr>
          <w:rFonts w:eastAsia="Calibri"/>
          <w:bCs/>
          <w:sz w:val="20"/>
          <w:szCs w:val="20"/>
          <w:lang w:eastAsia="en-US"/>
        </w:rPr>
      </w:pPr>
      <w:r w:rsidRPr="00490D3B">
        <w:rPr>
          <w:rFonts w:eastAsia="Calibri"/>
          <w:bCs/>
          <w:sz w:val="20"/>
          <w:szCs w:val="20"/>
          <w:lang w:eastAsia="en-US"/>
        </w:rPr>
        <w:t>El riesgo primario se relaciona con la ocurrencia de condiciones o eventos de salud en la población que pueden requerir atención. Su análisis considera las características de la población, sus necesidades y los eventos que pueden generar demanda de servicios y tecnologías. Por ello, guarda relación con la caracterización poblacional, los parámetros epidemiológicos y la frecuencia esperada de utilización.</w:t>
      </w:r>
    </w:p>
    <w:p w14:paraId="5EFBD946" w14:textId="77777777" w:rsidR="004C1239" w:rsidRPr="00490D3B" w:rsidRDefault="004C1239" w:rsidP="004C1239">
      <w:pPr>
        <w:pStyle w:val="Normal0"/>
        <w:rPr>
          <w:rFonts w:eastAsia="Calibri"/>
          <w:bCs/>
          <w:sz w:val="20"/>
          <w:szCs w:val="20"/>
          <w:lang w:eastAsia="en-US"/>
        </w:rPr>
      </w:pPr>
    </w:p>
    <w:p w14:paraId="72D477F3" w14:textId="4C086EDF" w:rsidR="005D6C2B" w:rsidRPr="00490D3B" w:rsidRDefault="004C1239" w:rsidP="004C1239">
      <w:pPr>
        <w:pStyle w:val="Normal0"/>
        <w:rPr>
          <w:rFonts w:eastAsia="Calibri"/>
          <w:bCs/>
          <w:sz w:val="20"/>
          <w:szCs w:val="20"/>
          <w:lang w:eastAsia="en-US"/>
        </w:rPr>
      </w:pPr>
      <w:r w:rsidRPr="00490D3B">
        <w:rPr>
          <w:rFonts w:eastAsia="Calibri"/>
          <w:bCs/>
          <w:sz w:val="20"/>
          <w:szCs w:val="20"/>
          <w:lang w:eastAsia="en-US"/>
        </w:rPr>
        <w:t>El riesgo técnico se relaciona con la variabilidad que puede presentarse en la utilización de servicios y recursos necesarios para atender a una población. Esta variabilidad puede estar asociada con factores como la complejidad de las atenciones, las condiciones de salud, la aparición de complicaciones y las diferencias entre la utilización esperada y la observada. En la nota técnica, su consideración contribuye al análisis de las cantidades, costos y proyecciones.</w:t>
      </w:r>
    </w:p>
    <w:p w14:paraId="7A924723" w14:textId="58BFF9A8" w:rsidR="005C2BBA" w:rsidRPr="00490D3B" w:rsidRDefault="005C2BBA" w:rsidP="004C1239">
      <w:pPr>
        <w:pStyle w:val="Normal0"/>
        <w:rPr>
          <w:rFonts w:eastAsia="Calibri"/>
          <w:bCs/>
          <w:sz w:val="20"/>
          <w:szCs w:val="20"/>
          <w:lang w:eastAsia="en-US"/>
        </w:rPr>
      </w:pPr>
    </w:p>
    <w:p w14:paraId="57D98A41" w14:textId="012B6B37" w:rsidR="005C2BBA" w:rsidRPr="00490D3B" w:rsidRDefault="005C2BBA" w:rsidP="004C1239">
      <w:pPr>
        <w:pStyle w:val="Normal0"/>
        <w:rPr>
          <w:rFonts w:eastAsia="Calibri"/>
          <w:bCs/>
          <w:sz w:val="20"/>
          <w:szCs w:val="20"/>
          <w:lang w:eastAsia="en-US"/>
        </w:rPr>
      </w:pPr>
      <w:r w:rsidRPr="00490D3B">
        <w:rPr>
          <w:rFonts w:eastAsia="Calibri"/>
          <w:b/>
          <w:bCs/>
          <w:sz w:val="20"/>
          <w:szCs w:val="20"/>
          <w:lang w:eastAsia="en-US"/>
        </w:rPr>
        <w:t>Tabla 1.</w:t>
      </w:r>
      <w:r w:rsidRPr="00490D3B">
        <w:rPr>
          <w:rFonts w:eastAsia="Calibri"/>
          <w:bCs/>
          <w:sz w:val="20"/>
          <w:szCs w:val="20"/>
          <w:lang w:eastAsia="en-US"/>
        </w:rPr>
        <w:t xml:space="preserve"> Diferencias entre riesgo primario y riesgo técnico</w:t>
      </w:r>
    </w:p>
    <w:tbl>
      <w:tblPr>
        <w:tblStyle w:val="Tablaconcuadrcula"/>
        <w:tblW w:w="0" w:type="auto"/>
        <w:tblInd w:w="0" w:type="dxa"/>
        <w:tblLook w:val="04A0" w:firstRow="1" w:lastRow="0" w:firstColumn="1" w:lastColumn="0" w:noHBand="0" w:noVBand="1"/>
      </w:tblPr>
      <w:tblGrid>
        <w:gridCol w:w="2972"/>
        <w:gridCol w:w="3260"/>
        <w:gridCol w:w="3730"/>
      </w:tblGrid>
      <w:tr w:rsidR="005C2BBA" w:rsidRPr="00490D3B" w14:paraId="29CBAB66" w14:textId="77777777" w:rsidTr="005C2BBA">
        <w:tc>
          <w:tcPr>
            <w:tcW w:w="2972" w:type="dxa"/>
          </w:tcPr>
          <w:p w14:paraId="5833BF21" w14:textId="54CA64FE" w:rsidR="005C2BBA" w:rsidRPr="00490D3B" w:rsidRDefault="005C2BBA" w:rsidP="005C2BBA">
            <w:pPr>
              <w:pStyle w:val="Normal0"/>
              <w:rPr>
                <w:rFonts w:eastAsia="Calibri"/>
                <w:b/>
                <w:bCs/>
                <w:sz w:val="20"/>
                <w:szCs w:val="20"/>
                <w:lang w:eastAsia="en-US"/>
              </w:rPr>
            </w:pPr>
            <w:r w:rsidRPr="00490D3B">
              <w:rPr>
                <w:b/>
                <w:sz w:val="20"/>
                <w:szCs w:val="20"/>
              </w:rPr>
              <w:t>Aspecto</w:t>
            </w:r>
          </w:p>
        </w:tc>
        <w:tc>
          <w:tcPr>
            <w:tcW w:w="3260" w:type="dxa"/>
          </w:tcPr>
          <w:p w14:paraId="54383B1D" w14:textId="7391544A" w:rsidR="005C2BBA" w:rsidRPr="00490D3B" w:rsidRDefault="005C2BBA" w:rsidP="005C2BBA">
            <w:pPr>
              <w:pStyle w:val="Normal0"/>
              <w:rPr>
                <w:rFonts w:eastAsia="Calibri"/>
                <w:b/>
                <w:bCs/>
                <w:sz w:val="20"/>
                <w:szCs w:val="20"/>
                <w:lang w:eastAsia="en-US"/>
              </w:rPr>
            </w:pPr>
            <w:r w:rsidRPr="00490D3B">
              <w:rPr>
                <w:b/>
                <w:sz w:val="20"/>
                <w:szCs w:val="20"/>
              </w:rPr>
              <w:t>Riesgo primario</w:t>
            </w:r>
          </w:p>
        </w:tc>
        <w:tc>
          <w:tcPr>
            <w:tcW w:w="3730" w:type="dxa"/>
          </w:tcPr>
          <w:p w14:paraId="0C40B77B" w14:textId="295B89EE" w:rsidR="005C2BBA" w:rsidRPr="00490D3B" w:rsidRDefault="005C2BBA" w:rsidP="005C2BBA">
            <w:pPr>
              <w:pStyle w:val="Normal0"/>
              <w:rPr>
                <w:rFonts w:eastAsia="Calibri"/>
                <w:b/>
                <w:bCs/>
                <w:sz w:val="20"/>
                <w:szCs w:val="20"/>
                <w:lang w:eastAsia="en-US"/>
              </w:rPr>
            </w:pPr>
            <w:r w:rsidRPr="00490D3B">
              <w:rPr>
                <w:b/>
                <w:sz w:val="20"/>
                <w:szCs w:val="20"/>
              </w:rPr>
              <w:t>Riesgo técnico</w:t>
            </w:r>
          </w:p>
        </w:tc>
      </w:tr>
      <w:tr w:rsidR="005C2BBA" w:rsidRPr="00490D3B" w14:paraId="28CAF448" w14:textId="77777777" w:rsidTr="005C2BBA">
        <w:tc>
          <w:tcPr>
            <w:tcW w:w="2972" w:type="dxa"/>
          </w:tcPr>
          <w:p w14:paraId="057B2700" w14:textId="37C72A6E" w:rsidR="005C2BBA" w:rsidRPr="00490D3B" w:rsidRDefault="005C2BBA" w:rsidP="005C2BBA">
            <w:pPr>
              <w:pStyle w:val="Normal0"/>
              <w:rPr>
                <w:rFonts w:eastAsia="Calibri"/>
                <w:bCs/>
                <w:sz w:val="20"/>
                <w:szCs w:val="20"/>
                <w:lang w:eastAsia="en-US"/>
              </w:rPr>
            </w:pPr>
            <w:r w:rsidRPr="00490D3B">
              <w:rPr>
                <w:sz w:val="20"/>
                <w:szCs w:val="20"/>
              </w:rPr>
              <w:t>Relación principal</w:t>
            </w:r>
          </w:p>
        </w:tc>
        <w:tc>
          <w:tcPr>
            <w:tcW w:w="3260" w:type="dxa"/>
          </w:tcPr>
          <w:p w14:paraId="6093CE4A" w14:textId="6EB395ED" w:rsidR="005C2BBA" w:rsidRPr="00490D3B" w:rsidRDefault="005C2BBA" w:rsidP="005C2BBA">
            <w:pPr>
              <w:pStyle w:val="Normal0"/>
              <w:rPr>
                <w:rFonts w:eastAsia="Calibri"/>
                <w:bCs/>
                <w:sz w:val="20"/>
                <w:szCs w:val="20"/>
                <w:lang w:eastAsia="en-US"/>
              </w:rPr>
            </w:pPr>
            <w:r w:rsidRPr="00490D3B">
              <w:rPr>
                <w:sz w:val="20"/>
                <w:szCs w:val="20"/>
              </w:rPr>
              <w:t>Condiciones y eventos de salud de la población.</w:t>
            </w:r>
          </w:p>
        </w:tc>
        <w:tc>
          <w:tcPr>
            <w:tcW w:w="3730" w:type="dxa"/>
          </w:tcPr>
          <w:p w14:paraId="215DDBEE" w14:textId="7A8B8860" w:rsidR="005C2BBA" w:rsidRPr="00490D3B" w:rsidRDefault="005C2BBA" w:rsidP="005C2BBA">
            <w:pPr>
              <w:pStyle w:val="Normal0"/>
              <w:rPr>
                <w:rFonts w:eastAsia="Calibri"/>
                <w:bCs/>
                <w:sz w:val="20"/>
                <w:szCs w:val="20"/>
                <w:lang w:eastAsia="en-US"/>
              </w:rPr>
            </w:pPr>
            <w:r w:rsidRPr="00490D3B">
              <w:rPr>
                <w:sz w:val="20"/>
                <w:szCs w:val="20"/>
              </w:rPr>
              <w:t>Variabilidad en la utilización de servicios y recursos.</w:t>
            </w:r>
          </w:p>
        </w:tc>
      </w:tr>
      <w:tr w:rsidR="005C2BBA" w:rsidRPr="00490D3B" w14:paraId="32E6C0CC" w14:textId="77777777" w:rsidTr="005C2BBA">
        <w:tc>
          <w:tcPr>
            <w:tcW w:w="2972" w:type="dxa"/>
          </w:tcPr>
          <w:p w14:paraId="0D0A3830" w14:textId="55FBBEA3" w:rsidR="005C2BBA" w:rsidRPr="00490D3B" w:rsidRDefault="005C2BBA" w:rsidP="005C2BBA">
            <w:pPr>
              <w:pStyle w:val="Normal0"/>
              <w:rPr>
                <w:rFonts w:eastAsia="Calibri"/>
                <w:bCs/>
                <w:sz w:val="20"/>
                <w:szCs w:val="20"/>
                <w:lang w:eastAsia="en-US"/>
              </w:rPr>
            </w:pPr>
            <w:r w:rsidRPr="00490D3B">
              <w:rPr>
                <w:sz w:val="20"/>
                <w:szCs w:val="20"/>
              </w:rPr>
              <w:t>Se analiza a partir de</w:t>
            </w:r>
          </w:p>
        </w:tc>
        <w:tc>
          <w:tcPr>
            <w:tcW w:w="3260" w:type="dxa"/>
          </w:tcPr>
          <w:p w14:paraId="5C1A4E98" w14:textId="35CD657B" w:rsidR="005C2BBA" w:rsidRPr="00490D3B" w:rsidRDefault="005C2BBA" w:rsidP="005C2BBA">
            <w:pPr>
              <w:pStyle w:val="Normal0"/>
              <w:rPr>
                <w:rFonts w:eastAsia="Calibri"/>
                <w:bCs/>
                <w:sz w:val="20"/>
                <w:szCs w:val="20"/>
                <w:lang w:eastAsia="en-US"/>
              </w:rPr>
            </w:pPr>
            <w:r w:rsidRPr="00490D3B">
              <w:rPr>
                <w:sz w:val="20"/>
                <w:szCs w:val="20"/>
              </w:rPr>
              <w:t>Características, necesidades y condiciones de salud de la población.</w:t>
            </w:r>
          </w:p>
        </w:tc>
        <w:tc>
          <w:tcPr>
            <w:tcW w:w="3730" w:type="dxa"/>
          </w:tcPr>
          <w:p w14:paraId="78461028" w14:textId="23BAF999" w:rsidR="005C2BBA" w:rsidRPr="00490D3B" w:rsidRDefault="005C2BBA" w:rsidP="005C2BBA">
            <w:pPr>
              <w:pStyle w:val="Normal0"/>
              <w:rPr>
                <w:rFonts w:eastAsia="Calibri"/>
                <w:bCs/>
                <w:sz w:val="20"/>
                <w:szCs w:val="20"/>
                <w:lang w:eastAsia="en-US"/>
              </w:rPr>
            </w:pPr>
            <w:r w:rsidRPr="00490D3B">
              <w:rPr>
                <w:sz w:val="20"/>
                <w:szCs w:val="20"/>
              </w:rPr>
              <w:t>Utilización histórica, frecuencias, complejidad y comportamiento de los servicios.</w:t>
            </w:r>
          </w:p>
        </w:tc>
      </w:tr>
      <w:tr w:rsidR="005C2BBA" w:rsidRPr="00490D3B" w14:paraId="13E08FD4" w14:textId="77777777" w:rsidTr="005C2BBA">
        <w:tc>
          <w:tcPr>
            <w:tcW w:w="2972" w:type="dxa"/>
          </w:tcPr>
          <w:p w14:paraId="597F2C19" w14:textId="57063B39" w:rsidR="005C2BBA" w:rsidRPr="00490D3B" w:rsidRDefault="005C2BBA" w:rsidP="005C2BBA">
            <w:pPr>
              <w:pStyle w:val="Normal0"/>
              <w:rPr>
                <w:rFonts w:eastAsia="Calibri"/>
                <w:bCs/>
                <w:sz w:val="20"/>
                <w:szCs w:val="20"/>
                <w:lang w:eastAsia="en-US"/>
              </w:rPr>
            </w:pPr>
            <w:r w:rsidRPr="00490D3B">
              <w:rPr>
                <w:sz w:val="20"/>
                <w:szCs w:val="20"/>
              </w:rPr>
              <w:t>Relación con la nota técnica</w:t>
            </w:r>
          </w:p>
        </w:tc>
        <w:tc>
          <w:tcPr>
            <w:tcW w:w="3260" w:type="dxa"/>
          </w:tcPr>
          <w:p w14:paraId="7ECB9AB0" w14:textId="251ACEFA" w:rsidR="005C2BBA" w:rsidRPr="00490D3B" w:rsidRDefault="005C2BBA" w:rsidP="005C2BBA">
            <w:pPr>
              <w:pStyle w:val="Normal0"/>
              <w:rPr>
                <w:rFonts w:eastAsia="Calibri"/>
                <w:bCs/>
                <w:sz w:val="20"/>
                <w:szCs w:val="20"/>
                <w:lang w:eastAsia="en-US"/>
              </w:rPr>
            </w:pPr>
            <w:r w:rsidRPr="00490D3B">
              <w:rPr>
                <w:sz w:val="20"/>
                <w:szCs w:val="20"/>
              </w:rPr>
              <w:t>Contribuye a estimar las necesidades de atención.</w:t>
            </w:r>
          </w:p>
        </w:tc>
        <w:tc>
          <w:tcPr>
            <w:tcW w:w="3730" w:type="dxa"/>
          </w:tcPr>
          <w:p w14:paraId="63FA4972" w14:textId="10831B6C" w:rsidR="005C2BBA" w:rsidRPr="00490D3B" w:rsidRDefault="005C2BBA" w:rsidP="005C2BBA">
            <w:pPr>
              <w:pStyle w:val="Normal0"/>
              <w:rPr>
                <w:rFonts w:eastAsia="Calibri"/>
                <w:bCs/>
                <w:sz w:val="20"/>
                <w:szCs w:val="20"/>
                <w:lang w:eastAsia="en-US"/>
              </w:rPr>
            </w:pPr>
            <w:r w:rsidRPr="00490D3B">
              <w:rPr>
                <w:sz w:val="20"/>
                <w:szCs w:val="20"/>
              </w:rPr>
              <w:t>Contribuye a proyectar el uso de servicios y los recursos requeridos.</w:t>
            </w:r>
          </w:p>
        </w:tc>
      </w:tr>
    </w:tbl>
    <w:p w14:paraId="79BCCA62" w14:textId="77777777" w:rsidR="005C2BBA" w:rsidRPr="00490D3B" w:rsidRDefault="005C2BBA" w:rsidP="004C1239">
      <w:pPr>
        <w:pStyle w:val="Normal0"/>
        <w:rPr>
          <w:rFonts w:eastAsia="Calibri"/>
          <w:bCs/>
          <w:sz w:val="20"/>
          <w:szCs w:val="20"/>
          <w:lang w:eastAsia="en-US"/>
        </w:rPr>
      </w:pPr>
    </w:p>
    <w:p w14:paraId="1FD72D4B" w14:textId="3A276CBB" w:rsidR="005D6C2B" w:rsidRPr="00490D3B" w:rsidRDefault="005C2BBA" w:rsidP="005D6C2B">
      <w:pPr>
        <w:pStyle w:val="Normal0"/>
        <w:rPr>
          <w:rFonts w:eastAsia="Calibri"/>
          <w:bCs/>
          <w:sz w:val="20"/>
          <w:szCs w:val="20"/>
          <w:lang w:eastAsia="en-US"/>
        </w:rPr>
      </w:pPr>
      <w:r w:rsidRPr="00490D3B">
        <w:rPr>
          <w:rFonts w:eastAsia="Calibri"/>
          <w:bCs/>
          <w:sz w:val="20"/>
          <w:szCs w:val="20"/>
          <w:lang w:eastAsia="en-US"/>
        </w:rPr>
        <w:t xml:space="preserve">La diferenciación entre ambos riesgos permite incorporar en la nota técnica tanto las condiciones de salud que pueden generar necesidades de atención como las variaciones que pueden presentarse durante la prestación </w:t>
      </w:r>
      <w:r w:rsidRPr="00490D3B">
        <w:rPr>
          <w:rFonts w:eastAsia="Calibri"/>
          <w:bCs/>
          <w:sz w:val="20"/>
          <w:szCs w:val="20"/>
          <w:lang w:eastAsia="en-US"/>
        </w:rPr>
        <w:lastRenderedPageBreak/>
        <w:t>de los servicios. De esta manera, el análisis del riesgo complementa la información poblacional, las frecuencias de uso y los costos utilizados para construir las proyecciones.</w:t>
      </w:r>
    </w:p>
    <w:p w14:paraId="5DCE3109" w14:textId="4A3C1610" w:rsidR="005C2BBA" w:rsidRPr="00490D3B" w:rsidRDefault="005C2BBA" w:rsidP="005D6C2B">
      <w:pPr>
        <w:pStyle w:val="Normal0"/>
        <w:rPr>
          <w:rFonts w:eastAsia="Calibri"/>
          <w:b/>
          <w:bCs/>
          <w:sz w:val="20"/>
          <w:szCs w:val="20"/>
          <w:lang w:eastAsia="en-US"/>
        </w:rPr>
      </w:pPr>
    </w:p>
    <w:p w14:paraId="7E273DF3" w14:textId="77777777" w:rsidR="005C2BBA" w:rsidRPr="00490D3B" w:rsidRDefault="005C2BBA" w:rsidP="005D6C2B">
      <w:pPr>
        <w:pStyle w:val="Normal0"/>
        <w:rPr>
          <w:rFonts w:eastAsia="Calibri"/>
          <w:b/>
          <w:bCs/>
          <w:sz w:val="20"/>
          <w:szCs w:val="20"/>
          <w:lang w:eastAsia="en-US"/>
        </w:rPr>
      </w:pPr>
    </w:p>
    <w:p w14:paraId="69643C80" w14:textId="70A7466D" w:rsidR="00D743F1" w:rsidRPr="00490D3B" w:rsidRDefault="00D743F1" w:rsidP="00D743F1">
      <w:pPr>
        <w:pStyle w:val="Normal0"/>
        <w:numPr>
          <w:ilvl w:val="0"/>
          <w:numId w:val="30"/>
        </w:numPr>
        <w:rPr>
          <w:rFonts w:eastAsia="Calibri"/>
          <w:b/>
          <w:bCs/>
          <w:sz w:val="20"/>
          <w:szCs w:val="20"/>
          <w:lang w:eastAsia="en-US"/>
        </w:rPr>
      </w:pPr>
      <w:r w:rsidRPr="00490D3B">
        <w:rPr>
          <w:rFonts w:eastAsia="Calibri"/>
          <w:b/>
          <w:bCs/>
          <w:sz w:val="20"/>
          <w:szCs w:val="20"/>
          <w:lang w:eastAsia="en-US"/>
        </w:rPr>
        <w:t>Elaboración de la nota técnica</w:t>
      </w:r>
    </w:p>
    <w:p w14:paraId="5C45C167" w14:textId="7B19655B" w:rsidR="005C2BBA" w:rsidRPr="00490D3B" w:rsidRDefault="005C2BBA" w:rsidP="005C2BBA">
      <w:pPr>
        <w:pStyle w:val="Normal0"/>
        <w:rPr>
          <w:rFonts w:eastAsia="Calibri"/>
          <w:bCs/>
          <w:sz w:val="20"/>
          <w:szCs w:val="20"/>
          <w:lang w:eastAsia="en-US"/>
        </w:rPr>
      </w:pPr>
    </w:p>
    <w:p w14:paraId="12C56727" w14:textId="77777777" w:rsidR="005C2BBA" w:rsidRPr="00490D3B" w:rsidRDefault="005C2BBA" w:rsidP="005C2BBA">
      <w:pPr>
        <w:pStyle w:val="Normal0"/>
        <w:rPr>
          <w:rFonts w:eastAsia="Calibri"/>
          <w:bCs/>
          <w:sz w:val="20"/>
          <w:szCs w:val="20"/>
          <w:lang w:eastAsia="en-US"/>
        </w:rPr>
      </w:pPr>
      <w:r w:rsidRPr="00490D3B">
        <w:rPr>
          <w:rFonts w:eastAsia="Calibri"/>
          <w:bCs/>
          <w:sz w:val="20"/>
          <w:szCs w:val="20"/>
          <w:lang w:eastAsia="en-US"/>
        </w:rPr>
        <w:t>La elaboración de la nota técnica comprende la organización y articulación de la información necesaria para sustentar la proyección de los servicios y tecnologías en salud dentro de un acuerdo de voluntades. Este proceso integra los datos de la población, la identificación y codificación de los servicios, las frecuencias de uso, los costos y las tarifas, así como los elementos relacionados con el seguimiento, la auditoría y la gestión del riesgo.</w:t>
      </w:r>
    </w:p>
    <w:p w14:paraId="3A130A33" w14:textId="77777777" w:rsidR="005C2BBA" w:rsidRPr="00490D3B" w:rsidRDefault="005C2BBA" w:rsidP="005C2BBA">
      <w:pPr>
        <w:pStyle w:val="Normal0"/>
        <w:rPr>
          <w:rFonts w:eastAsia="Calibri"/>
          <w:bCs/>
          <w:sz w:val="20"/>
          <w:szCs w:val="20"/>
          <w:lang w:eastAsia="en-US"/>
        </w:rPr>
      </w:pPr>
    </w:p>
    <w:p w14:paraId="077B27DD" w14:textId="77777777" w:rsidR="005C2BBA" w:rsidRPr="00490D3B" w:rsidRDefault="005C2BBA" w:rsidP="005C2BBA">
      <w:pPr>
        <w:pStyle w:val="Normal0"/>
        <w:rPr>
          <w:rFonts w:eastAsia="Calibri"/>
          <w:bCs/>
          <w:sz w:val="20"/>
          <w:szCs w:val="20"/>
          <w:lang w:eastAsia="en-US"/>
        </w:rPr>
      </w:pPr>
      <w:r w:rsidRPr="00490D3B">
        <w:rPr>
          <w:rFonts w:eastAsia="Calibri"/>
          <w:bCs/>
          <w:sz w:val="20"/>
          <w:szCs w:val="20"/>
          <w:lang w:eastAsia="en-US"/>
        </w:rPr>
        <w:t>Para su construcción, es necesario partir de información previamente organizada y validada, de manera que los datos utilizados permitan establecer relaciones entre la población objeto, los servicios requeridos, las cantidades proyectadas y los valores económicos. La información histórica de prestación de servicios constituye uno de los insumos para analizar el comportamiento de la utilización y establecer las proyecciones correspondientes.</w:t>
      </w:r>
    </w:p>
    <w:p w14:paraId="1AB4FAE4" w14:textId="77777777" w:rsidR="005C2BBA" w:rsidRPr="00490D3B" w:rsidRDefault="005C2BBA" w:rsidP="005C2BBA">
      <w:pPr>
        <w:pStyle w:val="Normal0"/>
        <w:rPr>
          <w:rFonts w:eastAsia="Calibri"/>
          <w:bCs/>
          <w:sz w:val="20"/>
          <w:szCs w:val="20"/>
          <w:lang w:eastAsia="en-US"/>
        </w:rPr>
      </w:pPr>
    </w:p>
    <w:p w14:paraId="18524534" w14:textId="2C09B9BF" w:rsidR="005C2BBA" w:rsidRPr="00490D3B" w:rsidRDefault="005C2BBA" w:rsidP="005C2BBA">
      <w:pPr>
        <w:pStyle w:val="Normal0"/>
        <w:rPr>
          <w:rFonts w:eastAsia="Calibri"/>
          <w:bCs/>
          <w:sz w:val="20"/>
          <w:szCs w:val="20"/>
          <w:lang w:eastAsia="en-US"/>
        </w:rPr>
      </w:pPr>
      <w:r w:rsidRPr="00490D3B">
        <w:rPr>
          <w:rFonts w:eastAsia="Calibri"/>
          <w:bCs/>
          <w:sz w:val="20"/>
          <w:szCs w:val="20"/>
          <w:lang w:eastAsia="en-US"/>
        </w:rPr>
        <w:t>La elaboración también debe considerar las condiciones particulares de la modalidad de contratación y los elementos establecidos para el acuerdo de voluntades. De esta manera, la nota técnica se consolida como un documento que integra información técnica y económica para sustentar la planeación de los servicios y facilitar su posterior revisión, validación y seguimiento.</w:t>
      </w:r>
    </w:p>
    <w:p w14:paraId="5FA195A2" w14:textId="0C27A1B7" w:rsidR="005C2BBA" w:rsidRPr="00490D3B" w:rsidRDefault="005C2BBA" w:rsidP="005C2BBA">
      <w:pPr>
        <w:pStyle w:val="Normal0"/>
        <w:rPr>
          <w:rFonts w:eastAsia="Calibri"/>
          <w:bCs/>
          <w:sz w:val="20"/>
          <w:szCs w:val="20"/>
          <w:lang w:eastAsia="en-US"/>
        </w:rPr>
      </w:pPr>
    </w:p>
    <w:p w14:paraId="4571DB88" w14:textId="5BF416AC" w:rsidR="00D743F1" w:rsidRPr="00490D3B" w:rsidRDefault="00D743F1" w:rsidP="00D743F1">
      <w:pPr>
        <w:pStyle w:val="Normal0"/>
        <w:numPr>
          <w:ilvl w:val="1"/>
          <w:numId w:val="30"/>
        </w:numPr>
        <w:rPr>
          <w:rFonts w:eastAsia="Calibri"/>
          <w:b/>
          <w:bCs/>
          <w:sz w:val="20"/>
          <w:szCs w:val="20"/>
          <w:lang w:eastAsia="en-US"/>
        </w:rPr>
      </w:pPr>
      <w:r w:rsidRPr="00490D3B">
        <w:rPr>
          <w:rFonts w:eastAsia="Calibri"/>
          <w:b/>
          <w:bCs/>
          <w:sz w:val="20"/>
          <w:szCs w:val="20"/>
          <w:lang w:eastAsia="en-US"/>
        </w:rPr>
        <w:t>Lineamientos para la elaboración de la nota técnica</w:t>
      </w:r>
    </w:p>
    <w:p w14:paraId="3E16A0DF" w14:textId="0526636E" w:rsidR="005C2BBA" w:rsidRPr="00490D3B" w:rsidRDefault="005C2BBA" w:rsidP="005C2BBA">
      <w:pPr>
        <w:pStyle w:val="Normal0"/>
        <w:rPr>
          <w:rFonts w:eastAsia="Calibri"/>
          <w:bCs/>
          <w:sz w:val="20"/>
          <w:szCs w:val="20"/>
          <w:lang w:eastAsia="en-US"/>
        </w:rPr>
      </w:pPr>
    </w:p>
    <w:p w14:paraId="7A196C4D" w14:textId="77777777" w:rsidR="005C2BBA" w:rsidRPr="00490D3B" w:rsidRDefault="005C2BBA" w:rsidP="005C2BBA">
      <w:pPr>
        <w:pStyle w:val="Normal0"/>
        <w:rPr>
          <w:rFonts w:eastAsia="Calibri"/>
          <w:bCs/>
          <w:sz w:val="20"/>
          <w:szCs w:val="20"/>
          <w:lang w:eastAsia="en-US"/>
        </w:rPr>
      </w:pPr>
      <w:r w:rsidRPr="00490D3B">
        <w:rPr>
          <w:rFonts w:eastAsia="Calibri"/>
          <w:bCs/>
          <w:sz w:val="20"/>
          <w:szCs w:val="20"/>
          <w:lang w:eastAsia="en-US"/>
        </w:rPr>
        <w:t>La elaboración de la nota técnica debe partir de información organizada, verificable y relacionada con las condiciones del acuerdo de voluntades. Para ello, se integran los elementos previamente analizados: población, servicios y tecnologías, frecuencias de uso, costos, tarifas y riesgos, de manera que la información permita sustentar las proyecciones realizadas.</w:t>
      </w:r>
    </w:p>
    <w:p w14:paraId="3C5CAE93" w14:textId="77777777" w:rsidR="005C2BBA" w:rsidRPr="00490D3B" w:rsidRDefault="005C2BBA" w:rsidP="005C2BBA">
      <w:pPr>
        <w:pStyle w:val="Normal0"/>
        <w:rPr>
          <w:rFonts w:eastAsia="Calibri"/>
          <w:bCs/>
          <w:sz w:val="20"/>
          <w:szCs w:val="20"/>
          <w:lang w:eastAsia="en-US"/>
        </w:rPr>
      </w:pPr>
    </w:p>
    <w:p w14:paraId="4AA206C2" w14:textId="77777777" w:rsidR="005C2BBA" w:rsidRPr="00490D3B" w:rsidRDefault="005C2BBA" w:rsidP="005C2BBA">
      <w:pPr>
        <w:pStyle w:val="Normal0"/>
        <w:rPr>
          <w:rFonts w:eastAsia="Calibri"/>
          <w:bCs/>
          <w:sz w:val="20"/>
          <w:szCs w:val="20"/>
          <w:lang w:eastAsia="en-US"/>
        </w:rPr>
      </w:pPr>
      <w:r w:rsidRPr="00490D3B">
        <w:rPr>
          <w:rFonts w:eastAsia="Calibri"/>
          <w:bCs/>
          <w:sz w:val="20"/>
          <w:szCs w:val="20"/>
          <w:lang w:eastAsia="en-US"/>
        </w:rPr>
        <w:t xml:space="preserve">Como referencia para su elaboración, el </w:t>
      </w:r>
      <w:r w:rsidRPr="00490D3B">
        <w:rPr>
          <w:rFonts w:eastAsia="Calibri"/>
          <w:b/>
          <w:bCs/>
          <w:sz w:val="20"/>
          <w:szCs w:val="20"/>
          <w:lang w:eastAsia="en-US"/>
        </w:rPr>
        <w:t>Decreto 441 de 2022</w:t>
      </w:r>
      <w:r w:rsidRPr="00490D3B">
        <w:rPr>
          <w:rFonts w:eastAsia="Calibri"/>
          <w:bCs/>
          <w:sz w:val="20"/>
          <w:szCs w:val="20"/>
          <w:lang w:eastAsia="en-US"/>
        </w:rPr>
        <w:t xml:space="preserve"> establece elementos relacionados con el contenido de los acuerdos de voluntades y la nota técnica. En este contexto, la construcción debe considerar, entre otros aspectos, los servicios y tecnologías objeto del acuerdo, la población, las frecuencias estimadas, los valores económicos y las condiciones para el seguimiento y gestión del riesgo.</w:t>
      </w:r>
    </w:p>
    <w:p w14:paraId="44EA13A6" w14:textId="77777777" w:rsidR="005C2BBA" w:rsidRPr="00490D3B" w:rsidRDefault="005C2BBA" w:rsidP="005C2BBA">
      <w:pPr>
        <w:pStyle w:val="Normal0"/>
        <w:rPr>
          <w:rFonts w:eastAsia="Calibri"/>
          <w:bCs/>
          <w:sz w:val="20"/>
          <w:szCs w:val="20"/>
          <w:lang w:eastAsia="en-US"/>
        </w:rPr>
      </w:pPr>
    </w:p>
    <w:p w14:paraId="6300929B" w14:textId="77777777" w:rsidR="005C2BBA" w:rsidRPr="00490D3B" w:rsidRDefault="005C2BBA" w:rsidP="005C2BBA">
      <w:pPr>
        <w:pStyle w:val="Normal0"/>
        <w:rPr>
          <w:rFonts w:eastAsia="Calibri"/>
          <w:bCs/>
          <w:sz w:val="20"/>
          <w:szCs w:val="20"/>
          <w:lang w:eastAsia="en-US"/>
        </w:rPr>
      </w:pPr>
      <w:r w:rsidRPr="00490D3B">
        <w:rPr>
          <w:rFonts w:eastAsia="Calibri"/>
          <w:bCs/>
          <w:sz w:val="20"/>
          <w:szCs w:val="20"/>
          <w:lang w:eastAsia="en-US"/>
        </w:rPr>
        <w:t>Para organizar el proceso, se pueden considerar los siguientes lineamientos:</w:t>
      </w:r>
    </w:p>
    <w:p w14:paraId="28053334" w14:textId="77777777" w:rsidR="005C2BBA" w:rsidRPr="00490D3B" w:rsidRDefault="005C2BBA" w:rsidP="005C2BBA">
      <w:pPr>
        <w:pStyle w:val="Normal0"/>
        <w:rPr>
          <w:rFonts w:eastAsia="Calibri"/>
          <w:bCs/>
          <w:sz w:val="20"/>
          <w:szCs w:val="20"/>
          <w:lang w:eastAsia="en-US"/>
        </w:rPr>
      </w:pPr>
    </w:p>
    <w:p w14:paraId="6A8A2522" w14:textId="77777777" w:rsidR="005C2BBA" w:rsidRPr="00490D3B" w:rsidRDefault="005C2BBA" w:rsidP="005C2BBA">
      <w:pPr>
        <w:pStyle w:val="Normal0"/>
        <w:numPr>
          <w:ilvl w:val="0"/>
          <w:numId w:val="31"/>
        </w:numPr>
        <w:rPr>
          <w:rFonts w:eastAsia="Calibri"/>
          <w:bCs/>
          <w:sz w:val="20"/>
          <w:szCs w:val="20"/>
          <w:lang w:eastAsia="en-US"/>
        </w:rPr>
      </w:pPr>
      <w:r w:rsidRPr="00490D3B">
        <w:rPr>
          <w:rFonts w:eastAsia="Calibri"/>
          <w:b/>
          <w:bCs/>
          <w:sz w:val="20"/>
          <w:szCs w:val="20"/>
          <w:lang w:eastAsia="en-US"/>
        </w:rPr>
        <w:t>Definir la población objeto:</w:t>
      </w:r>
      <w:r w:rsidRPr="00490D3B">
        <w:rPr>
          <w:rFonts w:eastAsia="Calibri"/>
          <w:bCs/>
          <w:sz w:val="20"/>
          <w:szCs w:val="20"/>
          <w:lang w:eastAsia="en-US"/>
        </w:rPr>
        <w:t xml:space="preserve"> establecer la población que será considerada en el acuerdo y, cuando corresponda, los grupos de población susceptibles de utilizar determinados servicios o tecnologías.</w:t>
      </w:r>
    </w:p>
    <w:p w14:paraId="50BF81FC" w14:textId="77777777" w:rsidR="005C2BBA" w:rsidRPr="00490D3B" w:rsidRDefault="005C2BBA" w:rsidP="005C2BBA">
      <w:pPr>
        <w:pStyle w:val="Normal0"/>
        <w:numPr>
          <w:ilvl w:val="0"/>
          <w:numId w:val="31"/>
        </w:numPr>
        <w:rPr>
          <w:rFonts w:eastAsia="Calibri"/>
          <w:bCs/>
          <w:sz w:val="20"/>
          <w:szCs w:val="20"/>
          <w:lang w:eastAsia="en-US"/>
        </w:rPr>
      </w:pPr>
      <w:r w:rsidRPr="00490D3B">
        <w:rPr>
          <w:rFonts w:eastAsia="Calibri"/>
          <w:b/>
          <w:bCs/>
          <w:sz w:val="20"/>
          <w:szCs w:val="20"/>
          <w:lang w:eastAsia="en-US"/>
        </w:rPr>
        <w:t>Identificar los servicios y tecnologías:</w:t>
      </w:r>
      <w:r w:rsidRPr="00490D3B">
        <w:rPr>
          <w:rFonts w:eastAsia="Calibri"/>
          <w:bCs/>
          <w:sz w:val="20"/>
          <w:szCs w:val="20"/>
          <w:lang w:eastAsia="en-US"/>
        </w:rPr>
        <w:t xml:space="preserve"> establecer los procedimientos, servicios, medicamentos y demás tecnologías que serán incluidos, utilizando los códigos y tablas de referencia correspondientes.</w:t>
      </w:r>
    </w:p>
    <w:p w14:paraId="5DEA8B51" w14:textId="77777777" w:rsidR="005C2BBA" w:rsidRPr="00490D3B" w:rsidRDefault="005C2BBA" w:rsidP="005C2BBA">
      <w:pPr>
        <w:pStyle w:val="Normal0"/>
        <w:numPr>
          <w:ilvl w:val="0"/>
          <w:numId w:val="31"/>
        </w:numPr>
        <w:rPr>
          <w:rFonts w:eastAsia="Calibri"/>
          <w:bCs/>
          <w:sz w:val="20"/>
          <w:szCs w:val="20"/>
          <w:lang w:eastAsia="en-US"/>
        </w:rPr>
      </w:pPr>
      <w:r w:rsidRPr="00490D3B">
        <w:rPr>
          <w:rFonts w:eastAsia="Calibri"/>
          <w:b/>
          <w:bCs/>
          <w:sz w:val="20"/>
          <w:szCs w:val="20"/>
          <w:lang w:eastAsia="en-US"/>
        </w:rPr>
        <w:t>Analizar la información histórica:</w:t>
      </w:r>
      <w:r w:rsidRPr="00490D3B">
        <w:rPr>
          <w:rFonts w:eastAsia="Calibri"/>
          <w:bCs/>
          <w:sz w:val="20"/>
          <w:szCs w:val="20"/>
          <w:lang w:eastAsia="en-US"/>
        </w:rPr>
        <w:t xml:space="preserve"> revisar los registros de utilización, las frecuencias de uso y los soportes disponibles para identificar comportamientos y establecer proyecciones.</w:t>
      </w:r>
    </w:p>
    <w:p w14:paraId="09EF9C6A" w14:textId="77777777" w:rsidR="005C2BBA" w:rsidRPr="00490D3B" w:rsidRDefault="005C2BBA" w:rsidP="005C2BBA">
      <w:pPr>
        <w:pStyle w:val="Normal0"/>
        <w:numPr>
          <w:ilvl w:val="0"/>
          <w:numId w:val="31"/>
        </w:numPr>
        <w:rPr>
          <w:rFonts w:eastAsia="Calibri"/>
          <w:bCs/>
          <w:sz w:val="20"/>
          <w:szCs w:val="20"/>
          <w:lang w:eastAsia="en-US"/>
        </w:rPr>
      </w:pPr>
      <w:r w:rsidRPr="00490D3B">
        <w:rPr>
          <w:rFonts w:eastAsia="Calibri"/>
          <w:b/>
          <w:bCs/>
          <w:sz w:val="20"/>
          <w:szCs w:val="20"/>
          <w:lang w:eastAsia="en-US"/>
        </w:rPr>
        <w:t>Determinar cantidades y frecuencias:</w:t>
      </w:r>
      <w:r w:rsidRPr="00490D3B">
        <w:rPr>
          <w:rFonts w:eastAsia="Calibri"/>
          <w:bCs/>
          <w:sz w:val="20"/>
          <w:szCs w:val="20"/>
          <w:lang w:eastAsia="en-US"/>
        </w:rPr>
        <w:t xml:space="preserve"> calcular las cantidades esperadas de servicios y tecnologías de acuerdo con la población y el comportamiento histórico analizado.</w:t>
      </w:r>
    </w:p>
    <w:p w14:paraId="485036E5" w14:textId="77777777" w:rsidR="005C2BBA" w:rsidRPr="00490D3B" w:rsidRDefault="005C2BBA" w:rsidP="005C2BBA">
      <w:pPr>
        <w:pStyle w:val="Normal0"/>
        <w:numPr>
          <w:ilvl w:val="0"/>
          <w:numId w:val="31"/>
        </w:numPr>
        <w:rPr>
          <w:rFonts w:eastAsia="Calibri"/>
          <w:bCs/>
          <w:sz w:val="20"/>
          <w:szCs w:val="20"/>
          <w:lang w:eastAsia="en-US"/>
        </w:rPr>
      </w:pPr>
      <w:r w:rsidRPr="00490D3B">
        <w:rPr>
          <w:rFonts w:eastAsia="Calibri"/>
          <w:b/>
          <w:bCs/>
          <w:sz w:val="20"/>
          <w:szCs w:val="20"/>
          <w:lang w:eastAsia="en-US"/>
        </w:rPr>
        <w:t>Establecer costos y tarifas:</w:t>
      </w:r>
      <w:r w:rsidRPr="00490D3B">
        <w:rPr>
          <w:rFonts w:eastAsia="Calibri"/>
          <w:bCs/>
          <w:sz w:val="20"/>
          <w:szCs w:val="20"/>
          <w:lang w:eastAsia="en-US"/>
        </w:rPr>
        <w:t xml:space="preserve"> relacionar las cantidades proyectadas con los valores unitarios o tarifas que correspondan según las condiciones del acuerdo.</w:t>
      </w:r>
    </w:p>
    <w:p w14:paraId="4856C55C" w14:textId="77777777" w:rsidR="005C2BBA" w:rsidRPr="00490D3B" w:rsidRDefault="005C2BBA" w:rsidP="005C2BBA">
      <w:pPr>
        <w:pStyle w:val="Normal0"/>
        <w:numPr>
          <w:ilvl w:val="0"/>
          <w:numId w:val="31"/>
        </w:numPr>
        <w:rPr>
          <w:rFonts w:eastAsia="Calibri"/>
          <w:bCs/>
          <w:sz w:val="20"/>
          <w:szCs w:val="20"/>
          <w:lang w:eastAsia="en-US"/>
        </w:rPr>
      </w:pPr>
      <w:r w:rsidRPr="00490D3B">
        <w:rPr>
          <w:rFonts w:eastAsia="Calibri"/>
          <w:b/>
          <w:bCs/>
          <w:sz w:val="20"/>
          <w:szCs w:val="20"/>
          <w:lang w:eastAsia="en-US"/>
        </w:rPr>
        <w:t>Considerar los riesgos:</w:t>
      </w:r>
      <w:r w:rsidRPr="00490D3B">
        <w:rPr>
          <w:rFonts w:eastAsia="Calibri"/>
          <w:bCs/>
          <w:sz w:val="20"/>
          <w:szCs w:val="20"/>
          <w:lang w:eastAsia="en-US"/>
        </w:rPr>
        <w:t xml:space="preserve"> incorporar el análisis del riesgo primario y técnico y los elementos relacionados con auditoría, seguimiento y ajustes.</w:t>
      </w:r>
    </w:p>
    <w:p w14:paraId="43DE2FEA" w14:textId="77777777" w:rsidR="005C2BBA" w:rsidRPr="00490D3B" w:rsidRDefault="005C2BBA" w:rsidP="005C2BBA">
      <w:pPr>
        <w:pStyle w:val="Normal0"/>
        <w:numPr>
          <w:ilvl w:val="0"/>
          <w:numId w:val="31"/>
        </w:numPr>
        <w:rPr>
          <w:rFonts w:eastAsia="Calibri"/>
          <w:bCs/>
          <w:sz w:val="20"/>
          <w:szCs w:val="20"/>
          <w:lang w:eastAsia="en-US"/>
        </w:rPr>
      </w:pPr>
      <w:r w:rsidRPr="00490D3B">
        <w:rPr>
          <w:rFonts w:eastAsia="Calibri"/>
          <w:b/>
          <w:bCs/>
          <w:sz w:val="20"/>
          <w:szCs w:val="20"/>
          <w:lang w:eastAsia="en-US"/>
        </w:rPr>
        <w:lastRenderedPageBreak/>
        <w:t>Consolidar la información:</w:t>
      </w:r>
      <w:r w:rsidRPr="00490D3B">
        <w:rPr>
          <w:rFonts w:eastAsia="Calibri"/>
          <w:bCs/>
          <w:sz w:val="20"/>
          <w:szCs w:val="20"/>
          <w:lang w:eastAsia="en-US"/>
        </w:rPr>
        <w:t xml:space="preserve"> integrar los resultados en una estructura que permita relacionar población, servicios, frecuencias, costos, tarifas y riesgos.</w:t>
      </w:r>
    </w:p>
    <w:p w14:paraId="3DE10783" w14:textId="77777777" w:rsidR="005C2BBA" w:rsidRPr="00490D3B" w:rsidRDefault="005C2BBA" w:rsidP="005C2BBA">
      <w:pPr>
        <w:pStyle w:val="Normal0"/>
        <w:numPr>
          <w:ilvl w:val="0"/>
          <w:numId w:val="31"/>
        </w:numPr>
        <w:rPr>
          <w:rFonts w:eastAsia="Calibri"/>
          <w:bCs/>
          <w:sz w:val="20"/>
          <w:szCs w:val="20"/>
          <w:lang w:eastAsia="en-US"/>
        </w:rPr>
      </w:pPr>
      <w:r w:rsidRPr="00490D3B">
        <w:rPr>
          <w:rFonts w:eastAsia="Calibri"/>
          <w:b/>
          <w:bCs/>
          <w:sz w:val="20"/>
          <w:szCs w:val="20"/>
          <w:lang w:eastAsia="en-US"/>
        </w:rPr>
        <w:t>Garantizar la trazabilidad:</w:t>
      </w:r>
      <w:r w:rsidRPr="00490D3B">
        <w:rPr>
          <w:rFonts w:eastAsia="Calibri"/>
          <w:bCs/>
          <w:sz w:val="20"/>
          <w:szCs w:val="20"/>
          <w:lang w:eastAsia="en-US"/>
        </w:rPr>
        <w:t xml:space="preserve"> conservar las fuentes y soportes utilizados para los cálculos y proyecciones, de manera que la información pueda ser posteriormente revisada y validada.</w:t>
      </w:r>
    </w:p>
    <w:p w14:paraId="7CEA0ED1" w14:textId="77777777" w:rsidR="005C2BBA" w:rsidRPr="00490D3B" w:rsidRDefault="005C2BBA" w:rsidP="005C2BBA">
      <w:pPr>
        <w:pStyle w:val="Normal0"/>
        <w:rPr>
          <w:rFonts w:eastAsia="Calibri"/>
          <w:bCs/>
          <w:sz w:val="20"/>
          <w:szCs w:val="20"/>
          <w:lang w:eastAsia="en-US"/>
        </w:rPr>
      </w:pPr>
    </w:p>
    <w:p w14:paraId="2CC13353" w14:textId="3A476D26" w:rsidR="005C2BBA" w:rsidRPr="00490D3B" w:rsidRDefault="005C2BBA" w:rsidP="005C2BBA">
      <w:pPr>
        <w:pStyle w:val="Normal0"/>
        <w:rPr>
          <w:rFonts w:eastAsia="Calibri"/>
          <w:bCs/>
          <w:sz w:val="20"/>
          <w:szCs w:val="20"/>
          <w:lang w:eastAsia="en-US"/>
        </w:rPr>
      </w:pPr>
      <w:r w:rsidRPr="00490D3B">
        <w:rPr>
          <w:rFonts w:eastAsia="Calibri"/>
          <w:bCs/>
          <w:sz w:val="20"/>
          <w:szCs w:val="20"/>
          <w:lang w:eastAsia="en-US"/>
        </w:rPr>
        <w:t>Estos lineamientos permiten que la nota técnica se construya de manera articulada y que sus componentes puedan ser sometidos posteriormente a validación técnica, jurídica y financiera.</w:t>
      </w:r>
    </w:p>
    <w:p w14:paraId="5A8C739A" w14:textId="77777777" w:rsidR="005C2BBA" w:rsidRPr="00490D3B" w:rsidRDefault="005C2BBA" w:rsidP="005C2BBA">
      <w:pPr>
        <w:pStyle w:val="Normal0"/>
        <w:rPr>
          <w:rFonts w:eastAsia="Calibri"/>
          <w:bCs/>
          <w:sz w:val="20"/>
          <w:szCs w:val="20"/>
          <w:lang w:eastAsia="en-US"/>
        </w:rPr>
      </w:pPr>
    </w:p>
    <w:p w14:paraId="3BFFD2DD" w14:textId="10EFAB65" w:rsidR="00D743F1" w:rsidRPr="00490D3B" w:rsidRDefault="00D743F1" w:rsidP="00D743F1">
      <w:pPr>
        <w:pStyle w:val="Normal0"/>
        <w:numPr>
          <w:ilvl w:val="1"/>
          <w:numId w:val="30"/>
        </w:numPr>
        <w:rPr>
          <w:rFonts w:eastAsia="Calibri"/>
          <w:b/>
          <w:bCs/>
          <w:sz w:val="20"/>
          <w:szCs w:val="20"/>
          <w:lang w:eastAsia="en-US"/>
        </w:rPr>
      </w:pPr>
      <w:r w:rsidRPr="00490D3B">
        <w:rPr>
          <w:rFonts w:eastAsia="Calibri"/>
          <w:b/>
          <w:bCs/>
          <w:sz w:val="20"/>
          <w:szCs w:val="20"/>
          <w:lang w:eastAsia="en-US"/>
        </w:rPr>
        <w:t>Construcción y organización de la información</w:t>
      </w:r>
    </w:p>
    <w:p w14:paraId="558EEA9A" w14:textId="66CAF687" w:rsidR="005C2BBA" w:rsidRPr="00490D3B" w:rsidRDefault="005C2BBA" w:rsidP="005C2BBA">
      <w:pPr>
        <w:pStyle w:val="Normal0"/>
        <w:rPr>
          <w:rFonts w:eastAsia="Calibri"/>
          <w:bCs/>
          <w:sz w:val="20"/>
          <w:szCs w:val="20"/>
          <w:lang w:eastAsia="en-US"/>
        </w:rPr>
      </w:pPr>
    </w:p>
    <w:p w14:paraId="0E5DF74C" w14:textId="77777777" w:rsidR="005C2BBA" w:rsidRPr="00490D3B" w:rsidRDefault="005C2BBA" w:rsidP="005C2BBA">
      <w:pPr>
        <w:pStyle w:val="Normal0"/>
        <w:rPr>
          <w:rFonts w:eastAsia="Calibri"/>
          <w:bCs/>
          <w:sz w:val="20"/>
          <w:szCs w:val="20"/>
          <w:lang w:eastAsia="en-US"/>
        </w:rPr>
      </w:pPr>
      <w:r w:rsidRPr="00490D3B">
        <w:rPr>
          <w:rFonts w:eastAsia="Calibri"/>
          <w:bCs/>
          <w:sz w:val="20"/>
          <w:szCs w:val="20"/>
          <w:lang w:eastAsia="en-US"/>
        </w:rPr>
        <w:t>La construcción de la nota técnica requiere recopilar, organizar y relacionar la información que sustenta las proyecciones de servicios y tecnologías en salud. Para ello, se integran los datos de la población, los servicios y tecnologías, las frecuencias de uso, los costos y las tarifas, junto con la información necesaria para el seguimiento y la gestión del riesgo.</w:t>
      </w:r>
    </w:p>
    <w:p w14:paraId="45E4E258" w14:textId="77777777" w:rsidR="005C2BBA" w:rsidRPr="00490D3B" w:rsidRDefault="005C2BBA" w:rsidP="005C2BBA">
      <w:pPr>
        <w:pStyle w:val="Normal0"/>
        <w:rPr>
          <w:rFonts w:eastAsia="Calibri"/>
          <w:bCs/>
          <w:sz w:val="20"/>
          <w:szCs w:val="20"/>
          <w:lang w:eastAsia="en-US"/>
        </w:rPr>
      </w:pPr>
    </w:p>
    <w:p w14:paraId="78CC2B99" w14:textId="77777777" w:rsidR="005C2BBA" w:rsidRPr="00490D3B" w:rsidRDefault="005C2BBA" w:rsidP="005C2BBA">
      <w:pPr>
        <w:pStyle w:val="Normal0"/>
        <w:rPr>
          <w:rFonts w:eastAsia="Calibri"/>
          <w:bCs/>
          <w:sz w:val="20"/>
          <w:szCs w:val="20"/>
          <w:lang w:eastAsia="en-US"/>
        </w:rPr>
      </w:pPr>
      <w:r w:rsidRPr="00490D3B">
        <w:rPr>
          <w:rFonts w:eastAsia="Calibri"/>
          <w:bCs/>
          <w:sz w:val="20"/>
          <w:szCs w:val="20"/>
          <w:lang w:eastAsia="en-US"/>
        </w:rPr>
        <w:t>La información histórica de prestación de servicios constituye un insumo importante para este proceso. Los registros disponibles deben organizarse por periodos y relacionarse con los servicios o tecnologías correspondientes, de manera que sea posible identificar su comportamiento y establecer las frecuencias de utilización. También es necesario revisar y depurar los datos para reducir inconsistencias y conservar únicamente la información pertinente para los cálculos.</w:t>
      </w:r>
    </w:p>
    <w:p w14:paraId="4BB1806C" w14:textId="77777777" w:rsidR="005C2BBA" w:rsidRPr="00490D3B" w:rsidRDefault="005C2BBA" w:rsidP="005C2BBA">
      <w:pPr>
        <w:pStyle w:val="Normal0"/>
        <w:rPr>
          <w:rFonts w:eastAsia="Calibri"/>
          <w:bCs/>
          <w:sz w:val="20"/>
          <w:szCs w:val="20"/>
          <w:lang w:eastAsia="en-US"/>
        </w:rPr>
      </w:pPr>
    </w:p>
    <w:p w14:paraId="1360780E" w14:textId="3CC6FB79" w:rsidR="005C2BBA" w:rsidRPr="00490D3B" w:rsidRDefault="005C2BBA" w:rsidP="005C2BBA">
      <w:pPr>
        <w:pStyle w:val="Normal0"/>
        <w:rPr>
          <w:rFonts w:eastAsia="Calibri"/>
          <w:bCs/>
          <w:sz w:val="20"/>
          <w:szCs w:val="20"/>
          <w:lang w:eastAsia="en-US"/>
        </w:rPr>
      </w:pPr>
      <w:r w:rsidRPr="00490D3B">
        <w:rPr>
          <w:rFonts w:eastAsia="Calibri"/>
          <w:bCs/>
          <w:sz w:val="20"/>
          <w:szCs w:val="20"/>
          <w:lang w:eastAsia="en-US"/>
        </w:rPr>
        <w:t>Una forma de organizar la información consiste en establecer una relación entre los principales elementos de la nota técnica:</w:t>
      </w:r>
    </w:p>
    <w:p w14:paraId="38AA2600" w14:textId="7280AE0E" w:rsidR="005C2BBA" w:rsidRPr="00490D3B" w:rsidRDefault="005C2BBA" w:rsidP="005C2BBA">
      <w:pPr>
        <w:pStyle w:val="Normal0"/>
        <w:rPr>
          <w:rFonts w:eastAsia="Calibri"/>
          <w:bCs/>
          <w:sz w:val="20"/>
          <w:szCs w:val="20"/>
          <w:lang w:eastAsia="en-US"/>
        </w:rPr>
      </w:pPr>
    </w:p>
    <w:p w14:paraId="4DA24A0B" w14:textId="28F3C450" w:rsidR="005C2BBA" w:rsidRPr="00490D3B" w:rsidRDefault="005C2BBA" w:rsidP="005C2BBA">
      <w:pPr>
        <w:pStyle w:val="Normal0"/>
        <w:rPr>
          <w:rFonts w:eastAsia="Calibri"/>
          <w:bCs/>
          <w:sz w:val="20"/>
          <w:szCs w:val="20"/>
          <w:lang w:eastAsia="en-US"/>
        </w:rPr>
      </w:pPr>
      <w:r w:rsidRPr="00490D3B">
        <w:rPr>
          <w:rFonts w:eastAsia="Calibri"/>
          <w:b/>
          <w:bCs/>
          <w:sz w:val="20"/>
          <w:szCs w:val="20"/>
          <w:lang w:eastAsia="en-US"/>
        </w:rPr>
        <w:t>Tabla 2.</w:t>
      </w:r>
      <w:r w:rsidRPr="00490D3B">
        <w:rPr>
          <w:rFonts w:eastAsia="Calibri"/>
          <w:bCs/>
          <w:sz w:val="20"/>
          <w:szCs w:val="20"/>
          <w:lang w:eastAsia="en-US"/>
        </w:rPr>
        <w:t xml:space="preserve"> Elementos para la construcción y organización de la información de la nota técnica</w:t>
      </w:r>
    </w:p>
    <w:tbl>
      <w:tblPr>
        <w:tblStyle w:val="Tablaconcuadrcula"/>
        <w:tblW w:w="0" w:type="auto"/>
        <w:tblInd w:w="0" w:type="dxa"/>
        <w:tblLook w:val="04A0" w:firstRow="1" w:lastRow="0" w:firstColumn="1" w:lastColumn="0" w:noHBand="0" w:noVBand="1"/>
      </w:tblPr>
      <w:tblGrid>
        <w:gridCol w:w="2547"/>
        <w:gridCol w:w="3685"/>
        <w:gridCol w:w="3730"/>
      </w:tblGrid>
      <w:tr w:rsidR="005C2BBA" w:rsidRPr="00490D3B" w14:paraId="4E683D62" w14:textId="77777777" w:rsidTr="007533E1">
        <w:tc>
          <w:tcPr>
            <w:tcW w:w="2547" w:type="dxa"/>
          </w:tcPr>
          <w:p w14:paraId="5D50CB2C" w14:textId="6F381E49" w:rsidR="005C2BBA" w:rsidRPr="00490D3B" w:rsidRDefault="005C2BBA" w:rsidP="005C2BBA">
            <w:pPr>
              <w:pStyle w:val="Normal0"/>
              <w:rPr>
                <w:rFonts w:eastAsia="Calibri"/>
                <w:b/>
                <w:bCs/>
                <w:sz w:val="20"/>
                <w:szCs w:val="20"/>
                <w:lang w:eastAsia="en-US"/>
              </w:rPr>
            </w:pPr>
            <w:r w:rsidRPr="00490D3B">
              <w:rPr>
                <w:b/>
                <w:sz w:val="20"/>
                <w:szCs w:val="20"/>
              </w:rPr>
              <w:t>Elemento</w:t>
            </w:r>
          </w:p>
        </w:tc>
        <w:tc>
          <w:tcPr>
            <w:tcW w:w="3685" w:type="dxa"/>
          </w:tcPr>
          <w:p w14:paraId="7F8F3517" w14:textId="56EEC124" w:rsidR="005C2BBA" w:rsidRPr="00490D3B" w:rsidRDefault="005C2BBA" w:rsidP="005C2BBA">
            <w:pPr>
              <w:pStyle w:val="Normal0"/>
              <w:rPr>
                <w:rFonts w:eastAsia="Calibri"/>
                <w:b/>
                <w:bCs/>
                <w:sz w:val="20"/>
                <w:szCs w:val="20"/>
                <w:lang w:eastAsia="en-US"/>
              </w:rPr>
            </w:pPr>
            <w:r w:rsidRPr="00490D3B">
              <w:rPr>
                <w:b/>
                <w:sz w:val="20"/>
                <w:szCs w:val="20"/>
              </w:rPr>
              <w:t>Información que se organiza</w:t>
            </w:r>
          </w:p>
        </w:tc>
        <w:tc>
          <w:tcPr>
            <w:tcW w:w="3730" w:type="dxa"/>
          </w:tcPr>
          <w:p w14:paraId="33F4B8F4" w14:textId="20746E34" w:rsidR="005C2BBA" w:rsidRPr="00490D3B" w:rsidRDefault="005C2BBA" w:rsidP="005C2BBA">
            <w:pPr>
              <w:pStyle w:val="Normal0"/>
              <w:rPr>
                <w:rFonts w:eastAsia="Calibri"/>
                <w:b/>
                <w:bCs/>
                <w:sz w:val="20"/>
                <w:szCs w:val="20"/>
                <w:lang w:eastAsia="en-US"/>
              </w:rPr>
            </w:pPr>
            <w:r w:rsidRPr="00490D3B">
              <w:rPr>
                <w:b/>
                <w:sz w:val="20"/>
                <w:szCs w:val="20"/>
              </w:rPr>
              <w:t>Utilidad</w:t>
            </w:r>
          </w:p>
        </w:tc>
      </w:tr>
      <w:tr w:rsidR="005C2BBA" w:rsidRPr="00490D3B" w14:paraId="6858DD06" w14:textId="77777777" w:rsidTr="007533E1">
        <w:tc>
          <w:tcPr>
            <w:tcW w:w="2547" w:type="dxa"/>
          </w:tcPr>
          <w:p w14:paraId="1007C327" w14:textId="2DB4787D" w:rsidR="005C2BBA" w:rsidRPr="00490D3B" w:rsidRDefault="005C2BBA" w:rsidP="005C2BBA">
            <w:pPr>
              <w:pStyle w:val="Normal0"/>
              <w:rPr>
                <w:rFonts w:eastAsia="Calibri"/>
                <w:bCs/>
                <w:sz w:val="20"/>
                <w:szCs w:val="20"/>
                <w:lang w:eastAsia="en-US"/>
              </w:rPr>
            </w:pPr>
            <w:r w:rsidRPr="00490D3B">
              <w:rPr>
                <w:sz w:val="20"/>
                <w:szCs w:val="20"/>
              </w:rPr>
              <w:t>Población</w:t>
            </w:r>
          </w:p>
        </w:tc>
        <w:tc>
          <w:tcPr>
            <w:tcW w:w="3685" w:type="dxa"/>
          </w:tcPr>
          <w:p w14:paraId="14D66DE3" w14:textId="04F8009D" w:rsidR="005C2BBA" w:rsidRPr="00490D3B" w:rsidRDefault="005C2BBA" w:rsidP="005C2BBA">
            <w:pPr>
              <w:pStyle w:val="Normal0"/>
              <w:rPr>
                <w:rFonts w:eastAsia="Calibri"/>
                <w:bCs/>
                <w:sz w:val="20"/>
                <w:szCs w:val="20"/>
                <w:lang w:eastAsia="en-US"/>
              </w:rPr>
            </w:pPr>
            <w:r w:rsidRPr="00490D3B">
              <w:rPr>
                <w:sz w:val="20"/>
                <w:szCs w:val="20"/>
              </w:rPr>
              <w:t>Población objeto y población susceptible.</w:t>
            </w:r>
          </w:p>
        </w:tc>
        <w:tc>
          <w:tcPr>
            <w:tcW w:w="3730" w:type="dxa"/>
          </w:tcPr>
          <w:p w14:paraId="01425238" w14:textId="29774107" w:rsidR="005C2BBA" w:rsidRPr="00490D3B" w:rsidRDefault="005C2BBA" w:rsidP="005C2BBA">
            <w:pPr>
              <w:pStyle w:val="Normal0"/>
              <w:rPr>
                <w:rFonts w:eastAsia="Calibri"/>
                <w:bCs/>
                <w:sz w:val="20"/>
                <w:szCs w:val="20"/>
                <w:lang w:eastAsia="en-US"/>
              </w:rPr>
            </w:pPr>
            <w:r w:rsidRPr="00490D3B">
              <w:rPr>
                <w:sz w:val="20"/>
                <w:szCs w:val="20"/>
              </w:rPr>
              <w:t>Determinar el universo y los grupos considerados en las proyecciones.</w:t>
            </w:r>
          </w:p>
        </w:tc>
      </w:tr>
      <w:tr w:rsidR="005C2BBA" w:rsidRPr="00490D3B" w14:paraId="26DF9ACD" w14:textId="77777777" w:rsidTr="007533E1">
        <w:tc>
          <w:tcPr>
            <w:tcW w:w="2547" w:type="dxa"/>
          </w:tcPr>
          <w:p w14:paraId="34240F3D" w14:textId="3C7C2C97" w:rsidR="005C2BBA" w:rsidRPr="00490D3B" w:rsidRDefault="005C2BBA" w:rsidP="005C2BBA">
            <w:pPr>
              <w:pStyle w:val="Normal0"/>
              <w:rPr>
                <w:rFonts w:eastAsia="Calibri"/>
                <w:bCs/>
                <w:sz w:val="20"/>
                <w:szCs w:val="20"/>
                <w:lang w:eastAsia="en-US"/>
              </w:rPr>
            </w:pPr>
            <w:r w:rsidRPr="00490D3B">
              <w:rPr>
                <w:sz w:val="20"/>
                <w:szCs w:val="20"/>
              </w:rPr>
              <w:t>Servicios y tecnologías</w:t>
            </w:r>
          </w:p>
        </w:tc>
        <w:tc>
          <w:tcPr>
            <w:tcW w:w="3685" w:type="dxa"/>
          </w:tcPr>
          <w:p w14:paraId="66697737" w14:textId="393C472D" w:rsidR="005C2BBA" w:rsidRPr="00490D3B" w:rsidRDefault="005C2BBA" w:rsidP="005C2BBA">
            <w:pPr>
              <w:pStyle w:val="Normal0"/>
              <w:rPr>
                <w:rFonts w:eastAsia="Calibri"/>
                <w:bCs/>
                <w:sz w:val="20"/>
                <w:szCs w:val="20"/>
                <w:lang w:eastAsia="en-US"/>
              </w:rPr>
            </w:pPr>
            <w:r w:rsidRPr="00490D3B">
              <w:rPr>
                <w:sz w:val="20"/>
                <w:szCs w:val="20"/>
              </w:rPr>
              <w:t>Procedimientos, servicios y tecnologías con sus respectivos códigos.</w:t>
            </w:r>
          </w:p>
        </w:tc>
        <w:tc>
          <w:tcPr>
            <w:tcW w:w="3730" w:type="dxa"/>
          </w:tcPr>
          <w:p w14:paraId="770F73EF" w14:textId="5F0668DB" w:rsidR="005C2BBA" w:rsidRPr="00490D3B" w:rsidRDefault="005C2BBA" w:rsidP="005C2BBA">
            <w:pPr>
              <w:pStyle w:val="Normal0"/>
              <w:rPr>
                <w:rFonts w:eastAsia="Calibri"/>
                <w:bCs/>
                <w:sz w:val="20"/>
                <w:szCs w:val="20"/>
                <w:lang w:eastAsia="en-US"/>
              </w:rPr>
            </w:pPr>
            <w:r w:rsidRPr="00490D3B">
              <w:rPr>
                <w:sz w:val="20"/>
                <w:szCs w:val="20"/>
              </w:rPr>
              <w:t>Identificar las atenciones que serán proyectadas.</w:t>
            </w:r>
          </w:p>
        </w:tc>
      </w:tr>
      <w:tr w:rsidR="005C2BBA" w:rsidRPr="00490D3B" w14:paraId="74AF1DE1" w14:textId="77777777" w:rsidTr="007533E1">
        <w:tc>
          <w:tcPr>
            <w:tcW w:w="2547" w:type="dxa"/>
          </w:tcPr>
          <w:p w14:paraId="6B42716D" w14:textId="0F4A0DED" w:rsidR="005C2BBA" w:rsidRPr="00490D3B" w:rsidRDefault="005C2BBA" w:rsidP="005C2BBA">
            <w:pPr>
              <w:pStyle w:val="Normal0"/>
              <w:rPr>
                <w:rFonts w:eastAsia="Calibri"/>
                <w:bCs/>
                <w:sz w:val="20"/>
                <w:szCs w:val="20"/>
                <w:lang w:eastAsia="en-US"/>
              </w:rPr>
            </w:pPr>
            <w:r w:rsidRPr="00490D3B">
              <w:rPr>
                <w:sz w:val="20"/>
                <w:szCs w:val="20"/>
              </w:rPr>
              <w:t>Frecuencia de uso</w:t>
            </w:r>
          </w:p>
        </w:tc>
        <w:tc>
          <w:tcPr>
            <w:tcW w:w="3685" w:type="dxa"/>
          </w:tcPr>
          <w:p w14:paraId="6F066352" w14:textId="58835DC7" w:rsidR="005C2BBA" w:rsidRPr="00490D3B" w:rsidRDefault="005C2BBA" w:rsidP="005C2BBA">
            <w:pPr>
              <w:pStyle w:val="Normal0"/>
              <w:rPr>
                <w:rFonts w:eastAsia="Calibri"/>
                <w:bCs/>
                <w:sz w:val="20"/>
                <w:szCs w:val="20"/>
                <w:lang w:eastAsia="en-US"/>
              </w:rPr>
            </w:pPr>
            <w:r w:rsidRPr="00490D3B">
              <w:rPr>
                <w:sz w:val="20"/>
                <w:szCs w:val="20"/>
              </w:rPr>
              <w:t>Registros históricos y cantidades utilizadas por periodo.</w:t>
            </w:r>
          </w:p>
        </w:tc>
        <w:tc>
          <w:tcPr>
            <w:tcW w:w="3730" w:type="dxa"/>
          </w:tcPr>
          <w:p w14:paraId="631D4363" w14:textId="13F1860F" w:rsidR="005C2BBA" w:rsidRPr="00490D3B" w:rsidRDefault="005C2BBA" w:rsidP="005C2BBA">
            <w:pPr>
              <w:pStyle w:val="Normal0"/>
              <w:rPr>
                <w:rFonts w:eastAsia="Calibri"/>
                <w:bCs/>
                <w:sz w:val="20"/>
                <w:szCs w:val="20"/>
                <w:lang w:eastAsia="en-US"/>
              </w:rPr>
            </w:pPr>
            <w:r w:rsidRPr="00490D3B">
              <w:rPr>
                <w:sz w:val="20"/>
                <w:szCs w:val="20"/>
              </w:rPr>
              <w:t>Estimar la utilización esperada.</w:t>
            </w:r>
          </w:p>
        </w:tc>
      </w:tr>
      <w:tr w:rsidR="005C2BBA" w:rsidRPr="00490D3B" w14:paraId="35C89042" w14:textId="77777777" w:rsidTr="007533E1">
        <w:tc>
          <w:tcPr>
            <w:tcW w:w="2547" w:type="dxa"/>
          </w:tcPr>
          <w:p w14:paraId="7D1A36AC" w14:textId="4B86E128" w:rsidR="005C2BBA" w:rsidRPr="00490D3B" w:rsidRDefault="005C2BBA" w:rsidP="005C2BBA">
            <w:pPr>
              <w:pStyle w:val="Normal0"/>
              <w:rPr>
                <w:rFonts w:eastAsia="Calibri"/>
                <w:bCs/>
                <w:sz w:val="20"/>
                <w:szCs w:val="20"/>
                <w:lang w:eastAsia="en-US"/>
              </w:rPr>
            </w:pPr>
            <w:r w:rsidRPr="00490D3B">
              <w:rPr>
                <w:sz w:val="20"/>
                <w:szCs w:val="20"/>
              </w:rPr>
              <w:t>Costos y tarifas</w:t>
            </w:r>
          </w:p>
        </w:tc>
        <w:tc>
          <w:tcPr>
            <w:tcW w:w="3685" w:type="dxa"/>
          </w:tcPr>
          <w:p w14:paraId="71B06116" w14:textId="42B1797A" w:rsidR="005C2BBA" w:rsidRPr="00490D3B" w:rsidRDefault="005C2BBA" w:rsidP="005C2BBA">
            <w:pPr>
              <w:pStyle w:val="Normal0"/>
              <w:rPr>
                <w:rFonts w:eastAsia="Calibri"/>
                <w:bCs/>
                <w:sz w:val="20"/>
                <w:szCs w:val="20"/>
                <w:lang w:eastAsia="en-US"/>
              </w:rPr>
            </w:pPr>
            <w:r w:rsidRPr="00490D3B">
              <w:rPr>
                <w:sz w:val="20"/>
                <w:szCs w:val="20"/>
              </w:rPr>
              <w:t>Valores unitarios, costos y tarifas aplicables.</w:t>
            </w:r>
          </w:p>
        </w:tc>
        <w:tc>
          <w:tcPr>
            <w:tcW w:w="3730" w:type="dxa"/>
          </w:tcPr>
          <w:p w14:paraId="16898BE5" w14:textId="33B0A187" w:rsidR="005C2BBA" w:rsidRPr="00490D3B" w:rsidRDefault="005C2BBA" w:rsidP="005C2BBA">
            <w:pPr>
              <w:pStyle w:val="Normal0"/>
              <w:rPr>
                <w:rFonts w:eastAsia="Calibri"/>
                <w:bCs/>
                <w:sz w:val="20"/>
                <w:szCs w:val="20"/>
                <w:lang w:eastAsia="en-US"/>
              </w:rPr>
            </w:pPr>
            <w:r w:rsidRPr="00490D3B">
              <w:rPr>
                <w:sz w:val="20"/>
                <w:szCs w:val="20"/>
              </w:rPr>
              <w:t>Proyectar los valores económicos.</w:t>
            </w:r>
          </w:p>
        </w:tc>
      </w:tr>
      <w:tr w:rsidR="005C2BBA" w:rsidRPr="00490D3B" w14:paraId="626EF04B" w14:textId="77777777" w:rsidTr="007533E1">
        <w:tc>
          <w:tcPr>
            <w:tcW w:w="2547" w:type="dxa"/>
          </w:tcPr>
          <w:p w14:paraId="6A52F310" w14:textId="58DBA3B5" w:rsidR="005C2BBA" w:rsidRPr="00490D3B" w:rsidRDefault="005C2BBA" w:rsidP="005C2BBA">
            <w:pPr>
              <w:pStyle w:val="Normal0"/>
              <w:rPr>
                <w:rFonts w:eastAsia="Calibri"/>
                <w:bCs/>
                <w:sz w:val="20"/>
                <w:szCs w:val="20"/>
                <w:lang w:eastAsia="en-US"/>
              </w:rPr>
            </w:pPr>
            <w:r w:rsidRPr="00490D3B">
              <w:rPr>
                <w:sz w:val="20"/>
                <w:szCs w:val="20"/>
              </w:rPr>
              <w:t>Riesgos</w:t>
            </w:r>
          </w:p>
        </w:tc>
        <w:tc>
          <w:tcPr>
            <w:tcW w:w="3685" w:type="dxa"/>
          </w:tcPr>
          <w:p w14:paraId="0B43AAC5" w14:textId="2D8E2386" w:rsidR="005C2BBA" w:rsidRPr="00490D3B" w:rsidRDefault="005C2BBA" w:rsidP="005C2BBA">
            <w:pPr>
              <w:pStyle w:val="Normal0"/>
              <w:rPr>
                <w:rFonts w:eastAsia="Calibri"/>
                <w:bCs/>
                <w:sz w:val="20"/>
                <w:szCs w:val="20"/>
                <w:lang w:eastAsia="en-US"/>
              </w:rPr>
            </w:pPr>
            <w:r w:rsidRPr="00490D3B">
              <w:rPr>
                <w:sz w:val="20"/>
                <w:szCs w:val="20"/>
              </w:rPr>
              <w:t>Riesgo primario y riesgo técnico.</w:t>
            </w:r>
          </w:p>
        </w:tc>
        <w:tc>
          <w:tcPr>
            <w:tcW w:w="3730" w:type="dxa"/>
          </w:tcPr>
          <w:p w14:paraId="3DFB0801" w14:textId="1A3174BD" w:rsidR="005C2BBA" w:rsidRPr="00490D3B" w:rsidRDefault="005C2BBA" w:rsidP="005C2BBA">
            <w:pPr>
              <w:pStyle w:val="Normal0"/>
              <w:rPr>
                <w:rFonts w:eastAsia="Calibri"/>
                <w:bCs/>
                <w:sz w:val="20"/>
                <w:szCs w:val="20"/>
                <w:lang w:eastAsia="en-US"/>
              </w:rPr>
            </w:pPr>
            <w:r w:rsidRPr="00490D3B">
              <w:rPr>
                <w:sz w:val="20"/>
                <w:szCs w:val="20"/>
              </w:rPr>
              <w:t>Considerar posibles variaciones en las necesidades y utilización.</w:t>
            </w:r>
          </w:p>
        </w:tc>
      </w:tr>
      <w:tr w:rsidR="005C2BBA" w:rsidRPr="00490D3B" w14:paraId="68A7A900" w14:textId="77777777" w:rsidTr="007533E1">
        <w:tc>
          <w:tcPr>
            <w:tcW w:w="2547" w:type="dxa"/>
          </w:tcPr>
          <w:p w14:paraId="55055698" w14:textId="11CB2654" w:rsidR="005C2BBA" w:rsidRPr="00490D3B" w:rsidRDefault="005C2BBA" w:rsidP="005C2BBA">
            <w:pPr>
              <w:pStyle w:val="Normal0"/>
              <w:rPr>
                <w:rFonts w:eastAsia="Calibri"/>
                <w:bCs/>
                <w:sz w:val="20"/>
                <w:szCs w:val="20"/>
                <w:lang w:eastAsia="en-US"/>
              </w:rPr>
            </w:pPr>
            <w:r w:rsidRPr="00490D3B">
              <w:rPr>
                <w:sz w:val="20"/>
                <w:szCs w:val="20"/>
              </w:rPr>
              <w:t>Seguimiento</w:t>
            </w:r>
          </w:p>
        </w:tc>
        <w:tc>
          <w:tcPr>
            <w:tcW w:w="3685" w:type="dxa"/>
          </w:tcPr>
          <w:p w14:paraId="48D7EDE5" w14:textId="40F59C3A" w:rsidR="005C2BBA" w:rsidRPr="00490D3B" w:rsidRDefault="005C2BBA" w:rsidP="005C2BBA">
            <w:pPr>
              <w:pStyle w:val="Normal0"/>
              <w:rPr>
                <w:rFonts w:eastAsia="Calibri"/>
                <w:bCs/>
                <w:sz w:val="20"/>
                <w:szCs w:val="20"/>
                <w:lang w:eastAsia="en-US"/>
              </w:rPr>
            </w:pPr>
            <w:r w:rsidRPr="00490D3B">
              <w:rPr>
                <w:sz w:val="20"/>
                <w:szCs w:val="20"/>
              </w:rPr>
              <w:t>Indicadores, resultados y desviaciones.</w:t>
            </w:r>
          </w:p>
        </w:tc>
        <w:tc>
          <w:tcPr>
            <w:tcW w:w="3730" w:type="dxa"/>
          </w:tcPr>
          <w:p w14:paraId="1ECE3A84" w14:textId="76582F14" w:rsidR="005C2BBA" w:rsidRPr="00490D3B" w:rsidRDefault="005C2BBA" w:rsidP="005C2BBA">
            <w:pPr>
              <w:pStyle w:val="Normal0"/>
              <w:rPr>
                <w:rFonts w:eastAsia="Calibri"/>
                <w:bCs/>
                <w:sz w:val="20"/>
                <w:szCs w:val="20"/>
                <w:lang w:eastAsia="en-US"/>
              </w:rPr>
            </w:pPr>
            <w:r w:rsidRPr="00490D3B">
              <w:rPr>
                <w:sz w:val="20"/>
                <w:szCs w:val="20"/>
              </w:rPr>
              <w:t>Facilitar el control y la actualización de la nota técnica.</w:t>
            </w:r>
          </w:p>
        </w:tc>
      </w:tr>
    </w:tbl>
    <w:p w14:paraId="2ABEE8E3" w14:textId="77777777" w:rsidR="005C2BBA" w:rsidRPr="00490D3B" w:rsidRDefault="005C2BBA" w:rsidP="005C2BBA">
      <w:pPr>
        <w:pStyle w:val="Normal0"/>
        <w:rPr>
          <w:rFonts w:eastAsia="Calibri"/>
          <w:bCs/>
          <w:sz w:val="20"/>
          <w:szCs w:val="20"/>
          <w:lang w:eastAsia="en-US"/>
        </w:rPr>
      </w:pPr>
    </w:p>
    <w:p w14:paraId="50DAE947" w14:textId="77777777" w:rsidR="005C2BBA" w:rsidRPr="00490D3B" w:rsidRDefault="005C2BBA" w:rsidP="005C2BBA">
      <w:pPr>
        <w:pStyle w:val="Normal0"/>
        <w:rPr>
          <w:rFonts w:eastAsia="Calibri"/>
          <w:bCs/>
          <w:sz w:val="20"/>
          <w:szCs w:val="20"/>
          <w:lang w:eastAsia="en-US"/>
        </w:rPr>
      </w:pPr>
      <w:r w:rsidRPr="00490D3B">
        <w:rPr>
          <w:rFonts w:eastAsia="Calibri"/>
          <w:bCs/>
          <w:sz w:val="20"/>
          <w:szCs w:val="20"/>
          <w:lang w:eastAsia="en-US"/>
        </w:rPr>
        <w:t>La organización debe permitir conservar la trazabilidad de las fuentes y de los cálculos realizados, de modo que cada resultado pueda ser revisado y sustentado. En el proceso de validación se verifica, entre otros aspectos, la correspondencia entre población, frecuencias, códigos, tarifas y documentación de soporte.</w:t>
      </w:r>
    </w:p>
    <w:p w14:paraId="79343822" w14:textId="77777777" w:rsidR="005C2BBA" w:rsidRPr="00490D3B" w:rsidRDefault="005C2BBA" w:rsidP="005C2BBA">
      <w:pPr>
        <w:pStyle w:val="Normal0"/>
        <w:rPr>
          <w:rFonts w:eastAsia="Calibri"/>
          <w:bCs/>
          <w:sz w:val="20"/>
          <w:szCs w:val="20"/>
          <w:lang w:eastAsia="en-US"/>
        </w:rPr>
      </w:pPr>
    </w:p>
    <w:p w14:paraId="1AF824C7" w14:textId="24EE972C" w:rsidR="005C2BBA" w:rsidRPr="00490D3B" w:rsidRDefault="005C2BBA" w:rsidP="005C2BBA">
      <w:pPr>
        <w:pStyle w:val="Normal0"/>
        <w:rPr>
          <w:rFonts w:eastAsia="Calibri"/>
          <w:bCs/>
          <w:sz w:val="20"/>
          <w:szCs w:val="20"/>
          <w:lang w:eastAsia="en-US"/>
        </w:rPr>
      </w:pPr>
      <w:r w:rsidRPr="00490D3B">
        <w:rPr>
          <w:rFonts w:eastAsia="Calibri"/>
          <w:bCs/>
          <w:sz w:val="20"/>
          <w:szCs w:val="20"/>
          <w:lang w:eastAsia="en-US"/>
        </w:rPr>
        <w:t>Finalmente, la información consolidada constituye la base para integrar la nota técnica y realizar posteriormente su validación, seguimiento y actualización de acuerdo con los resultados obtenidos durante la ejecución del acuerdo de voluntades.</w:t>
      </w:r>
    </w:p>
    <w:p w14:paraId="702A2FF9" w14:textId="1D7F5E1E" w:rsidR="00243415" w:rsidRPr="00490D3B" w:rsidRDefault="00243415" w:rsidP="005C2BBA">
      <w:pPr>
        <w:pStyle w:val="Normal0"/>
        <w:rPr>
          <w:rFonts w:eastAsia="Calibri"/>
          <w:bCs/>
          <w:sz w:val="20"/>
          <w:szCs w:val="20"/>
          <w:lang w:eastAsia="en-US"/>
        </w:rPr>
      </w:pPr>
    </w:p>
    <w:p w14:paraId="3A4A65B6" w14:textId="6F853466" w:rsidR="00243415" w:rsidRPr="00490D3B" w:rsidRDefault="00243415" w:rsidP="00243415">
      <w:pPr>
        <w:pStyle w:val="Normal0"/>
        <w:jc w:val="center"/>
        <w:rPr>
          <w:rFonts w:eastAsia="Calibri"/>
          <w:bCs/>
          <w:sz w:val="20"/>
          <w:szCs w:val="20"/>
          <w:lang w:eastAsia="en-US"/>
        </w:rPr>
      </w:pPr>
      <w:r w:rsidRPr="00490D3B">
        <w:rPr>
          <w:rFonts w:eastAsia="Calibri"/>
          <w:bCs/>
          <w:noProof/>
          <w:sz w:val="20"/>
          <w:szCs w:val="20"/>
          <w:lang w:val="en-US" w:eastAsia="en-US"/>
        </w:rPr>
        <w:lastRenderedPageBreak/>
        <mc:AlternateContent>
          <mc:Choice Requires="wps">
            <w:drawing>
              <wp:inline distT="0" distB="0" distL="0" distR="0" wp14:anchorId="42795460" wp14:editId="3B43C954">
                <wp:extent cx="5287617" cy="1404620"/>
                <wp:effectExtent l="0" t="0" r="8890" b="0"/>
                <wp:docPr id="12"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287617" cy="1404620"/>
                        </a:xfrm>
                        <a:prstGeom prst="rect">
                          <a:avLst/>
                        </a:prstGeom>
                        <a:solidFill>
                          <a:schemeClr val="accent1">
                            <a:lumMod val="40000"/>
                            <a:lumOff val="60000"/>
                          </a:schemeClr>
                        </a:solidFill>
                        <a:ln w="9525">
                          <a:noFill/>
                          <a:miter lim="800000"/>
                          <a:headEnd/>
                          <a:tailEnd/>
                        </a:ln>
                      </wps:spPr>
                      <wps:txbx>
                        <w:txbxContent>
                          <w:p w14:paraId="2AAA0CD6" w14:textId="5FA6C2E2" w:rsidR="00243415" w:rsidRPr="00243415" w:rsidRDefault="00243415">
                            <w:pPr>
                              <w:rPr>
                                <w:sz w:val="20"/>
                                <w:szCs w:val="20"/>
                              </w:rPr>
                            </w:pPr>
                            <w:r w:rsidRPr="00243415">
                              <w:rPr>
                                <w:sz w:val="20"/>
                                <w:szCs w:val="20"/>
                              </w:rPr>
                              <w:t>Para complementar la información relacionada con la construcción de la nota técnica, se recomienda consultar el documento “Nota técnica: Decreto 441 de 2022. Lineamientos sobre su construcción, uso y seguimiento”, disponible en el siguiente enlace:</w:t>
                            </w:r>
                            <w:r>
                              <w:rPr>
                                <w:sz w:val="20"/>
                                <w:szCs w:val="20"/>
                              </w:rPr>
                              <w:t xml:space="preserve"> </w:t>
                            </w:r>
                            <w:hyperlink r:id="rId27" w:history="1">
                              <w:r w:rsidRPr="00243415">
                                <w:rPr>
                                  <w:rStyle w:val="Hipervnculo"/>
                                  <w:sz w:val="20"/>
                                  <w:szCs w:val="20"/>
                                </w:rPr>
                                <w:t>https://www.minsalud.gov.co/sites/rid/Lists/BibliotecaDigital/RIDE/VP/DOA/nota-tecnica-decreto-441-de-2022.pdf</w:t>
                              </w:r>
                            </w:hyperlink>
                            <w:r w:rsidRPr="00243415">
                              <w:rPr>
                                <w:sz w:val="20"/>
                                <w:szCs w:val="20"/>
                              </w:rPr>
                              <w:t xml:space="preserve"> </w:t>
                            </w:r>
                          </w:p>
                        </w:txbxContent>
                      </wps:txbx>
                      <wps:bodyPr rot="0" vert="horz" wrap="square" lIns="91440" tIns="45720" rIns="91440" bIns="45720" anchor="t" anchorCtr="0">
                        <a:spAutoFit/>
                      </wps:bodyPr>
                    </wps:wsp>
                  </a:graphicData>
                </a:graphic>
              </wp:inline>
            </w:drawing>
          </mc:Choice>
          <mc:Fallback>
            <w:pict>
              <v:shape w14:anchorId="42795460" id="_x0000_s1028" type="#_x0000_t202" style="width:416.35pt;height:110.6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" fillcolor="#b8cce4 [1300]" stroked="f">
                <v:textbox style="mso-fit-shape-to-text:t">
                  <w:txbxContent>
                    <w:p w14:paraId="2AAA0CD6" w14:textId="5FA6C2E2" w:rsidR="00243415" w:rsidRPr="00243415" w:rsidRDefault="00243415">
                      <w:pPr>
                        <w:rPr>
                          <w:sz w:val="20"/>
                          <w:szCs w:val="20"/>
                        </w:rPr>
                      </w:pPr>
                      <w:r w:rsidRPr="00243415">
                        <w:rPr>
                          <w:sz w:val="20"/>
                          <w:szCs w:val="20"/>
                        </w:rPr>
                        <w:t>Para complementar la información relacionada con la construcción de la nota técnica, se recomienda consultar el documento “Nota técnica: Decreto 441 de 2022. Lineamientos sobre su construcción, uso y seguimiento”, disponible en el siguiente enlace:</w:t>
                      </w:r>
                      <w:r>
                        <w:rPr>
                          <w:sz w:val="20"/>
                          <w:szCs w:val="20"/>
                        </w:rPr>
                        <w:t xml:space="preserve"> </w:t>
                      </w:r>
                      <w:hyperlink r:id="rId28" w:history="1">
                        <w:r w:rsidRPr="00243415">
                          <w:rPr>
                            <w:rStyle w:val="Hipervnculo"/>
                            <w:sz w:val="20"/>
                            <w:szCs w:val="20"/>
                          </w:rPr>
                          <w:t>https://www.minsalud.gov.co/sites/rid/Lists/BibliotecaDigital/RIDE/VP/DOA/nota-tecnica-decreto-441-de-2022.pdf</w:t>
                        </w:r>
                      </w:hyperlink>
                      <w:r w:rsidRPr="00243415">
                        <w:rPr>
                          <w:sz w:val="20"/>
                          <w:szCs w:val="20"/>
                        </w:rPr>
                        <w:t xml:space="preserve"> </w:t>
                      </w:r>
                    </w:p>
                  </w:txbxContent>
                </v:textbox>
                <w10:anchorlock/>
              </v:shape>
            </w:pict>
          </mc:Fallback>
        </mc:AlternateContent>
      </w:r>
    </w:p>
    <w:p w14:paraId="2BA3DA09" w14:textId="328F7FFF" w:rsidR="007533E1" w:rsidRPr="00490D3B" w:rsidRDefault="007533E1" w:rsidP="005C2BBA">
      <w:pPr>
        <w:pStyle w:val="Normal0"/>
        <w:rPr>
          <w:rFonts w:eastAsia="Calibri"/>
          <w:bCs/>
          <w:sz w:val="20"/>
          <w:szCs w:val="20"/>
          <w:lang w:eastAsia="en-US"/>
        </w:rPr>
      </w:pPr>
    </w:p>
    <w:p w14:paraId="604935AF" w14:textId="4C1CFB86" w:rsidR="00D743F1" w:rsidRPr="00490D3B" w:rsidRDefault="00D743F1" w:rsidP="00D743F1">
      <w:pPr>
        <w:pStyle w:val="Normal0"/>
        <w:numPr>
          <w:ilvl w:val="1"/>
          <w:numId w:val="30"/>
        </w:numPr>
        <w:rPr>
          <w:rFonts w:eastAsia="Calibri"/>
          <w:b/>
          <w:bCs/>
          <w:sz w:val="20"/>
          <w:szCs w:val="20"/>
          <w:lang w:eastAsia="en-US"/>
        </w:rPr>
      </w:pPr>
      <w:r w:rsidRPr="00490D3B">
        <w:rPr>
          <w:rFonts w:eastAsia="Calibri"/>
          <w:b/>
          <w:bCs/>
          <w:sz w:val="20"/>
          <w:szCs w:val="20"/>
          <w:lang w:eastAsia="en-US"/>
        </w:rPr>
        <w:t>Nota técnica según la modalidad de contratación</w:t>
      </w:r>
    </w:p>
    <w:p w14:paraId="0EEA2F81" w14:textId="492D29F3" w:rsidR="00CD16B4" w:rsidRPr="00490D3B" w:rsidRDefault="00CD16B4" w:rsidP="00CD16B4">
      <w:pPr>
        <w:pStyle w:val="Normal0"/>
        <w:rPr>
          <w:rFonts w:eastAsia="Calibri"/>
          <w:bCs/>
          <w:sz w:val="20"/>
          <w:szCs w:val="20"/>
          <w:lang w:eastAsia="en-US"/>
        </w:rPr>
      </w:pPr>
    </w:p>
    <w:p w14:paraId="41798DDB" w14:textId="77777777" w:rsidR="00CD16B4" w:rsidRPr="00490D3B" w:rsidRDefault="00CD16B4" w:rsidP="00CD16B4">
      <w:pPr>
        <w:pStyle w:val="Normal0"/>
        <w:rPr>
          <w:rFonts w:eastAsia="Calibri"/>
          <w:bCs/>
          <w:sz w:val="20"/>
          <w:szCs w:val="20"/>
          <w:lang w:eastAsia="en-US"/>
        </w:rPr>
      </w:pPr>
      <w:r w:rsidRPr="00490D3B">
        <w:rPr>
          <w:rFonts w:eastAsia="Calibri"/>
          <w:bCs/>
          <w:sz w:val="20"/>
          <w:szCs w:val="20"/>
          <w:lang w:eastAsia="en-US"/>
        </w:rPr>
        <w:t>La nota técnica debe guardar correspondencia con la modalidad de contratación establecida en el acuerdo de voluntades, debido a que las condiciones de reconocimiento económico, proyección de servicios y gestión del riesgo pueden variar según la forma en que se acuerde el pago. Por esta razón, la información poblacional, las frecuencias de uso, los servicios y tecnologías, los costos y las tarifas deben organizarse de acuerdo con las características de la modalidad seleccionada.</w:t>
      </w:r>
    </w:p>
    <w:p w14:paraId="6F43D110" w14:textId="77777777" w:rsidR="00CD16B4" w:rsidRPr="00490D3B" w:rsidRDefault="00CD16B4" w:rsidP="00CD16B4">
      <w:pPr>
        <w:pStyle w:val="Normal0"/>
        <w:rPr>
          <w:rFonts w:eastAsia="Calibri"/>
          <w:bCs/>
          <w:sz w:val="20"/>
          <w:szCs w:val="20"/>
          <w:lang w:eastAsia="en-US"/>
        </w:rPr>
      </w:pPr>
    </w:p>
    <w:p w14:paraId="17B85018" w14:textId="77777777" w:rsidR="00CD16B4" w:rsidRPr="00490D3B" w:rsidRDefault="00CD16B4" w:rsidP="00CD16B4">
      <w:pPr>
        <w:pStyle w:val="Normal0"/>
        <w:rPr>
          <w:rFonts w:eastAsia="Calibri"/>
          <w:bCs/>
          <w:sz w:val="20"/>
          <w:szCs w:val="20"/>
          <w:lang w:eastAsia="en-US"/>
        </w:rPr>
      </w:pPr>
      <w:r w:rsidRPr="00490D3B">
        <w:rPr>
          <w:rFonts w:eastAsia="Calibri"/>
          <w:bCs/>
          <w:sz w:val="20"/>
          <w:szCs w:val="20"/>
          <w:lang w:eastAsia="en-US"/>
        </w:rPr>
        <w:t>En las modalidades de pago prospectivas, el reconocimiento económico se establece previamente a la prestación de los servicios, con base en una proyección de las necesidades de atención y de los recursos requeridos. En este grupo pueden encontrarse mecanismos como la capitación, los pagos globales prospectivos y los paquetes o conjuntos integrales de atención, según las condiciones acordadas.</w:t>
      </w:r>
    </w:p>
    <w:p w14:paraId="14E5772C" w14:textId="77777777" w:rsidR="00CD16B4" w:rsidRPr="00490D3B" w:rsidRDefault="00CD16B4" w:rsidP="00CD16B4">
      <w:pPr>
        <w:pStyle w:val="Normal0"/>
        <w:rPr>
          <w:rFonts w:eastAsia="Calibri"/>
          <w:bCs/>
          <w:sz w:val="20"/>
          <w:szCs w:val="20"/>
          <w:lang w:eastAsia="en-US"/>
        </w:rPr>
      </w:pPr>
    </w:p>
    <w:p w14:paraId="64AF310F" w14:textId="694DC2C5" w:rsidR="00CD16B4" w:rsidRPr="00490D3B" w:rsidRDefault="00CD16B4" w:rsidP="00CD16B4">
      <w:pPr>
        <w:pStyle w:val="Normal0"/>
        <w:rPr>
          <w:rFonts w:eastAsia="Calibri"/>
          <w:bCs/>
          <w:sz w:val="20"/>
          <w:szCs w:val="20"/>
          <w:lang w:eastAsia="en-US"/>
        </w:rPr>
      </w:pPr>
      <w:r w:rsidRPr="00490D3B">
        <w:rPr>
          <w:rFonts w:eastAsia="Calibri"/>
          <w:bCs/>
          <w:sz w:val="20"/>
          <w:szCs w:val="20"/>
          <w:lang w:eastAsia="en-US"/>
        </w:rPr>
        <w:t>En las modalidades retrospectivas, el reconocimiento económico se determina a partir de los servicios efectivamente prestados y soportados durante el periodo correspondiente. El pago por servicio constituye un ejemplo de esta modalidad.</w:t>
      </w:r>
    </w:p>
    <w:p w14:paraId="6735E192" w14:textId="191B8E5C" w:rsidR="00CD16B4" w:rsidRPr="00490D3B" w:rsidRDefault="00CD16B4" w:rsidP="00CD16B4">
      <w:pPr>
        <w:pStyle w:val="Normal0"/>
        <w:rPr>
          <w:rFonts w:eastAsia="Calibri"/>
          <w:bCs/>
          <w:sz w:val="20"/>
          <w:szCs w:val="20"/>
          <w:lang w:eastAsia="en-US"/>
        </w:rPr>
      </w:pPr>
    </w:p>
    <w:p w14:paraId="51311D9D" w14:textId="0A510456" w:rsidR="00CD16B4" w:rsidRPr="00490D3B" w:rsidRDefault="00CD16B4" w:rsidP="00CD16B4">
      <w:pPr>
        <w:pStyle w:val="Normal0"/>
        <w:rPr>
          <w:rFonts w:eastAsia="Calibri"/>
          <w:bCs/>
          <w:sz w:val="20"/>
          <w:szCs w:val="20"/>
          <w:lang w:eastAsia="en-US"/>
        </w:rPr>
      </w:pPr>
      <w:r w:rsidRPr="00490D3B">
        <w:rPr>
          <w:rFonts w:eastAsia="Calibri"/>
          <w:b/>
          <w:bCs/>
          <w:sz w:val="20"/>
          <w:szCs w:val="20"/>
          <w:lang w:eastAsia="en-US"/>
        </w:rPr>
        <w:t>Tabla 3.</w:t>
      </w:r>
      <w:r w:rsidRPr="00490D3B">
        <w:rPr>
          <w:rFonts w:eastAsia="Calibri"/>
          <w:bCs/>
          <w:sz w:val="20"/>
          <w:szCs w:val="20"/>
          <w:lang w:eastAsia="en-US"/>
        </w:rPr>
        <w:t xml:space="preserve"> Características de la nota técnica según la modalidad de contratación</w:t>
      </w:r>
    </w:p>
    <w:tbl>
      <w:tblPr>
        <w:tblStyle w:val="Tablaconcuadrcula"/>
        <w:tblW w:w="0" w:type="auto"/>
        <w:tblInd w:w="0" w:type="dxa"/>
        <w:tblLook w:val="04A0" w:firstRow="1" w:lastRow="0" w:firstColumn="1" w:lastColumn="0" w:noHBand="0" w:noVBand="1"/>
      </w:tblPr>
      <w:tblGrid>
        <w:gridCol w:w="2405"/>
        <w:gridCol w:w="3827"/>
        <w:gridCol w:w="3730"/>
      </w:tblGrid>
      <w:tr w:rsidR="00CD16B4" w:rsidRPr="00490D3B" w14:paraId="09FBEE51" w14:textId="77777777" w:rsidTr="007533E1">
        <w:tc>
          <w:tcPr>
            <w:tcW w:w="2405" w:type="dxa"/>
          </w:tcPr>
          <w:p w14:paraId="2AD023D3" w14:textId="0D4FAE7B" w:rsidR="00CD16B4" w:rsidRPr="00490D3B" w:rsidRDefault="00CD16B4" w:rsidP="00CD16B4">
            <w:pPr>
              <w:pStyle w:val="Normal0"/>
              <w:rPr>
                <w:rFonts w:eastAsia="Calibri"/>
                <w:b/>
                <w:bCs/>
                <w:sz w:val="20"/>
                <w:szCs w:val="20"/>
                <w:lang w:eastAsia="en-US"/>
              </w:rPr>
            </w:pPr>
            <w:r w:rsidRPr="00490D3B">
              <w:rPr>
                <w:b/>
                <w:sz w:val="20"/>
                <w:szCs w:val="20"/>
              </w:rPr>
              <w:t>Modalidad de pago</w:t>
            </w:r>
          </w:p>
        </w:tc>
        <w:tc>
          <w:tcPr>
            <w:tcW w:w="3827" w:type="dxa"/>
          </w:tcPr>
          <w:p w14:paraId="0DFB1F63" w14:textId="44E562CD" w:rsidR="00CD16B4" w:rsidRPr="00490D3B" w:rsidRDefault="00CD16B4" w:rsidP="00CD16B4">
            <w:pPr>
              <w:pStyle w:val="Normal0"/>
              <w:rPr>
                <w:rFonts w:eastAsia="Calibri"/>
                <w:b/>
                <w:bCs/>
                <w:sz w:val="20"/>
                <w:szCs w:val="20"/>
                <w:lang w:eastAsia="en-US"/>
              </w:rPr>
            </w:pPr>
            <w:r w:rsidRPr="00490D3B">
              <w:rPr>
                <w:b/>
                <w:sz w:val="20"/>
                <w:szCs w:val="20"/>
              </w:rPr>
              <w:t>Característica</w:t>
            </w:r>
          </w:p>
        </w:tc>
        <w:tc>
          <w:tcPr>
            <w:tcW w:w="3730" w:type="dxa"/>
          </w:tcPr>
          <w:p w14:paraId="75EFC23F" w14:textId="2F0C1C34" w:rsidR="00CD16B4" w:rsidRPr="00490D3B" w:rsidRDefault="00CD16B4" w:rsidP="00CD16B4">
            <w:pPr>
              <w:pStyle w:val="Normal0"/>
              <w:rPr>
                <w:rFonts w:eastAsia="Calibri"/>
                <w:b/>
                <w:bCs/>
                <w:sz w:val="20"/>
                <w:szCs w:val="20"/>
                <w:lang w:eastAsia="en-US"/>
              </w:rPr>
            </w:pPr>
            <w:r w:rsidRPr="00490D3B">
              <w:rPr>
                <w:b/>
                <w:sz w:val="20"/>
                <w:szCs w:val="20"/>
              </w:rPr>
              <w:t>Elementos de la nota técnica que adquieren especial relevancia</w:t>
            </w:r>
          </w:p>
        </w:tc>
      </w:tr>
      <w:tr w:rsidR="00CD16B4" w:rsidRPr="00490D3B" w14:paraId="5C924ABF" w14:textId="77777777" w:rsidTr="007533E1">
        <w:tc>
          <w:tcPr>
            <w:tcW w:w="2405" w:type="dxa"/>
          </w:tcPr>
          <w:p w14:paraId="20F23D9E" w14:textId="7EA2C689" w:rsidR="00CD16B4" w:rsidRPr="00490D3B" w:rsidRDefault="00CD16B4" w:rsidP="00CD16B4">
            <w:pPr>
              <w:pStyle w:val="Normal0"/>
              <w:rPr>
                <w:rFonts w:eastAsia="Calibri"/>
                <w:bCs/>
                <w:sz w:val="20"/>
                <w:szCs w:val="20"/>
                <w:lang w:eastAsia="en-US"/>
              </w:rPr>
            </w:pPr>
            <w:r w:rsidRPr="00490D3B">
              <w:rPr>
                <w:sz w:val="20"/>
                <w:szCs w:val="20"/>
              </w:rPr>
              <w:t>Prospectiva</w:t>
            </w:r>
          </w:p>
        </w:tc>
        <w:tc>
          <w:tcPr>
            <w:tcW w:w="3827" w:type="dxa"/>
          </w:tcPr>
          <w:p w14:paraId="0832A5FA" w14:textId="45A77932" w:rsidR="00CD16B4" w:rsidRPr="00490D3B" w:rsidRDefault="00CD16B4" w:rsidP="00CD16B4">
            <w:pPr>
              <w:pStyle w:val="Normal0"/>
              <w:rPr>
                <w:rFonts w:eastAsia="Calibri"/>
                <w:bCs/>
                <w:sz w:val="20"/>
                <w:szCs w:val="20"/>
                <w:lang w:eastAsia="en-US"/>
              </w:rPr>
            </w:pPr>
            <w:r w:rsidRPr="00490D3B">
              <w:rPr>
                <w:sz w:val="20"/>
                <w:szCs w:val="20"/>
              </w:rPr>
              <w:t>El reconocimiento económico se establece previamente a la prestación, a partir de una proyección.</w:t>
            </w:r>
          </w:p>
        </w:tc>
        <w:tc>
          <w:tcPr>
            <w:tcW w:w="3730" w:type="dxa"/>
          </w:tcPr>
          <w:p w14:paraId="1A16178D" w14:textId="44E13DB8" w:rsidR="00CD16B4" w:rsidRPr="00490D3B" w:rsidRDefault="00CD16B4" w:rsidP="00CD16B4">
            <w:pPr>
              <w:pStyle w:val="Normal0"/>
              <w:rPr>
                <w:rFonts w:eastAsia="Calibri"/>
                <w:bCs/>
                <w:sz w:val="20"/>
                <w:szCs w:val="20"/>
                <w:lang w:eastAsia="en-US"/>
              </w:rPr>
            </w:pPr>
            <w:r w:rsidRPr="00490D3B">
              <w:rPr>
                <w:sz w:val="20"/>
                <w:szCs w:val="20"/>
              </w:rPr>
              <w:t>Población, frecuencia de uso, cantidades proyectadas, costos, tarifas y gestión del riesgo.</w:t>
            </w:r>
          </w:p>
        </w:tc>
      </w:tr>
      <w:tr w:rsidR="00CD16B4" w:rsidRPr="00490D3B" w14:paraId="7593B8C8" w14:textId="77777777" w:rsidTr="007533E1">
        <w:tc>
          <w:tcPr>
            <w:tcW w:w="2405" w:type="dxa"/>
          </w:tcPr>
          <w:p w14:paraId="734A6902" w14:textId="10098B6C" w:rsidR="00CD16B4" w:rsidRPr="00490D3B" w:rsidRDefault="00CD16B4" w:rsidP="00CD16B4">
            <w:pPr>
              <w:pStyle w:val="Normal0"/>
              <w:rPr>
                <w:rFonts w:eastAsia="Calibri"/>
                <w:bCs/>
                <w:sz w:val="20"/>
                <w:szCs w:val="20"/>
                <w:lang w:eastAsia="en-US"/>
              </w:rPr>
            </w:pPr>
            <w:r w:rsidRPr="00490D3B">
              <w:rPr>
                <w:sz w:val="20"/>
                <w:szCs w:val="20"/>
              </w:rPr>
              <w:t>Retrospectiva</w:t>
            </w:r>
          </w:p>
        </w:tc>
        <w:tc>
          <w:tcPr>
            <w:tcW w:w="3827" w:type="dxa"/>
          </w:tcPr>
          <w:p w14:paraId="08AB79F3" w14:textId="59365DF6" w:rsidR="00CD16B4" w:rsidRPr="00490D3B" w:rsidRDefault="00CD16B4" w:rsidP="00CD16B4">
            <w:pPr>
              <w:pStyle w:val="Normal0"/>
              <w:rPr>
                <w:rFonts w:eastAsia="Calibri"/>
                <w:bCs/>
                <w:sz w:val="20"/>
                <w:szCs w:val="20"/>
                <w:lang w:eastAsia="en-US"/>
              </w:rPr>
            </w:pPr>
            <w:r w:rsidRPr="00490D3B">
              <w:rPr>
                <w:sz w:val="20"/>
                <w:szCs w:val="20"/>
              </w:rPr>
              <w:t>El reconocimiento económico se determina a partir de los servicios efectivamente prestados.</w:t>
            </w:r>
          </w:p>
        </w:tc>
        <w:tc>
          <w:tcPr>
            <w:tcW w:w="3730" w:type="dxa"/>
          </w:tcPr>
          <w:p w14:paraId="35721B72" w14:textId="15BF9B42" w:rsidR="00CD16B4" w:rsidRPr="00490D3B" w:rsidRDefault="00CD16B4" w:rsidP="00CD16B4">
            <w:pPr>
              <w:pStyle w:val="Normal0"/>
              <w:rPr>
                <w:rFonts w:eastAsia="Calibri"/>
                <w:bCs/>
                <w:sz w:val="20"/>
                <w:szCs w:val="20"/>
                <w:lang w:eastAsia="en-US"/>
              </w:rPr>
            </w:pPr>
            <w:r w:rsidRPr="00490D3B">
              <w:rPr>
                <w:sz w:val="20"/>
                <w:szCs w:val="20"/>
              </w:rPr>
              <w:t>Servicios realizados, soportes de atención, frecuencias observadas, costos, tarifas y seguimiento de la ejecución.</w:t>
            </w:r>
          </w:p>
        </w:tc>
      </w:tr>
    </w:tbl>
    <w:p w14:paraId="013F57D4" w14:textId="72B3F43D" w:rsidR="00CD16B4" w:rsidRPr="00490D3B" w:rsidRDefault="00CD16B4" w:rsidP="00CD16B4">
      <w:pPr>
        <w:pStyle w:val="Normal0"/>
        <w:rPr>
          <w:rFonts w:eastAsia="Calibri"/>
          <w:bCs/>
          <w:sz w:val="20"/>
          <w:szCs w:val="20"/>
          <w:lang w:eastAsia="en-US"/>
        </w:rPr>
      </w:pPr>
    </w:p>
    <w:p w14:paraId="5AC19A00" w14:textId="77777777" w:rsidR="00CD16B4" w:rsidRPr="00490D3B" w:rsidRDefault="00CD16B4" w:rsidP="00CD16B4">
      <w:pPr>
        <w:pStyle w:val="Normal0"/>
        <w:rPr>
          <w:rFonts w:eastAsia="Calibri"/>
          <w:bCs/>
          <w:sz w:val="20"/>
          <w:szCs w:val="20"/>
          <w:lang w:eastAsia="en-US"/>
        </w:rPr>
      </w:pPr>
      <w:r w:rsidRPr="00490D3B">
        <w:rPr>
          <w:rFonts w:eastAsia="Calibri"/>
          <w:bCs/>
          <w:sz w:val="20"/>
          <w:szCs w:val="20"/>
          <w:lang w:eastAsia="en-US"/>
        </w:rPr>
        <w:t>En consecuencia, la construcción de la nota técnica debe considerar las condiciones específicas de la modalidad de contratación y mantener coherencia entre las proyecciones, los mecanismos de pago y la gestión del riesgo. La información utilizada debe permitir sustentar los valores establecidos y facilitar el seguimiento de los resultados durante la ejecución del acuerdo.</w:t>
      </w:r>
    </w:p>
    <w:p w14:paraId="503DC9E4" w14:textId="77777777" w:rsidR="00CD16B4" w:rsidRPr="00490D3B" w:rsidRDefault="00CD16B4" w:rsidP="00CD16B4">
      <w:pPr>
        <w:pStyle w:val="Normal0"/>
        <w:rPr>
          <w:rFonts w:eastAsia="Calibri"/>
          <w:bCs/>
          <w:sz w:val="20"/>
          <w:szCs w:val="20"/>
          <w:lang w:eastAsia="en-US"/>
        </w:rPr>
      </w:pPr>
    </w:p>
    <w:p w14:paraId="7CADAA03" w14:textId="6D770C23" w:rsidR="00CD16B4" w:rsidRPr="00490D3B" w:rsidRDefault="00CD16B4" w:rsidP="00CD16B4">
      <w:pPr>
        <w:pStyle w:val="Normal0"/>
        <w:rPr>
          <w:rFonts w:eastAsia="Calibri"/>
          <w:bCs/>
          <w:sz w:val="20"/>
          <w:szCs w:val="20"/>
          <w:lang w:eastAsia="en-US"/>
        </w:rPr>
      </w:pPr>
      <w:r w:rsidRPr="00490D3B">
        <w:rPr>
          <w:rFonts w:eastAsia="Calibri"/>
          <w:bCs/>
          <w:sz w:val="20"/>
          <w:szCs w:val="20"/>
          <w:lang w:eastAsia="en-US"/>
        </w:rPr>
        <w:t>Para efectos de la nota técnica, la modalidad de contratación no modifica la necesidad de contar con información organizada y sustentada; determina la forma en que dicha información se utiliza para proyectar, reconocer y hacer seguimiento a los servicios y recursos involucrados.</w:t>
      </w:r>
    </w:p>
    <w:p w14:paraId="2140D3D7" w14:textId="77777777" w:rsidR="00CD16B4" w:rsidRPr="00490D3B" w:rsidRDefault="00CD16B4" w:rsidP="00CD16B4">
      <w:pPr>
        <w:pStyle w:val="Normal0"/>
        <w:rPr>
          <w:rFonts w:eastAsia="Calibri"/>
          <w:bCs/>
          <w:sz w:val="20"/>
          <w:szCs w:val="20"/>
          <w:lang w:eastAsia="en-US"/>
        </w:rPr>
      </w:pPr>
    </w:p>
    <w:p w14:paraId="739D6CC3" w14:textId="3805A69B" w:rsidR="00D743F1" w:rsidRPr="00490D3B" w:rsidRDefault="00D743F1" w:rsidP="00D743F1">
      <w:pPr>
        <w:pStyle w:val="Normal0"/>
        <w:numPr>
          <w:ilvl w:val="1"/>
          <w:numId w:val="30"/>
        </w:numPr>
        <w:rPr>
          <w:rFonts w:eastAsia="Calibri"/>
          <w:b/>
          <w:bCs/>
          <w:sz w:val="20"/>
          <w:szCs w:val="20"/>
          <w:lang w:eastAsia="en-US"/>
        </w:rPr>
      </w:pPr>
      <w:r w:rsidRPr="00490D3B">
        <w:rPr>
          <w:rFonts w:eastAsia="Calibri"/>
          <w:b/>
          <w:bCs/>
          <w:sz w:val="20"/>
          <w:szCs w:val="20"/>
          <w:lang w:eastAsia="en-US"/>
        </w:rPr>
        <w:t>Integración y consolidación de la nota técnica</w:t>
      </w:r>
    </w:p>
    <w:p w14:paraId="4BD54DC4" w14:textId="511540A7" w:rsidR="00AF153A" w:rsidRPr="00490D3B" w:rsidRDefault="00AF153A" w:rsidP="00AF153A">
      <w:pPr>
        <w:pStyle w:val="Normal0"/>
        <w:rPr>
          <w:rFonts w:eastAsia="Calibri"/>
          <w:bCs/>
          <w:sz w:val="20"/>
          <w:szCs w:val="20"/>
          <w:lang w:eastAsia="en-US"/>
        </w:rPr>
      </w:pPr>
    </w:p>
    <w:p w14:paraId="17D9636E" w14:textId="77777777" w:rsidR="00AF153A" w:rsidRPr="00490D3B" w:rsidRDefault="00AF153A" w:rsidP="00AF153A">
      <w:pPr>
        <w:pStyle w:val="Normal0"/>
        <w:rPr>
          <w:rFonts w:eastAsia="Calibri"/>
          <w:bCs/>
          <w:sz w:val="20"/>
          <w:szCs w:val="20"/>
          <w:lang w:eastAsia="en-US"/>
        </w:rPr>
      </w:pPr>
      <w:r w:rsidRPr="00490D3B">
        <w:rPr>
          <w:rFonts w:eastAsia="Calibri"/>
          <w:bCs/>
          <w:sz w:val="20"/>
          <w:szCs w:val="20"/>
          <w:lang w:eastAsia="en-US"/>
        </w:rPr>
        <w:t xml:space="preserve">La integración y consolidación de la nota técnica consiste en articular la información recopilada, analizada y calculada en los apartados anteriores, de manera que exista correspondencia entre la población objeto, los servicios y tecnologías, las frecuencias de uso, las cantidades proyectadas, los costos, las tarifas y los riesgos. </w:t>
      </w:r>
      <w:r w:rsidRPr="00490D3B">
        <w:rPr>
          <w:rFonts w:eastAsia="Calibri"/>
          <w:bCs/>
          <w:sz w:val="20"/>
          <w:szCs w:val="20"/>
          <w:lang w:eastAsia="en-US"/>
        </w:rPr>
        <w:lastRenderedPageBreak/>
        <w:t>Esta integración permite obtener una proyección coherente de los recursos requeridos para la atención de la población.</w:t>
      </w:r>
    </w:p>
    <w:p w14:paraId="09C834FA" w14:textId="77777777" w:rsidR="00AF153A" w:rsidRPr="00490D3B" w:rsidRDefault="00AF153A" w:rsidP="00AF153A">
      <w:pPr>
        <w:pStyle w:val="Normal0"/>
        <w:rPr>
          <w:rFonts w:eastAsia="Calibri"/>
          <w:bCs/>
          <w:sz w:val="20"/>
          <w:szCs w:val="20"/>
          <w:lang w:eastAsia="en-US"/>
        </w:rPr>
      </w:pPr>
    </w:p>
    <w:p w14:paraId="60A50F45" w14:textId="77777777" w:rsidR="00AF153A" w:rsidRPr="00490D3B" w:rsidRDefault="00AF153A" w:rsidP="00AF153A">
      <w:pPr>
        <w:pStyle w:val="Normal0"/>
        <w:rPr>
          <w:rFonts w:eastAsia="Calibri"/>
          <w:bCs/>
          <w:sz w:val="20"/>
          <w:szCs w:val="20"/>
          <w:lang w:eastAsia="en-US"/>
        </w:rPr>
      </w:pPr>
      <w:r w:rsidRPr="00490D3B">
        <w:rPr>
          <w:rFonts w:eastAsia="Calibri"/>
          <w:bCs/>
          <w:sz w:val="20"/>
          <w:szCs w:val="20"/>
          <w:lang w:eastAsia="en-US"/>
        </w:rPr>
        <w:t>Para consolidar la información, es necesario verificar que los datos utilizados correspondan al mismo periodo de análisis y que los servicios y tecnologías estén correctamente identificados y codificados. También se deben relacionar las frecuencias calculadas con la población susceptible y con los valores unitarios definidos, de manera que sea posible establecer los valores proyectados.</w:t>
      </w:r>
    </w:p>
    <w:p w14:paraId="3747A99A" w14:textId="77777777" w:rsidR="00AF153A" w:rsidRPr="00490D3B" w:rsidRDefault="00AF153A" w:rsidP="00AF153A">
      <w:pPr>
        <w:pStyle w:val="Normal0"/>
        <w:rPr>
          <w:rFonts w:eastAsia="Calibri"/>
          <w:bCs/>
          <w:sz w:val="20"/>
          <w:szCs w:val="20"/>
          <w:lang w:eastAsia="en-US"/>
        </w:rPr>
      </w:pPr>
    </w:p>
    <w:p w14:paraId="53424320" w14:textId="77777777" w:rsidR="00AF153A" w:rsidRPr="00490D3B" w:rsidRDefault="00AF153A" w:rsidP="00AF153A">
      <w:pPr>
        <w:pStyle w:val="Normal0"/>
        <w:rPr>
          <w:rFonts w:eastAsia="Calibri"/>
          <w:bCs/>
          <w:sz w:val="20"/>
          <w:szCs w:val="20"/>
          <w:lang w:eastAsia="en-US"/>
        </w:rPr>
      </w:pPr>
      <w:r w:rsidRPr="00490D3B">
        <w:rPr>
          <w:rFonts w:eastAsia="Calibri"/>
          <w:bCs/>
          <w:sz w:val="20"/>
          <w:szCs w:val="20"/>
          <w:lang w:eastAsia="en-US"/>
        </w:rPr>
        <w:t>El proceso puede organizarse mediante la siguiente secuencia:</w:t>
      </w:r>
    </w:p>
    <w:p w14:paraId="3015F5B9" w14:textId="77777777" w:rsidR="00AF153A" w:rsidRPr="00490D3B" w:rsidRDefault="00AF153A" w:rsidP="00AF153A">
      <w:pPr>
        <w:pStyle w:val="Normal0"/>
        <w:rPr>
          <w:rFonts w:eastAsia="Calibri"/>
          <w:bCs/>
          <w:sz w:val="20"/>
          <w:szCs w:val="20"/>
          <w:lang w:eastAsia="en-US"/>
        </w:rPr>
      </w:pPr>
    </w:p>
    <w:p w14:paraId="3D836726" w14:textId="06061442" w:rsidR="00AF153A" w:rsidRPr="00490D3B" w:rsidRDefault="00AF153A" w:rsidP="00AF153A">
      <w:pPr>
        <w:pStyle w:val="Normal0"/>
        <w:rPr>
          <w:rFonts w:eastAsia="Calibri"/>
          <w:bCs/>
          <w:sz w:val="20"/>
          <w:szCs w:val="20"/>
          <w:lang w:eastAsia="en-US"/>
        </w:rPr>
      </w:pPr>
      <w:r w:rsidRPr="00490D3B">
        <w:rPr>
          <w:rFonts w:eastAsia="Calibri"/>
          <w:bCs/>
          <w:noProof/>
          <w:sz w:val="20"/>
          <w:szCs w:val="20"/>
          <w:lang w:val="en-US" w:eastAsia="en-US"/>
        </w:rPr>
        <w:drawing>
          <wp:inline distT="0" distB="0" distL="0" distR="0" wp14:anchorId="0765E429" wp14:editId="33770DBC">
            <wp:extent cx="6276975" cy="1948069"/>
            <wp:effectExtent l="0" t="0" r="9525" b="0"/>
            <wp:docPr id="4" name="Diagrama 4"/>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29" r:lo="rId30" r:qs="rId31" r:cs="rId32"/>
              </a:graphicData>
            </a:graphic>
          </wp:inline>
        </w:drawing>
      </w:r>
    </w:p>
    <w:p w14:paraId="3243D456" w14:textId="77777777" w:rsidR="00AF153A" w:rsidRPr="00490D3B" w:rsidRDefault="00AF153A" w:rsidP="00AF153A">
      <w:pPr>
        <w:pStyle w:val="Normal0"/>
        <w:rPr>
          <w:rFonts w:eastAsia="Calibri"/>
          <w:bCs/>
          <w:sz w:val="20"/>
          <w:szCs w:val="20"/>
          <w:lang w:eastAsia="en-US"/>
        </w:rPr>
      </w:pPr>
    </w:p>
    <w:p w14:paraId="7518EFAC" w14:textId="77777777" w:rsidR="00AF153A" w:rsidRPr="00490D3B" w:rsidRDefault="00AF153A" w:rsidP="00AF153A">
      <w:pPr>
        <w:pStyle w:val="Normal0"/>
        <w:rPr>
          <w:rFonts w:eastAsia="Calibri"/>
          <w:bCs/>
          <w:sz w:val="20"/>
          <w:szCs w:val="20"/>
          <w:lang w:eastAsia="en-US"/>
        </w:rPr>
      </w:pPr>
      <w:r w:rsidRPr="00490D3B">
        <w:rPr>
          <w:rFonts w:eastAsia="Calibri"/>
          <w:bCs/>
          <w:sz w:val="20"/>
          <w:szCs w:val="20"/>
          <w:lang w:eastAsia="en-US"/>
        </w:rPr>
        <w:t>La consolidación debe conservar la trazabilidad de las fuentes utilizadas y de los cálculos realizados. Esto facilita la revisión posterior de la información y permite identificar inconsistencias antes de someter la nota técnica a los procesos de validación técnica, jurídica y financiera.</w:t>
      </w:r>
    </w:p>
    <w:p w14:paraId="58AF95A4" w14:textId="77777777" w:rsidR="00AF153A" w:rsidRPr="00490D3B" w:rsidRDefault="00AF153A" w:rsidP="00AF153A">
      <w:pPr>
        <w:pStyle w:val="Normal0"/>
        <w:rPr>
          <w:rFonts w:eastAsia="Calibri"/>
          <w:bCs/>
          <w:sz w:val="20"/>
          <w:szCs w:val="20"/>
          <w:lang w:eastAsia="en-US"/>
        </w:rPr>
      </w:pPr>
    </w:p>
    <w:p w14:paraId="375E2873" w14:textId="630C8DAB" w:rsidR="00AF153A" w:rsidRPr="00490D3B" w:rsidRDefault="00AF153A" w:rsidP="00AF153A">
      <w:pPr>
        <w:pStyle w:val="Normal0"/>
        <w:rPr>
          <w:rFonts w:eastAsia="Calibri"/>
          <w:bCs/>
          <w:sz w:val="20"/>
          <w:szCs w:val="20"/>
          <w:lang w:eastAsia="en-US"/>
        </w:rPr>
      </w:pPr>
      <w:r w:rsidRPr="00490D3B">
        <w:rPr>
          <w:rFonts w:eastAsia="Calibri"/>
          <w:bCs/>
          <w:sz w:val="20"/>
          <w:szCs w:val="20"/>
          <w:lang w:eastAsia="en-US"/>
        </w:rPr>
        <w:t>Como resultado, la nota técnica debe presentar de manera articulada la información que sustenta las proyecciones y permitir su seguimiento durante la ejecución del acuerdo de voluntades. Cuando se identifiquen variaciones en la población, utilización de servicios, condiciones de la red, cobertura u otros factores relevantes, la información consolidada podrá servir como base para realizar los ajustes correspondientes.</w:t>
      </w:r>
    </w:p>
    <w:p w14:paraId="731A53F1" w14:textId="34C30269" w:rsidR="00AF153A" w:rsidRPr="00490D3B" w:rsidRDefault="00AF153A" w:rsidP="00AF153A">
      <w:pPr>
        <w:pStyle w:val="Normal0"/>
        <w:rPr>
          <w:rFonts w:eastAsia="Calibri"/>
          <w:bCs/>
          <w:sz w:val="20"/>
          <w:szCs w:val="20"/>
          <w:lang w:eastAsia="en-US"/>
        </w:rPr>
      </w:pPr>
    </w:p>
    <w:p w14:paraId="79626E25" w14:textId="149CFB7E" w:rsidR="00D743F1" w:rsidRPr="00490D3B" w:rsidRDefault="00D743F1" w:rsidP="00D743F1">
      <w:pPr>
        <w:pStyle w:val="Normal0"/>
        <w:numPr>
          <w:ilvl w:val="1"/>
          <w:numId w:val="30"/>
        </w:numPr>
        <w:rPr>
          <w:rFonts w:eastAsia="Calibri"/>
          <w:b/>
          <w:bCs/>
          <w:sz w:val="20"/>
          <w:szCs w:val="20"/>
          <w:lang w:eastAsia="en-US"/>
        </w:rPr>
      </w:pPr>
      <w:r w:rsidRPr="00490D3B">
        <w:rPr>
          <w:rFonts w:eastAsia="Calibri"/>
          <w:b/>
          <w:bCs/>
          <w:sz w:val="20"/>
          <w:szCs w:val="20"/>
          <w:lang w:eastAsia="en-US"/>
        </w:rPr>
        <w:t>Ejercicio de construcción de una nota técnica</w:t>
      </w:r>
    </w:p>
    <w:p w14:paraId="6568C406" w14:textId="7F34FD4E" w:rsidR="00AF153A" w:rsidRPr="00490D3B" w:rsidRDefault="00AF153A" w:rsidP="00AF153A">
      <w:pPr>
        <w:pStyle w:val="Normal0"/>
        <w:rPr>
          <w:rFonts w:eastAsia="Calibri"/>
          <w:bCs/>
          <w:sz w:val="20"/>
          <w:szCs w:val="20"/>
          <w:lang w:eastAsia="en-US"/>
        </w:rPr>
      </w:pPr>
    </w:p>
    <w:p w14:paraId="50F8B849" w14:textId="77777777" w:rsidR="00AF153A" w:rsidRPr="00490D3B" w:rsidRDefault="00AF153A" w:rsidP="00AF153A">
      <w:pPr>
        <w:pStyle w:val="Normal0"/>
        <w:rPr>
          <w:rFonts w:eastAsia="Calibri"/>
          <w:bCs/>
          <w:sz w:val="20"/>
          <w:szCs w:val="20"/>
          <w:lang w:eastAsia="en-US"/>
        </w:rPr>
      </w:pPr>
      <w:r w:rsidRPr="00490D3B">
        <w:rPr>
          <w:rFonts w:eastAsia="Calibri"/>
          <w:bCs/>
          <w:sz w:val="20"/>
          <w:szCs w:val="20"/>
          <w:lang w:eastAsia="en-US"/>
        </w:rPr>
        <w:t>Para integrar los conocimientos desarrollados en este componente, se propone un ejercicio práctico de construcción de una nota técnica a partir de información simulada. El ejercicio permite organizar la población, identificar los servicios y tecnologías, analizar las frecuencias de uso, establecer costos y tarifas y consolidar los resultados en una estructura coherente. Este tipo de ejercicio se encuentra contemplado en el material de referencia como una actividad práctica para aplicar los elementos necesarios para la construcción de la nota técnica.</w:t>
      </w:r>
    </w:p>
    <w:p w14:paraId="70C29E4F" w14:textId="77777777" w:rsidR="00AF153A" w:rsidRPr="00490D3B" w:rsidRDefault="00AF153A" w:rsidP="00AF153A">
      <w:pPr>
        <w:pStyle w:val="Normal0"/>
        <w:rPr>
          <w:rFonts w:eastAsia="Calibri"/>
          <w:bCs/>
          <w:sz w:val="20"/>
          <w:szCs w:val="20"/>
          <w:lang w:eastAsia="en-US"/>
        </w:rPr>
      </w:pPr>
    </w:p>
    <w:p w14:paraId="088D5C87" w14:textId="2D784642" w:rsidR="00AF153A" w:rsidRPr="00490D3B" w:rsidRDefault="00AF153A" w:rsidP="00AF153A">
      <w:pPr>
        <w:pStyle w:val="Normal0"/>
        <w:rPr>
          <w:rFonts w:eastAsia="Calibri"/>
          <w:bCs/>
          <w:sz w:val="20"/>
          <w:szCs w:val="20"/>
          <w:lang w:eastAsia="en-US"/>
        </w:rPr>
      </w:pPr>
      <w:r w:rsidRPr="00490D3B">
        <w:rPr>
          <w:rFonts w:eastAsia="Calibri"/>
          <w:b/>
          <w:bCs/>
          <w:sz w:val="20"/>
          <w:szCs w:val="20"/>
          <w:lang w:eastAsia="en-US"/>
        </w:rPr>
        <w:t>Situación planteada:</w:t>
      </w:r>
      <w:r w:rsidRPr="00490D3B">
        <w:rPr>
          <w:rFonts w:eastAsia="Calibri"/>
          <w:bCs/>
          <w:sz w:val="20"/>
          <w:szCs w:val="20"/>
          <w:lang w:eastAsia="en-US"/>
        </w:rPr>
        <w:t xml:space="preserve"> una entidad responsable del aseguramiento requiere proyectar los servicios y tecnologías en salud para una población afiliada durante un periodo de contratación. Para ello, dispone de información sobre la población, registros históricos de prestación de servicios, códigos de los procedimientos, frecuencias de utilización y valores de referencia.</w:t>
      </w:r>
    </w:p>
    <w:p w14:paraId="322351C1" w14:textId="77777777" w:rsidR="00AF153A" w:rsidRPr="00490D3B" w:rsidRDefault="00AF153A" w:rsidP="00AF153A">
      <w:pPr>
        <w:pStyle w:val="Normal0"/>
        <w:rPr>
          <w:rFonts w:eastAsia="Calibri"/>
          <w:bCs/>
          <w:sz w:val="20"/>
          <w:szCs w:val="20"/>
          <w:lang w:eastAsia="en-US"/>
        </w:rPr>
      </w:pPr>
    </w:p>
    <w:p w14:paraId="1004211F" w14:textId="77777777" w:rsidR="00AF153A" w:rsidRPr="00490D3B" w:rsidRDefault="00AF153A" w:rsidP="00AF153A">
      <w:pPr>
        <w:pStyle w:val="Normal0"/>
        <w:rPr>
          <w:rFonts w:eastAsia="Calibri"/>
          <w:bCs/>
          <w:sz w:val="20"/>
          <w:szCs w:val="20"/>
          <w:lang w:eastAsia="en-US"/>
        </w:rPr>
      </w:pPr>
      <w:r w:rsidRPr="00490D3B">
        <w:rPr>
          <w:rFonts w:eastAsia="Calibri"/>
          <w:bCs/>
          <w:sz w:val="20"/>
          <w:szCs w:val="20"/>
          <w:lang w:eastAsia="en-US"/>
        </w:rPr>
        <w:t>Para desarrollar el ejercicio se deben realizar las siguientes actividades:</w:t>
      </w:r>
    </w:p>
    <w:p w14:paraId="09776B18" w14:textId="77777777" w:rsidR="00AF153A" w:rsidRPr="00490D3B" w:rsidRDefault="00AF153A" w:rsidP="00AF153A">
      <w:pPr>
        <w:pStyle w:val="Normal0"/>
        <w:rPr>
          <w:rFonts w:eastAsia="Calibri"/>
          <w:bCs/>
          <w:sz w:val="20"/>
          <w:szCs w:val="20"/>
          <w:lang w:eastAsia="en-US"/>
        </w:rPr>
      </w:pPr>
    </w:p>
    <w:p w14:paraId="45544079" w14:textId="77777777" w:rsidR="00AF153A" w:rsidRPr="00490D3B" w:rsidRDefault="00AF153A" w:rsidP="00AF153A">
      <w:pPr>
        <w:pStyle w:val="Normal0"/>
        <w:numPr>
          <w:ilvl w:val="0"/>
          <w:numId w:val="32"/>
        </w:numPr>
        <w:rPr>
          <w:rFonts w:eastAsia="Calibri"/>
          <w:bCs/>
          <w:sz w:val="20"/>
          <w:szCs w:val="20"/>
          <w:lang w:eastAsia="en-US"/>
        </w:rPr>
      </w:pPr>
      <w:r w:rsidRPr="00490D3B">
        <w:rPr>
          <w:rFonts w:eastAsia="Calibri"/>
          <w:b/>
          <w:bCs/>
          <w:sz w:val="20"/>
          <w:szCs w:val="20"/>
          <w:lang w:eastAsia="en-US"/>
        </w:rPr>
        <w:lastRenderedPageBreak/>
        <w:t>Caracterizar la población:</w:t>
      </w:r>
      <w:r w:rsidRPr="00490D3B">
        <w:rPr>
          <w:rFonts w:eastAsia="Calibri"/>
          <w:bCs/>
          <w:sz w:val="20"/>
          <w:szCs w:val="20"/>
          <w:lang w:eastAsia="en-US"/>
        </w:rPr>
        <w:t xml:space="preserve"> establecer la población objeto e identificar la población susceptible para los servicios analizados.</w:t>
      </w:r>
    </w:p>
    <w:p w14:paraId="4C3A4A1B" w14:textId="77777777" w:rsidR="00AF153A" w:rsidRPr="00490D3B" w:rsidRDefault="00AF153A" w:rsidP="00AF153A">
      <w:pPr>
        <w:pStyle w:val="Normal0"/>
        <w:numPr>
          <w:ilvl w:val="0"/>
          <w:numId w:val="32"/>
        </w:numPr>
        <w:rPr>
          <w:rFonts w:eastAsia="Calibri"/>
          <w:bCs/>
          <w:sz w:val="20"/>
          <w:szCs w:val="20"/>
          <w:lang w:eastAsia="en-US"/>
        </w:rPr>
      </w:pPr>
      <w:r w:rsidRPr="00490D3B">
        <w:rPr>
          <w:rFonts w:eastAsia="Calibri"/>
          <w:b/>
          <w:bCs/>
          <w:sz w:val="20"/>
          <w:szCs w:val="20"/>
          <w:lang w:eastAsia="en-US"/>
        </w:rPr>
        <w:t>Depurar la información histórica:</w:t>
      </w:r>
      <w:r w:rsidRPr="00490D3B">
        <w:rPr>
          <w:rFonts w:eastAsia="Calibri"/>
          <w:bCs/>
          <w:sz w:val="20"/>
          <w:szCs w:val="20"/>
          <w:lang w:eastAsia="en-US"/>
        </w:rPr>
        <w:t xml:space="preserve"> organizar los registros disponibles por servicio, tecnología y periodo, verificando su consistencia.</w:t>
      </w:r>
    </w:p>
    <w:p w14:paraId="7339DA14" w14:textId="77777777" w:rsidR="00AF153A" w:rsidRPr="00490D3B" w:rsidRDefault="00AF153A" w:rsidP="00AF153A">
      <w:pPr>
        <w:pStyle w:val="Normal0"/>
        <w:numPr>
          <w:ilvl w:val="0"/>
          <w:numId w:val="32"/>
        </w:numPr>
        <w:rPr>
          <w:rFonts w:eastAsia="Calibri"/>
          <w:bCs/>
          <w:sz w:val="20"/>
          <w:szCs w:val="20"/>
          <w:lang w:eastAsia="en-US"/>
        </w:rPr>
      </w:pPr>
      <w:r w:rsidRPr="00490D3B">
        <w:rPr>
          <w:rFonts w:eastAsia="Calibri"/>
          <w:b/>
          <w:bCs/>
          <w:sz w:val="20"/>
          <w:szCs w:val="20"/>
          <w:lang w:eastAsia="en-US"/>
        </w:rPr>
        <w:t>Identificar y codificar los servicios:</w:t>
      </w:r>
      <w:r w:rsidRPr="00490D3B">
        <w:rPr>
          <w:rFonts w:eastAsia="Calibri"/>
          <w:bCs/>
          <w:sz w:val="20"/>
          <w:szCs w:val="20"/>
          <w:lang w:eastAsia="en-US"/>
        </w:rPr>
        <w:t xml:space="preserve"> relacionar cada servicio o procedimiento con el código correspondiente.</w:t>
      </w:r>
    </w:p>
    <w:p w14:paraId="0D701D2A" w14:textId="77777777" w:rsidR="00AF153A" w:rsidRPr="00490D3B" w:rsidRDefault="00AF153A" w:rsidP="00AF153A">
      <w:pPr>
        <w:pStyle w:val="Normal0"/>
        <w:numPr>
          <w:ilvl w:val="0"/>
          <w:numId w:val="32"/>
        </w:numPr>
        <w:rPr>
          <w:rFonts w:eastAsia="Calibri"/>
          <w:bCs/>
          <w:sz w:val="20"/>
          <w:szCs w:val="20"/>
          <w:lang w:eastAsia="en-US"/>
        </w:rPr>
      </w:pPr>
      <w:r w:rsidRPr="00490D3B">
        <w:rPr>
          <w:rFonts w:eastAsia="Calibri"/>
          <w:b/>
          <w:bCs/>
          <w:sz w:val="20"/>
          <w:szCs w:val="20"/>
          <w:lang w:eastAsia="en-US"/>
        </w:rPr>
        <w:t>Calcular las frecuencias de uso:</w:t>
      </w:r>
      <w:r w:rsidRPr="00490D3B">
        <w:rPr>
          <w:rFonts w:eastAsia="Calibri"/>
          <w:bCs/>
          <w:sz w:val="20"/>
          <w:szCs w:val="20"/>
          <w:lang w:eastAsia="en-US"/>
        </w:rPr>
        <w:t xml:space="preserve"> determinar la frecuencia de utilización a partir de los registros históricos y la población susceptible.</w:t>
      </w:r>
    </w:p>
    <w:p w14:paraId="211B9D51" w14:textId="77777777" w:rsidR="00AF153A" w:rsidRPr="00490D3B" w:rsidRDefault="00AF153A" w:rsidP="00AF153A">
      <w:pPr>
        <w:pStyle w:val="Normal0"/>
        <w:numPr>
          <w:ilvl w:val="0"/>
          <w:numId w:val="32"/>
        </w:numPr>
        <w:rPr>
          <w:rFonts w:eastAsia="Calibri"/>
          <w:bCs/>
          <w:sz w:val="20"/>
          <w:szCs w:val="20"/>
          <w:lang w:eastAsia="en-US"/>
        </w:rPr>
      </w:pPr>
      <w:r w:rsidRPr="00490D3B">
        <w:rPr>
          <w:rFonts w:eastAsia="Calibri"/>
          <w:b/>
          <w:bCs/>
          <w:sz w:val="20"/>
          <w:szCs w:val="20"/>
          <w:lang w:eastAsia="en-US"/>
        </w:rPr>
        <w:t>Proyectar las cantidades:</w:t>
      </w:r>
      <w:r w:rsidRPr="00490D3B">
        <w:rPr>
          <w:rFonts w:eastAsia="Calibri"/>
          <w:bCs/>
          <w:sz w:val="20"/>
          <w:szCs w:val="20"/>
          <w:lang w:eastAsia="en-US"/>
        </w:rPr>
        <w:t xml:space="preserve"> calcular la cantidad esperada de servicios para la población definida.</w:t>
      </w:r>
    </w:p>
    <w:p w14:paraId="3B6EE3B9" w14:textId="77777777" w:rsidR="00AF153A" w:rsidRPr="00490D3B" w:rsidRDefault="00AF153A" w:rsidP="00AF153A">
      <w:pPr>
        <w:pStyle w:val="Normal0"/>
        <w:numPr>
          <w:ilvl w:val="0"/>
          <w:numId w:val="32"/>
        </w:numPr>
        <w:rPr>
          <w:rFonts w:eastAsia="Calibri"/>
          <w:bCs/>
          <w:sz w:val="20"/>
          <w:szCs w:val="20"/>
          <w:lang w:eastAsia="en-US"/>
        </w:rPr>
      </w:pPr>
      <w:r w:rsidRPr="00490D3B">
        <w:rPr>
          <w:rFonts w:eastAsia="Calibri"/>
          <w:b/>
          <w:bCs/>
          <w:sz w:val="20"/>
          <w:szCs w:val="20"/>
          <w:lang w:eastAsia="en-US"/>
        </w:rPr>
        <w:t>Establecer costos y tarifas:</w:t>
      </w:r>
      <w:r w:rsidRPr="00490D3B">
        <w:rPr>
          <w:rFonts w:eastAsia="Calibri"/>
          <w:bCs/>
          <w:sz w:val="20"/>
          <w:szCs w:val="20"/>
          <w:lang w:eastAsia="en-US"/>
        </w:rPr>
        <w:t xml:space="preserve"> asignar los valores unitarios correspondientes y calcular el valor proyectado de los servicios.</w:t>
      </w:r>
    </w:p>
    <w:p w14:paraId="28230BFF" w14:textId="77777777" w:rsidR="00AF153A" w:rsidRPr="00490D3B" w:rsidRDefault="00AF153A" w:rsidP="00AF153A">
      <w:pPr>
        <w:pStyle w:val="Normal0"/>
        <w:numPr>
          <w:ilvl w:val="0"/>
          <w:numId w:val="32"/>
        </w:numPr>
        <w:rPr>
          <w:rFonts w:eastAsia="Calibri"/>
          <w:bCs/>
          <w:sz w:val="20"/>
          <w:szCs w:val="20"/>
          <w:lang w:eastAsia="en-US"/>
        </w:rPr>
      </w:pPr>
      <w:r w:rsidRPr="00490D3B">
        <w:rPr>
          <w:rFonts w:eastAsia="Calibri"/>
          <w:b/>
          <w:bCs/>
          <w:sz w:val="20"/>
          <w:szCs w:val="20"/>
          <w:lang w:eastAsia="en-US"/>
        </w:rPr>
        <w:t>Organizar los servicios:</w:t>
      </w:r>
      <w:r w:rsidRPr="00490D3B">
        <w:rPr>
          <w:rFonts w:eastAsia="Calibri"/>
          <w:bCs/>
          <w:sz w:val="20"/>
          <w:szCs w:val="20"/>
          <w:lang w:eastAsia="en-US"/>
        </w:rPr>
        <w:t xml:space="preserve"> agrupar la información de acuerdo con las características definidas para el ejercicio y la modalidad de contratación.</w:t>
      </w:r>
    </w:p>
    <w:p w14:paraId="638FFCAB" w14:textId="77777777" w:rsidR="00AF153A" w:rsidRPr="00490D3B" w:rsidRDefault="00AF153A" w:rsidP="00AF153A">
      <w:pPr>
        <w:pStyle w:val="Normal0"/>
        <w:numPr>
          <w:ilvl w:val="0"/>
          <w:numId w:val="32"/>
        </w:numPr>
        <w:rPr>
          <w:rFonts w:eastAsia="Calibri"/>
          <w:bCs/>
          <w:sz w:val="20"/>
          <w:szCs w:val="20"/>
          <w:lang w:eastAsia="en-US"/>
        </w:rPr>
      </w:pPr>
      <w:r w:rsidRPr="00490D3B">
        <w:rPr>
          <w:rFonts w:eastAsia="Calibri"/>
          <w:b/>
          <w:bCs/>
          <w:sz w:val="20"/>
          <w:szCs w:val="20"/>
          <w:lang w:eastAsia="en-US"/>
        </w:rPr>
        <w:t>Considerar los riesgos:</w:t>
      </w:r>
      <w:r w:rsidRPr="00490D3B">
        <w:rPr>
          <w:rFonts w:eastAsia="Calibri"/>
          <w:bCs/>
          <w:sz w:val="20"/>
          <w:szCs w:val="20"/>
          <w:lang w:eastAsia="en-US"/>
        </w:rPr>
        <w:t xml:space="preserve"> incorporar los elementos relacionados con el riesgo primario y el riesgo técnico.</w:t>
      </w:r>
    </w:p>
    <w:p w14:paraId="25DD0D74" w14:textId="77777777" w:rsidR="00AF153A" w:rsidRPr="00490D3B" w:rsidRDefault="00AF153A" w:rsidP="00AF153A">
      <w:pPr>
        <w:pStyle w:val="Normal0"/>
        <w:numPr>
          <w:ilvl w:val="0"/>
          <w:numId w:val="32"/>
        </w:numPr>
        <w:rPr>
          <w:rFonts w:eastAsia="Calibri"/>
          <w:bCs/>
          <w:sz w:val="20"/>
          <w:szCs w:val="20"/>
          <w:lang w:eastAsia="en-US"/>
        </w:rPr>
      </w:pPr>
      <w:r w:rsidRPr="00490D3B">
        <w:rPr>
          <w:rFonts w:eastAsia="Calibri"/>
          <w:b/>
          <w:bCs/>
          <w:sz w:val="20"/>
          <w:szCs w:val="20"/>
          <w:lang w:eastAsia="en-US"/>
        </w:rPr>
        <w:t>Consolidar la información:</w:t>
      </w:r>
      <w:r w:rsidRPr="00490D3B">
        <w:rPr>
          <w:rFonts w:eastAsia="Calibri"/>
          <w:bCs/>
          <w:sz w:val="20"/>
          <w:szCs w:val="20"/>
          <w:lang w:eastAsia="en-US"/>
        </w:rPr>
        <w:t xml:space="preserve"> integrar los resultados en una estructura que permita relacionar población, servicios, frecuencias, cantidades y valores económicos.</w:t>
      </w:r>
    </w:p>
    <w:p w14:paraId="2C59F31C" w14:textId="77777777" w:rsidR="00AF153A" w:rsidRPr="00490D3B" w:rsidRDefault="00AF153A" w:rsidP="00AF153A">
      <w:pPr>
        <w:pStyle w:val="Normal0"/>
        <w:rPr>
          <w:rFonts w:eastAsia="Calibri"/>
          <w:bCs/>
          <w:sz w:val="20"/>
          <w:szCs w:val="20"/>
          <w:lang w:eastAsia="en-US"/>
        </w:rPr>
      </w:pPr>
    </w:p>
    <w:p w14:paraId="11D03617" w14:textId="77777777" w:rsidR="00AF153A" w:rsidRPr="00490D3B" w:rsidRDefault="00AF153A" w:rsidP="00AF153A">
      <w:pPr>
        <w:pStyle w:val="Normal0"/>
        <w:rPr>
          <w:rFonts w:eastAsia="Calibri"/>
          <w:bCs/>
          <w:sz w:val="20"/>
          <w:szCs w:val="20"/>
          <w:lang w:eastAsia="en-US"/>
        </w:rPr>
      </w:pPr>
      <w:r w:rsidRPr="00490D3B">
        <w:rPr>
          <w:rFonts w:eastAsia="Calibri"/>
          <w:bCs/>
          <w:sz w:val="20"/>
          <w:szCs w:val="20"/>
          <w:lang w:eastAsia="en-US"/>
        </w:rPr>
        <w:t>Como producto del ejercicio, se debe obtener una matriz consolidada de la nota técnica, en la que cada servicio o tecnología pueda relacionarse con su código, población susceptible, frecuencia, cantidad proyectada, valor unitario y valor total. Esta organización facilita posteriormente los procesos de revisión y validación de la nota técnica.</w:t>
      </w:r>
    </w:p>
    <w:p w14:paraId="7BB7DDAE" w14:textId="77777777" w:rsidR="00AF153A" w:rsidRPr="00490D3B" w:rsidRDefault="00AF153A" w:rsidP="00AF153A">
      <w:pPr>
        <w:pStyle w:val="Normal0"/>
        <w:rPr>
          <w:rFonts w:eastAsia="Calibri"/>
          <w:bCs/>
          <w:sz w:val="20"/>
          <w:szCs w:val="20"/>
          <w:lang w:eastAsia="en-US"/>
        </w:rPr>
      </w:pPr>
    </w:p>
    <w:p w14:paraId="2EE6A574" w14:textId="2DE6943F" w:rsidR="00AF153A" w:rsidRPr="00490D3B" w:rsidRDefault="0010392F" w:rsidP="00AF153A">
      <w:pPr>
        <w:pStyle w:val="Normal0"/>
        <w:rPr>
          <w:rFonts w:eastAsia="Calibri"/>
          <w:bCs/>
          <w:sz w:val="20"/>
          <w:szCs w:val="20"/>
          <w:lang w:eastAsia="en-US"/>
        </w:rPr>
      </w:pPr>
      <w:r w:rsidRPr="00490D3B">
        <w:rPr>
          <w:rFonts w:eastAsia="Calibri"/>
          <w:b/>
          <w:bCs/>
          <w:sz w:val="20"/>
          <w:szCs w:val="20"/>
          <w:lang w:eastAsia="en-US"/>
        </w:rPr>
        <w:t>Tabla 4.</w:t>
      </w:r>
      <w:r w:rsidRPr="00490D3B">
        <w:rPr>
          <w:rFonts w:eastAsia="Calibri"/>
          <w:bCs/>
          <w:sz w:val="20"/>
          <w:szCs w:val="20"/>
          <w:lang w:eastAsia="en-US"/>
        </w:rPr>
        <w:t xml:space="preserve"> </w:t>
      </w:r>
      <w:r w:rsidR="00AF153A" w:rsidRPr="00490D3B">
        <w:rPr>
          <w:rFonts w:eastAsia="Calibri"/>
          <w:bCs/>
          <w:sz w:val="20"/>
          <w:szCs w:val="20"/>
          <w:lang w:eastAsia="en-US"/>
        </w:rPr>
        <w:t>Ejemplo de estructura para la matriz</w:t>
      </w:r>
    </w:p>
    <w:tbl>
      <w:tblPr>
        <w:tblStyle w:val="Tablaconcuadrcula"/>
        <w:tblW w:w="0" w:type="auto"/>
        <w:tblInd w:w="0" w:type="dxa"/>
        <w:tblLook w:val="04A0" w:firstRow="1" w:lastRow="0" w:firstColumn="1" w:lastColumn="0" w:noHBand="0" w:noVBand="1"/>
      </w:tblPr>
      <w:tblGrid>
        <w:gridCol w:w="1651"/>
        <w:gridCol w:w="1376"/>
        <w:gridCol w:w="1399"/>
        <w:gridCol w:w="1389"/>
        <w:gridCol w:w="1391"/>
        <w:gridCol w:w="1316"/>
        <w:gridCol w:w="1440"/>
      </w:tblGrid>
      <w:tr w:rsidR="0010392F" w:rsidRPr="00490D3B" w14:paraId="50A9E6FB" w14:textId="77777777" w:rsidTr="0010392F">
        <w:tc>
          <w:tcPr>
            <w:tcW w:w="1423" w:type="dxa"/>
          </w:tcPr>
          <w:p w14:paraId="495F84DB" w14:textId="639814DB" w:rsidR="0010392F" w:rsidRPr="00490D3B" w:rsidRDefault="0010392F" w:rsidP="0010392F">
            <w:pPr>
              <w:pStyle w:val="Normal0"/>
              <w:rPr>
                <w:rFonts w:eastAsia="Calibri"/>
                <w:b/>
                <w:bCs/>
                <w:sz w:val="20"/>
                <w:szCs w:val="20"/>
                <w:lang w:eastAsia="en-US"/>
              </w:rPr>
            </w:pPr>
            <w:r w:rsidRPr="00490D3B">
              <w:rPr>
                <w:b/>
                <w:sz w:val="20"/>
                <w:szCs w:val="20"/>
              </w:rPr>
              <w:t>Código</w:t>
            </w:r>
          </w:p>
        </w:tc>
        <w:tc>
          <w:tcPr>
            <w:tcW w:w="1423" w:type="dxa"/>
          </w:tcPr>
          <w:p w14:paraId="7078A0AB" w14:textId="5C64FBD6" w:rsidR="0010392F" w:rsidRPr="00490D3B" w:rsidRDefault="0010392F" w:rsidP="0010392F">
            <w:pPr>
              <w:pStyle w:val="Normal0"/>
              <w:rPr>
                <w:rFonts w:eastAsia="Calibri"/>
                <w:b/>
                <w:bCs/>
                <w:sz w:val="20"/>
                <w:szCs w:val="20"/>
                <w:lang w:eastAsia="en-US"/>
              </w:rPr>
            </w:pPr>
            <w:r w:rsidRPr="00490D3B">
              <w:rPr>
                <w:b/>
                <w:sz w:val="20"/>
                <w:szCs w:val="20"/>
              </w:rPr>
              <w:t>Servicio o tecnología</w:t>
            </w:r>
          </w:p>
        </w:tc>
        <w:tc>
          <w:tcPr>
            <w:tcW w:w="1423" w:type="dxa"/>
          </w:tcPr>
          <w:p w14:paraId="5EB8BB87" w14:textId="291E1843" w:rsidR="0010392F" w:rsidRPr="00490D3B" w:rsidRDefault="0010392F" w:rsidP="0010392F">
            <w:pPr>
              <w:pStyle w:val="Normal0"/>
              <w:rPr>
                <w:rFonts w:eastAsia="Calibri"/>
                <w:b/>
                <w:bCs/>
                <w:sz w:val="20"/>
                <w:szCs w:val="20"/>
                <w:lang w:eastAsia="en-US"/>
              </w:rPr>
            </w:pPr>
            <w:r w:rsidRPr="00490D3B">
              <w:rPr>
                <w:b/>
                <w:sz w:val="20"/>
                <w:szCs w:val="20"/>
              </w:rPr>
              <w:t>Población susceptible</w:t>
            </w:r>
          </w:p>
        </w:tc>
        <w:tc>
          <w:tcPr>
            <w:tcW w:w="1423" w:type="dxa"/>
          </w:tcPr>
          <w:p w14:paraId="6FFF0A2C" w14:textId="02957BD0" w:rsidR="0010392F" w:rsidRPr="00490D3B" w:rsidRDefault="0010392F" w:rsidP="0010392F">
            <w:pPr>
              <w:pStyle w:val="Normal0"/>
              <w:rPr>
                <w:rFonts w:eastAsia="Calibri"/>
                <w:b/>
                <w:bCs/>
                <w:sz w:val="20"/>
                <w:szCs w:val="20"/>
                <w:lang w:eastAsia="en-US"/>
              </w:rPr>
            </w:pPr>
            <w:r w:rsidRPr="00490D3B">
              <w:rPr>
                <w:b/>
                <w:sz w:val="20"/>
                <w:szCs w:val="20"/>
              </w:rPr>
              <w:t>Frecuencia</w:t>
            </w:r>
          </w:p>
        </w:tc>
        <w:tc>
          <w:tcPr>
            <w:tcW w:w="1423" w:type="dxa"/>
          </w:tcPr>
          <w:p w14:paraId="26363BE9" w14:textId="3BBB9A41" w:rsidR="0010392F" w:rsidRPr="00490D3B" w:rsidRDefault="0010392F" w:rsidP="0010392F">
            <w:pPr>
              <w:pStyle w:val="Normal0"/>
              <w:rPr>
                <w:rFonts w:eastAsia="Calibri"/>
                <w:b/>
                <w:bCs/>
                <w:sz w:val="20"/>
                <w:szCs w:val="20"/>
                <w:lang w:eastAsia="en-US"/>
              </w:rPr>
            </w:pPr>
            <w:r w:rsidRPr="00490D3B">
              <w:rPr>
                <w:b/>
                <w:sz w:val="20"/>
                <w:szCs w:val="20"/>
              </w:rPr>
              <w:t>Cantidad proyectada</w:t>
            </w:r>
          </w:p>
        </w:tc>
        <w:tc>
          <w:tcPr>
            <w:tcW w:w="1423" w:type="dxa"/>
          </w:tcPr>
          <w:p w14:paraId="09A5324A" w14:textId="2719723B" w:rsidR="0010392F" w:rsidRPr="00490D3B" w:rsidRDefault="0010392F" w:rsidP="0010392F">
            <w:pPr>
              <w:pStyle w:val="Normal0"/>
              <w:rPr>
                <w:rFonts w:eastAsia="Calibri"/>
                <w:b/>
                <w:bCs/>
                <w:sz w:val="20"/>
                <w:szCs w:val="20"/>
                <w:lang w:eastAsia="en-US"/>
              </w:rPr>
            </w:pPr>
            <w:r w:rsidRPr="00490D3B">
              <w:rPr>
                <w:b/>
                <w:sz w:val="20"/>
                <w:szCs w:val="20"/>
              </w:rPr>
              <w:t>Valor unitario</w:t>
            </w:r>
          </w:p>
        </w:tc>
        <w:tc>
          <w:tcPr>
            <w:tcW w:w="1424" w:type="dxa"/>
          </w:tcPr>
          <w:p w14:paraId="2186EFCA" w14:textId="163FF7E9" w:rsidR="0010392F" w:rsidRPr="00490D3B" w:rsidRDefault="0010392F" w:rsidP="0010392F">
            <w:pPr>
              <w:pStyle w:val="Normal0"/>
              <w:rPr>
                <w:rFonts w:eastAsia="Calibri"/>
                <w:b/>
                <w:bCs/>
                <w:sz w:val="20"/>
                <w:szCs w:val="20"/>
                <w:lang w:eastAsia="en-US"/>
              </w:rPr>
            </w:pPr>
            <w:r w:rsidRPr="00490D3B">
              <w:rPr>
                <w:b/>
                <w:sz w:val="20"/>
                <w:szCs w:val="20"/>
              </w:rPr>
              <w:t>Valor proyectado</w:t>
            </w:r>
          </w:p>
        </w:tc>
      </w:tr>
      <w:tr w:rsidR="0010392F" w:rsidRPr="00490D3B" w14:paraId="63AE8C99" w14:textId="77777777" w:rsidTr="0010392F">
        <w:tc>
          <w:tcPr>
            <w:tcW w:w="1423" w:type="dxa"/>
          </w:tcPr>
          <w:p w14:paraId="210F19C8" w14:textId="2F165B25" w:rsidR="0010392F" w:rsidRPr="00490D3B" w:rsidRDefault="0010392F" w:rsidP="0010392F">
            <w:pPr>
              <w:pStyle w:val="Normal0"/>
              <w:rPr>
                <w:rFonts w:eastAsia="Calibri"/>
                <w:bCs/>
                <w:sz w:val="20"/>
                <w:szCs w:val="20"/>
                <w:lang w:eastAsia="en-US"/>
              </w:rPr>
            </w:pPr>
            <w:r w:rsidRPr="00490D3B">
              <w:rPr>
                <w:sz w:val="20"/>
                <w:szCs w:val="20"/>
              </w:rPr>
              <w:t>Código correspondiente</w:t>
            </w:r>
          </w:p>
        </w:tc>
        <w:tc>
          <w:tcPr>
            <w:tcW w:w="1423" w:type="dxa"/>
          </w:tcPr>
          <w:p w14:paraId="5B5CC507" w14:textId="07B36872" w:rsidR="0010392F" w:rsidRPr="00490D3B" w:rsidRDefault="0010392F" w:rsidP="0010392F">
            <w:pPr>
              <w:pStyle w:val="Normal0"/>
              <w:rPr>
                <w:rFonts w:eastAsia="Calibri"/>
                <w:bCs/>
                <w:sz w:val="20"/>
                <w:szCs w:val="20"/>
                <w:lang w:eastAsia="en-US"/>
              </w:rPr>
            </w:pPr>
            <w:r w:rsidRPr="00490D3B">
              <w:rPr>
                <w:sz w:val="20"/>
                <w:szCs w:val="20"/>
              </w:rPr>
              <w:t>Servicio 1</w:t>
            </w:r>
          </w:p>
        </w:tc>
        <w:tc>
          <w:tcPr>
            <w:tcW w:w="1423" w:type="dxa"/>
          </w:tcPr>
          <w:p w14:paraId="10FF804D" w14:textId="08BA9444" w:rsidR="0010392F" w:rsidRPr="00490D3B" w:rsidRDefault="0010392F" w:rsidP="0010392F">
            <w:pPr>
              <w:pStyle w:val="Normal0"/>
              <w:rPr>
                <w:rFonts w:eastAsia="Calibri"/>
                <w:bCs/>
                <w:sz w:val="20"/>
                <w:szCs w:val="20"/>
                <w:lang w:eastAsia="en-US"/>
              </w:rPr>
            </w:pPr>
            <w:r w:rsidRPr="00490D3B">
              <w:rPr>
                <w:sz w:val="20"/>
                <w:szCs w:val="20"/>
              </w:rPr>
              <w:t>2.000</w:t>
            </w:r>
          </w:p>
        </w:tc>
        <w:tc>
          <w:tcPr>
            <w:tcW w:w="1423" w:type="dxa"/>
          </w:tcPr>
          <w:p w14:paraId="34E9CCE2" w14:textId="78D6A6AD" w:rsidR="0010392F" w:rsidRPr="00490D3B" w:rsidRDefault="0010392F" w:rsidP="0010392F">
            <w:pPr>
              <w:pStyle w:val="Normal0"/>
              <w:rPr>
                <w:rFonts w:eastAsia="Calibri"/>
                <w:bCs/>
                <w:sz w:val="20"/>
                <w:szCs w:val="20"/>
                <w:lang w:eastAsia="en-US"/>
              </w:rPr>
            </w:pPr>
            <w:r w:rsidRPr="00490D3B">
              <w:rPr>
                <w:sz w:val="20"/>
                <w:szCs w:val="20"/>
              </w:rPr>
              <w:t>1,5</w:t>
            </w:r>
          </w:p>
        </w:tc>
        <w:tc>
          <w:tcPr>
            <w:tcW w:w="1423" w:type="dxa"/>
          </w:tcPr>
          <w:p w14:paraId="0865DBD0" w14:textId="5DC540F8" w:rsidR="0010392F" w:rsidRPr="00490D3B" w:rsidRDefault="0010392F" w:rsidP="0010392F">
            <w:pPr>
              <w:pStyle w:val="Normal0"/>
              <w:rPr>
                <w:rFonts w:eastAsia="Calibri"/>
                <w:bCs/>
                <w:sz w:val="20"/>
                <w:szCs w:val="20"/>
                <w:lang w:eastAsia="en-US"/>
              </w:rPr>
            </w:pPr>
            <w:r w:rsidRPr="00490D3B">
              <w:rPr>
                <w:sz w:val="20"/>
                <w:szCs w:val="20"/>
              </w:rPr>
              <w:t>3.000</w:t>
            </w:r>
          </w:p>
        </w:tc>
        <w:tc>
          <w:tcPr>
            <w:tcW w:w="1423" w:type="dxa"/>
          </w:tcPr>
          <w:p w14:paraId="46AE68A5" w14:textId="735A4953" w:rsidR="0010392F" w:rsidRPr="00490D3B" w:rsidRDefault="0010392F" w:rsidP="0010392F">
            <w:pPr>
              <w:pStyle w:val="Normal0"/>
              <w:rPr>
                <w:rFonts w:eastAsia="Calibri"/>
                <w:bCs/>
                <w:sz w:val="20"/>
                <w:szCs w:val="20"/>
                <w:lang w:eastAsia="en-US"/>
              </w:rPr>
            </w:pPr>
            <w:r w:rsidRPr="00490D3B">
              <w:rPr>
                <w:sz w:val="20"/>
                <w:szCs w:val="20"/>
              </w:rPr>
              <w:t>$50.000</w:t>
            </w:r>
          </w:p>
        </w:tc>
        <w:tc>
          <w:tcPr>
            <w:tcW w:w="1424" w:type="dxa"/>
          </w:tcPr>
          <w:p w14:paraId="2BF1509E" w14:textId="69BBF02F" w:rsidR="0010392F" w:rsidRPr="00490D3B" w:rsidRDefault="0010392F" w:rsidP="0010392F">
            <w:pPr>
              <w:pStyle w:val="Normal0"/>
              <w:rPr>
                <w:rFonts w:eastAsia="Calibri"/>
                <w:bCs/>
                <w:sz w:val="20"/>
                <w:szCs w:val="20"/>
                <w:lang w:eastAsia="en-US"/>
              </w:rPr>
            </w:pPr>
            <w:r w:rsidRPr="00490D3B">
              <w:rPr>
                <w:sz w:val="20"/>
                <w:szCs w:val="20"/>
              </w:rPr>
              <w:t>$150.000.000</w:t>
            </w:r>
          </w:p>
        </w:tc>
      </w:tr>
      <w:tr w:rsidR="0010392F" w:rsidRPr="00490D3B" w14:paraId="6223C25D" w14:textId="77777777" w:rsidTr="0010392F">
        <w:tc>
          <w:tcPr>
            <w:tcW w:w="1423" w:type="dxa"/>
          </w:tcPr>
          <w:p w14:paraId="3A54A332" w14:textId="69FA1ECD" w:rsidR="0010392F" w:rsidRPr="00490D3B" w:rsidRDefault="0010392F" w:rsidP="0010392F">
            <w:pPr>
              <w:pStyle w:val="Normal0"/>
              <w:rPr>
                <w:rFonts w:eastAsia="Calibri"/>
                <w:bCs/>
                <w:sz w:val="20"/>
                <w:szCs w:val="20"/>
                <w:lang w:eastAsia="en-US"/>
              </w:rPr>
            </w:pPr>
            <w:r w:rsidRPr="00490D3B">
              <w:rPr>
                <w:sz w:val="20"/>
                <w:szCs w:val="20"/>
              </w:rPr>
              <w:t>Código correspondiente</w:t>
            </w:r>
          </w:p>
        </w:tc>
        <w:tc>
          <w:tcPr>
            <w:tcW w:w="1423" w:type="dxa"/>
          </w:tcPr>
          <w:p w14:paraId="5C05984B" w14:textId="3B7C959C" w:rsidR="0010392F" w:rsidRPr="00490D3B" w:rsidRDefault="0010392F" w:rsidP="0010392F">
            <w:pPr>
              <w:pStyle w:val="Normal0"/>
              <w:rPr>
                <w:rFonts w:eastAsia="Calibri"/>
                <w:bCs/>
                <w:sz w:val="20"/>
                <w:szCs w:val="20"/>
                <w:lang w:eastAsia="en-US"/>
              </w:rPr>
            </w:pPr>
            <w:r w:rsidRPr="00490D3B">
              <w:rPr>
                <w:sz w:val="20"/>
                <w:szCs w:val="20"/>
              </w:rPr>
              <w:t>Servicio 2</w:t>
            </w:r>
          </w:p>
        </w:tc>
        <w:tc>
          <w:tcPr>
            <w:tcW w:w="1423" w:type="dxa"/>
          </w:tcPr>
          <w:p w14:paraId="5DB05AFF" w14:textId="3584542B" w:rsidR="0010392F" w:rsidRPr="00490D3B" w:rsidRDefault="0010392F" w:rsidP="0010392F">
            <w:pPr>
              <w:pStyle w:val="Normal0"/>
              <w:rPr>
                <w:rFonts w:eastAsia="Calibri"/>
                <w:bCs/>
                <w:sz w:val="20"/>
                <w:szCs w:val="20"/>
                <w:lang w:eastAsia="en-US"/>
              </w:rPr>
            </w:pPr>
            <w:r w:rsidRPr="00490D3B">
              <w:rPr>
                <w:sz w:val="20"/>
                <w:szCs w:val="20"/>
              </w:rPr>
              <w:t>1.200</w:t>
            </w:r>
          </w:p>
        </w:tc>
        <w:tc>
          <w:tcPr>
            <w:tcW w:w="1423" w:type="dxa"/>
          </w:tcPr>
          <w:p w14:paraId="519FDC1A" w14:textId="309DCEF0" w:rsidR="0010392F" w:rsidRPr="00490D3B" w:rsidRDefault="0010392F" w:rsidP="0010392F">
            <w:pPr>
              <w:pStyle w:val="Normal0"/>
              <w:rPr>
                <w:rFonts w:eastAsia="Calibri"/>
                <w:bCs/>
                <w:sz w:val="20"/>
                <w:szCs w:val="20"/>
                <w:lang w:eastAsia="en-US"/>
              </w:rPr>
            </w:pPr>
            <w:r w:rsidRPr="00490D3B">
              <w:rPr>
                <w:sz w:val="20"/>
                <w:szCs w:val="20"/>
              </w:rPr>
              <w:t>2,0</w:t>
            </w:r>
          </w:p>
        </w:tc>
        <w:tc>
          <w:tcPr>
            <w:tcW w:w="1423" w:type="dxa"/>
          </w:tcPr>
          <w:p w14:paraId="7CCBA7C2" w14:textId="31189472" w:rsidR="0010392F" w:rsidRPr="00490D3B" w:rsidRDefault="0010392F" w:rsidP="0010392F">
            <w:pPr>
              <w:pStyle w:val="Normal0"/>
              <w:rPr>
                <w:rFonts w:eastAsia="Calibri"/>
                <w:bCs/>
                <w:sz w:val="20"/>
                <w:szCs w:val="20"/>
                <w:lang w:eastAsia="en-US"/>
              </w:rPr>
            </w:pPr>
            <w:r w:rsidRPr="00490D3B">
              <w:rPr>
                <w:sz w:val="20"/>
                <w:szCs w:val="20"/>
              </w:rPr>
              <w:t>2.400</w:t>
            </w:r>
          </w:p>
        </w:tc>
        <w:tc>
          <w:tcPr>
            <w:tcW w:w="1423" w:type="dxa"/>
          </w:tcPr>
          <w:p w14:paraId="2BEFC745" w14:textId="1703A94A" w:rsidR="0010392F" w:rsidRPr="00490D3B" w:rsidRDefault="0010392F" w:rsidP="0010392F">
            <w:pPr>
              <w:pStyle w:val="Normal0"/>
              <w:rPr>
                <w:rFonts w:eastAsia="Calibri"/>
                <w:bCs/>
                <w:sz w:val="20"/>
                <w:szCs w:val="20"/>
                <w:lang w:eastAsia="en-US"/>
              </w:rPr>
            </w:pPr>
            <w:r w:rsidRPr="00490D3B">
              <w:rPr>
                <w:sz w:val="20"/>
                <w:szCs w:val="20"/>
              </w:rPr>
              <w:t>$30.000</w:t>
            </w:r>
          </w:p>
        </w:tc>
        <w:tc>
          <w:tcPr>
            <w:tcW w:w="1424" w:type="dxa"/>
          </w:tcPr>
          <w:p w14:paraId="28BC7D68" w14:textId="0282477D" w:rsidR="0010392F" w:rsidRPr="00490D3B" w:rsidRDefault="0010392F" w:rsidP="0010392F">
            <w:pPr>
              <w:pStyle w:val="Normal0"/>
              <w:rPr>
                <w:rFonts w:eastAsia="Calibri"/>
                <w:bCs/>
                <w:sz w:val="20"/>
                <w:szCs w:val="20"/>
                <w:lang w:eastAsia="en-US"/>
              </w:rPr>
            </w:pPr>
            <w:r w:rsidRPr="00490D3B">
              <w:rPr>
                <w:sz w:val="20"/>
                <w:szCs w:val="20"/>
              </w:rPr>
              <w:t>$72.000.000</w:t>
            </w:r>
          </w:p>
        </w:tc>
      </w:tr>
    </w:tbl>
    <w:p w14:paraId="01D1FF85" w14:textId="77777777" w:rsidR="0010392F" w:rsidRPr="00490D3B" w:rsidRDefault="0010392F" w:rsidP="00AF153A">
      <w:pPr>
        <w:pStyle w:val="Normal0"/>
        <w:rPr>
          <w:rFonts w:eastAsia="Calibri"/>
          <w:bCs/>
          <w:sz w:val="20"/>
          <w:szCs w:val="20"/>
          <w:lang w:eastAsia="en-US"/>
        </w:rPr>
      </w:pPr>
    </w:p>
    <w:p w14:paraId="25F58096" w14:textId="2BFF75F2" w:rsidR="00AF153A" w:rsidRPr="00490D3B" w:rsidRDefault="0010392F" w:rsidP="00AF153A">
      <w:pPr>
        <w:pStyle w:val="Normal0"/>
        <w:rPr>
          <w:rFonts w:eastAsia="Calibri"/>
          <w:bCs/>
          <w:sz w:val="20"/>
          <w:szCs w:val="20"/>
          <w:lang w:eastAsia="en-US"/>
        </w:rPr>
      </w:pPr>
      <w:r w:rsidRPr="00490D3B">
        <w:rPr>
          <w:rFonts w:eastAsia="Calibri"/>
          <w:bCs/>
          <w:sz w:val="20"/>
          <w:szCs w:val="20"/>
          <w:lang w:eastAsia="en-US"/>
        </w:rPr>
        <w:t>Los valores utilizados en este ejemplo son simulados y tienen únicamente finalidad pedagógica. En un ejercicio aplicado a información real, los datos deben proceder de fuentes verificables y contar con los soportes correspondientes.</w:t>
      </w:r>
    </w:p>
    <w:p w14:paraId="4137D8E8" w14:textId="2E3D69B7" w:rsidR="0010392F" w:rsidRPr="00490D3B" w:rsidRDefault="0010392F" w:rsidP="00AF153A">
      <w:pPr>
        <w:pStyle w:val="Normal0"/>
        <w:rPr>
          <w:rFonts w:eastAsia="Calibri"/>
          <w:bCs/>
          <w:sz w:val="20"/>
          <w:szCs w:val="20"/>
          <w:lang w:eastAsia="en-US"/>
        </w:rPr>
      </w:pPr>
    </w:p>
    <w:p w14:paraId="442AF47A" w14:textId="77777777" w:rsidR="00490D3B" w:rsidRPr="00490D3B" w:rsidRDefault="00490D3B" w:rsidP="00AF153A">
      <w:pPr>
        <w:pStyle w:val="Normal0"/>
        <w:rPr>
          <w:rFonts w:eastAsia="Calibri"/>
          <w:bCs/>
          <w:sz w:val="20"/>
          <w:szCs w:val="20"/>
          <w:lang w:eastAsia="en-US"/>
        </w:rPr>
      </w:pPr>
    </w:p>
    <w:p w14:paraId="502884A4" w14:textId="1D21F17D" w:rsidR="00D743F1" w:rsidRPr="00490D3B" w:rsidRDefault="00D743F1" w:rsidP="00D743F1">
      <w:pPr>
        <w:pStyle w:val="Normal0"/>
        <w:numPr>
          <w:ilvl w:val="0"/>
          <w:numId w:val="30"/>
        </w:numPr>
        <w:rPr>
          <w:rFonts w:eastAsia="Calibri"/>
          <w:b/>
          <w:bCs/>
          <w:sz w:val="20"/>
          <w:szCs w:val="20"/>
          <w:lang w:eastAsia="en-US"/>
        </w:rPr>
      </w:pPr>
      <w:r w:rsidRPr="00490D3B">
        <w:rPr>
          <w:rFonts w:eastAsia="Calibri"/>
          <w:b/>
          <w:bCs/>
          <w:sz w:val="20"/>
          <w:szCs w:val="20"/>
          <w:lang w:eastAsia="en-US"/>
        </w:rPr>
        <w:t>Revisión y validación de la nota técnica</w:t>
      </w:r>
    </w:p>
    <w:p w14:paraId="3A39FD4F" w14:textId="5DB7A2AE" w:rsidR="0010392F" w:rsidRPr="00490D3B" w:rsidRDefault="0010392F" w:rsidP="0010392F">
      <w:pPr>
        <w:pStyle w:val="Normal0"/>
        <w:rPr>
          <w:rFonts w:eastAsia="Calibri"/>
          <w:b/>
          <w:bCs/>
          <w:sz w:val="20"/>
          <w:szCs w:val="20"/>
          <w:lang w:eastAsia="en-US"/>
        </w:rPr>
      </w:pPr>
    </w:p>
    <w:p w14:paraId="05C267DB" w14:textId="77777777" w:rsidR="0010392F" w:rsidRPr="00490D3B" w:rsidRDefault="0010392F" w:rsidP="0010392F">
      <w:pPr>
        <w:pStyle w:val="Normal0"/>
        <w:rPr>
          <w:rFonts w:eastAsia="Calibri"/>
          <w:bCs/>
          <w:sz w:val="20"/>
          <w:szCs w:val="20"/>
          <w:lang w:eastAsia="en-US"/>
        </w:rPr>
      </w:pPr>
      <w:r w:rsidRPr="00490D3B">
        <w:rPr>
          <w:rFonts w:eastAsia="Calibri"/>
          <w:bCs/>
          <w:sz w:val="20"/>
          <w:szCs w:val="20"/>
          <w:lang w:eastAsia="en-US"/>
        </w:rPr>
        <w:t>La revisión y validación de la nota técnica permite comprobar la coherencia, consistencia y suficiencia de la información utilizada para sustentar las proyecciones de servicios y tecnologías en salud. Este proceso parte de la información consolidada y busca identificar posibles inconsistencias en aspectos como la población, los servicios y procedimientos, las frecuencias de uso, los costos, las tarifas y los elementos relacionados con la gestión del riesgo.</w:t>
      </w:r>
    </w:p>
    <w:p w14:paraId="0E170039" w14:textId="77777777" w:rsidR="0010392F" w:rsidRPr="00490D3B" w:rsidRDefault="0010392F" w:rsidP="0010392F">
      <w:pPr>
        <w:pStyle w:val="Normal0"/>
        <w:rPr>
          <w:rFonts w:eastAsia="Calibri"/>
          <w:bCs/>
          <w:sz w:val="20"/>
          <w:szCs w:val="20"/>
          <w:lang w:eastAsia="en-US"/>
        </w:rPr>
      </w:pPr>
    </w:p>
    <w:p w14:paraId="23703F02" w14:textId="77777777" w:rsidR="0010392F" w:rsidRPr="00490D3B" w:rsidRDefault="0010392F" w:rsidP="0010392F">
      <w:pPr>
        <w:pStyle w:val="Normal0"/>
        <w:rPr>
          <w:rFonts w:eastAsia="Calibri"/>
          <w:bCs/>
          <w:sz w:val="20"/>
          <w:szCs w:val="20"/>
          <w:lang w:eastAsia="en-US"/>
        </w:rPr>
      </w:pPr>
      <w:r w:rsidRPr="00490D3B">
        <w:rPr>
          <w:rFonts w:eastAsia="Calibri"/>
          <w:bCs/>
          <w:sz w:val="20"/>
          <w:szCs w:val="20"/>
          <w:lang w:eastAsia="en-US"/>
        </w:rPr>
        <w:t>La validación comprende tres perspectivas complementarias: técnica, jurídica y financiera. La validación técnica se orienta a comprobar la correspondencia de los datos y cálculos con las condiciones de prestación de los servicios; la jurídica verifica la relación de la nota técnica con las disposiciones aplicables y las condiciones del acuerdo de voluntades; y la financiera analiza la consistencia de los valores proyectados y su sostenibilidad.</w:t>
      </w:r>
    </w:p>
    <w:p w14:paraId="242E0153" w14:textId="77777777" w:rsidR="0010392F" w:rsidRPr="00490D3B" w:rsidRDefault="0010392F" w:rsidP="0010392F">
      <w:pPr>
        <w:pStyle w:val="Normal0"/>
        <w:rPr>
          <w:rFonts w:eastAsia="Calibri"/>
          <w:bCs/>
          <w:sz w:val="20"/>
          <w:szCs w:val="20"/>
          <w:lang w:eastAsia="en-US"/>
        </w:rPr>
      </w:pPr>
    </w:p>
    <w:p w14:paraId="13F59F94" w14:textId="77777777" w:rsidR="0010392F" w:rsidRPr="00490D3B" w:rsidRDefault="0010392F" w:rsidP="0010392F">
      <w:pPr>
        <w:pStyle w:val="Normal0"/>
        <w:rPr>
          <w:rFonts w:eastAsia="Calibri"/>
          <w:bCs/>
          <w:sz w:val="20"/>
          <w:szCs w:val="20"/>
          <w:lang w:eastAsia="en-US"/>
        </w:rPr>
      </w:pPr>
      <w:r w:rsidRPr="00490D3B">
        <w:rPr>
          <w:rFonts w:eastAsia="Calibri"/>
          <w:bCs/>
          <w:sz w:val="20"/>
          <w:szCs w:val="20"/>
          <w:lang w:eastAsia="en-US"/>
        </w:rPr>
        <w:lastRenderedPageBreak/>
        <w:t>Durante este proceso se revisan, entre otros aspectos, la población considerada, las frecuencias, los códigos de los servicios y tecnologías, las tarifas utilizadas y los documentos que sustentan la información. También se verifica que las condiciones relacionadas con la modalidad de pago, la gestión del riesgo, la auditoría y las obligaciones de las partes sean coherentes con lo establecido en el acuerdo.</w:t>
      </w:r>
    </w:p>
    <w:p w14:paraId="50F79CBF" w14:textId="77777777" w:rsidR="0010392F" w:rsidRPr="00490D3B" w:rsidRDefault="0010392F" w:rsidP="0010392F">
      <w:pPr>
        <w:pStyle w:val="Normal0"/>
        <w:rPr>
          <w:rFonts w:eastAsia="Calibri"/>
          <w:bCs/>
          <w:sz w:val="20"/>
          <w:szCs w:val="20"/>
          <w:lang w:eastAsia="en-US"/>
        </w:rPr>
      </w:pPr>
    </w:p>
    <w:p w14:paraId="68E8C506" w14:textId="46453D21" w:rsidR="0010392F" w:rsidRPr="00490D3B" w:rsidRDefault="0010392F" w:rsidP="0010392F">
      <w:pPr>
        <w:pStyle w:val="Normal0"/>
        <w:rPr>
          <w:rFonts w:eastAsia="Calibri"/>
          <w:bCs/>
          <w:sz w:val="20"/>
          <w:szCs w:val="20"/>
          <w:lang w:eastAsia="en-US"/>
        </w:rPr>
      </w:pPr>
      <w:r w:rsidRPr="00490D3B">
        <w:rPr>
          <w:rFonts w:eastAsia="Calibri"/>
          <w:bCs/>
          <w:sz w:val="20"/>
          <w:szCs w:val="20"/>
          <w:lang w:eastAsia="en-US"/>
        </w:rPr>
        <w:t>Los resultados de la revisión permiten identificar inconsistencias, establecer ajustes y documentar los hallazgos encontrados. De esta manera, la validación constituye un paso previo al seguimiento de la ejecución y a la implementación de acciones de mejora cuando sean necesarias.</w:t>
      </w:r>
    </w:p>
    <w:p w14:paraId="31D34409" w14:textId="77777777" w:rsidR="0010392F" w:rsidRPr="00490D3B" w:rsidRDefault="0010392F" w:rsidP="0010392F">
      <w:pPr>
        <w:pStyle w:val="Normal0"/>
        <w:rPr>
          <w:rFonts w:eastAsia="Calibri"/>
          <w:bCs/>
          <w:sz w:val="20"/>
          <w:szCs w:val="20"/>
          <w:lang w:eastAsia="en-US"/>
        </w:rPr>
      </w:pPr>
    </w:p>
    <w:p w14:paraId="3D756384" w14:textId="24D03C2F" w:rsidR="00D743F1" w:rsidRPr="00490D3B" w:rsidRDefault="00D743F1" w:rsidP="00D743F1">
      <w:pPr>
        <w:pStyle w:val="Normal0"/>
        <w:numPr>
          <w:ilvl w:val="1"/>
          <w:numId w:val="30"/>
        </w:numPr>
        <w:rPr>
          <w:rFonts w:eastAsia="Calibri"/>
          <w:b/>
          <w:bCs/>
          <w:sz w:val="20"/>
          <w:szCs w:val="20"/>
          <w:lang w:eastAsia="en-US"/>
        </w:rPr>
      </w:pPr>
      <w:r w:rsidRPr="00490D3B">
        <w:rPr>
          <w:rFonts w:eastAsia="Calibri"/>
          <w:b/>
          <w:bCs/>
          <w:sz w:val="20"/>
          <w:szCs w:val="20"/>
          <w:lang w:eastAsia="en-US"/>
        </w:rPr>
        <w:t>Validación técnica</w:t>
      </w:r>
    </w:p>
    <w:p w14:paraId="63A19BA2" w14:textId="49DC7768" w:rsidR="0010392F" w:rsidRPr="00490D3B" w:rsidRDefault="0010392F" w:rsidP="0010392F">
      <w:pPr>
        <w:pStyle w:val="Normal0"/>
        <w:rPr>
          <w:rFonts w:eastAsia="Calibri"/>
          <w:bCs/>
          <w:sz w:val="20"/>
          <w:szCs w:val="20"/>
          <w:lang w:eastAsia="en-US"/>
        </w:rPr>
      </w:pPr>
    </w:p>
    <w:p w14:paraId="52785906" w14:textId="77777777" w:rsidR="0010392F" w:rsidRPr="00490D3B" w:rsidRDefault="0010392F" w:rsidP="0010392F">
      <w:pPr>
        <w:pStyle w:val="Normal0"/>
        <w:rPr>
          <w:rFonts w:eastAsia="Calibri"/>
          <w:bCs/>
          <w:sz w:val="20"/>
          <w:szCs w:val="20"/>
          <w:lang w:eastAsia="en-US"/>
        </w:rPr>
      </w:pPr>
      <w:r w:rsidRPr="00490D3B">
        <w:rPr>
          <w:rFonts w:eastAsia="Calibri"/>
          <w:bCs/>
          <w:sz w:val="20"/>
          <w:szCs w:val="20"/>
          <w:lang w:eastAsia="en-US"/>
        </w:rPr>
        <w:t>La validación técnica permite comprobar que la información y los cálculos incluidos en la nota técnica sean coherentes con las condiciones de prestación de los servicios y tecnologías en salud. Este proceso revisa la correspondencia entre la población, las frecuencias de uso, los códigos, las tarifas y los documentos que sustentan la información.</w:t>
      </w:r>
    </w:p>
    <w:p w14:paraId="6DFC2221" w14:textId="77777777" w:rsidR="0010392F" w:rsidRPr="00490D3B" w:rsidRDefault="0010392F" w:rsidP="0010392F">
      <w:pPr>
        <w:pStyle w:val="Normal0"/>
        <w:rPr>
          <w:rFonts w:eastAsia="Calibri"/>
          <w:bCs/>
          <w:sz w:val="20"/>
          <w:szCs w:val="20"/>
          <w:lang w:eastAsia="en-US"/>
        </w:rPr>
      </w:pPr>
    </w:p>
    <w:p w14:paraId="7CB63BDA" w14:textId="77777777" w:rsidR="0010392F" w:rsidRPr="00490D3B" w:rsidRDefault="0010392F" w:rsidP="0010392F">
      <w:pPr>
        <w:pStyle w:val="Normal0"/>
        <w:rPr>
          <w:rFonts w:eastAsia="Calibri"/>
          <w:bCs/>
          <w:sz w:val="20"/>
          <w:szCs w:val="20"/>
          <w:lang w:eastAsia="en-US"/>
        </w:rPr>
      </w:pPr>
      <w:r w:rsidRPr="00490D3B">
        <w:rPr>
          <w:rFonts w:eastAsia="Calibri"/>
          <w:bCs/>
          <w:sz w:val="20"/>
          <w:szCs w:val="20"/>
          <w:lang w:eastAsia="en-US"/>
        </w:rPr>
        <w:t>Para realizar esta validación, se pueden considerar los siguientes aspectos:</w:t>
      </w:r>
    </w:p>
    <w:p w14:paraId="762321BD" w14:textId="77777777" w:rsidR="0010392F" w:rsidRPr="00490D3B" w:rsidRDefault="0010392F" w:rsidP="0010392F">
      <w:pPr>
        <w:pStyle w:val="Normal0"/>
        <w:rPr>
          <w:rFonts w:eastAsia="Calibri"/>
          <w:bCs/>
          <w:sz w:val="20"/>
          <w:szCs w:val="20"/>
          <w:lang w:eastAsia="en-US"/>
        </w:rPr>
      </w:pPr>
    </w:p>
    <w:p w14:paraId="798ED3D6" w14:textId="1B63753C" w:rsidR="0010392F" w:rsidRPr="00490D3B" w:rsidRDefault="0010392F" w:rsidP="0010392F">
      <w:pPr>
        <w:pStyle w:val="Normal0"/>
        <w:rPr>
          <w:rFonts w:eastAsia="Calibri"/>
          <w:bCs/>
          <w:sz w:val="20"/>
          <w:szCs w:val="20"/>
          <w:lang w:eastAsia="en-US"/>
        </w:rPr>
      </w:pPr>
      <w:r w:rsidRPr="00490D3B">
        <w:rPr>
          <w:rFonts w:eastAsia="Calibri"/>
          <w:bCs/>
          <w:noProof/>
          <w:sz w:val="20"/>
          <w:szCs w:val="20"/>
          <w:lang w:val="en-US" w:eastAsia="en-US"/>
        </w:rPr>
        <w:drawing>
          <wp:inline distT="0" distB="0" distL="0" distR="0" wp14:anchorId="3E1F98DF" wp14:editId="74B01810">
            <wp:extent cx="6193155" cy="4317558"/>
            <wp:effectExtent l="0" t="0" r="0" b="26035"/>
            <wp:docPr id="5" name="Diagrama 5"/>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34" r:lo="rId35" r:qs="rId36" r:cs="rId37"/>
              </a:graphicData>
            </a:graphic>
          </wp:inline>
        </w:drawing>
      </w:r>
    </w:p>
    <w:p w14:paraId="519546CD" w14:textId="77777777" w:rsidR="0010392F" w:rsidRPr="00490D3B" w:rsidRDefault="0010392F" w:rsidP="0010392F">
      <w:pPr>
        <w:pStyle w:val="Normal0"/>
        <w:rPr>
          <w:rFonts w:eastAsia="Calibri"/>
          <w:bCs/>
          <w:sz w:val="20"/>
          <w:szCs w:val="20"/>
          <w:lang w:eastAsia="en-US"/>
        </w:rPr>
      </w:pPr>
    </w:p>
    <w:p w14:paraId="29DDBDA7" w14:textId="7761A1CA" w:rsidR="0010392F" w:rsidRPr="00490D3B" w:rsidRDefault="0010392F" w:rsidP="0010392F">
      <w:pPr>
        <w:pStyle w:val="Normal0"/>
        <w:rPr>
          <w:rFonts w:eastAsia="Calibri"/>
          <w:bCs/>
          <w:sz w:val="20"/>
          <w:szCs w:val="20"/>
          <w:lang w:eastAsia="en-US"/>
        </w:rPr>
      </w:pPr>
      <w:r w:rsidRPr="00490D3B">
        <w:rPr>
          <w:rFonts w:eastAsia="Calibri"/>
          <w:bCs/>
          <w:sz w:val="20"/>
          <w:szCs w:val="20"/>
          <w:lang w:eastAsia="en-US"/>
        </w:rPr>
        <w:t>La validación técnica permite identificar inconsistencias antes de la consolidación definitiva de la nota técnica. Los resultados obtenidos deben documentarse para establecer los ajustes que correspondan y facilitar posteriormente las validaciones jurídica y financiera.</w:t>
      </w:r>
    </w:p>
    <w:p w14:paraId="2D54F6F2" w14:textId="77777777" w:rsidR="0010392F" w:rsidRPr="00490D3B" w:rsidRDefault="0010392F" w:rsidP="0010392F">
      <w:pPr>
        <w:pStyle w:val="Normal0"/>
        <w:rPr>
          <w:rFonts w:eastAsia="Calibri"/>
          <w:bCs/>
          <w:sz w:val="20"/>
          <w:szCs w:val="20"/>
          <w:lang w:eastAsia="en-US"/>
        </w:rPr>
      </w:pPr>
    </w:p>
    <w:p w14:paraId="5B7793EC" w14:textId="1DAA9993" w:rsidR="00D743F1" w:rsidRPr="00490D3B" w:rsidRDefault="00D743F1" w:rsidP="00D743F1">
      <w:pPr>
        <w:pStyle w:val="Normal0"/>
        <w:numPr>
          <w:ilvl w:val="1"/>
          <w:numId w:val="30"/>
        </w:numPr>
        <w:rPr>
          <w:rFonts w:eastAsia="Calibri"/>
          <w:b/>
          <w:bCs/>
          <w:sz w:val="20"/>
          <w:szCs w:val="20"/>
          <w:lang w:eastAsia="en-US"/>
        </w:rPr>
      </w:pPr>
      <w:r w:rsidRPr="00490D3B">
        <w:rPr>
          <w:rFonts w:eastAsia="Calibri"/>
          <w:b/>
          <w:bCs/>
          <w:sz w:val="20"/>
          <w:szCs w:val="20"/>
          <w:lang w:eastAsia="en-US"/>
        </w:rPr>
        <w:lastRenderedPageBreak/>
        <w:t>Validación jurídica</w:t>
      </w:r>
    </w:p>
    <w:p w14:paraId="34D25965" w14:textId="04BC4BFD" w:rsidR="009D3E81" w:rsidRPr="00490D3B" w:rsidRDefault="009D3E81" w:rsidP="009D3E81">
      <w:pPr>
        <w:pStyle w:val="Normal0"/>
        <w:rPr>
          <w:rFonts w:eastAsia="Calibri"/>
          <w:bCs/>
          <w:sz w:val="20"/>
          <w:szCs w:val="20"/>
          <w:lang w:eastAsia="en-US"/>
        </w:rPr>
      </w:pPr>
    </w:p>
    <w:p w14:paraId="21D7B635" w14:textId="77777777" w:rsidR="009D3E81" w:rsidRPr="00490D3B" w:rsidRDefault="009D3E81" w:rsidP="009D3E81">
      <w:pPr>
        <w:pStyle w:val="Normal0"/>
        <w:rPr>
          <w:rFonts w:eastAsia="Calibri"/>
          <w:bCs/>
          <w:sz w:val="20"/>
          <w:szCs w:val="20"/>
          <w:lang w:eastAsia="en-US"/>
        </w:rPr>
      </w:pPr>
      <w:r w:rsidRPr="00490D3B">
        <w:rPr>
          <w:rFonts w:eastAsia="Calibri"/>
          <w:bCs/>
          <w:sz w:val="20"/>
          <w:szCs w:val="20"/>
          <w:lang w:eastAsia="en-US"/>
        </w:rPr>
        <w:t>La validación jurídica permite comprobar que la nota técnica sea coherente con el marco normativo aplicable y con las condiciones establecidas en el acuerdo de voluntades. Este proceso busca identificar posibles inconsistencias relacionadas con las obligaciones de las partes, la modalidad de pago, la gestión del riesgo y las condiciones de prestación de los servicios.</w:t>
      </w:r>
    </w:p>
    <w:p w14:paraId="6B75D0F7" w14:textId="77777777" w:rsidR="009D3E81" w:rsidRPr="00490D3B" w:rsidRDefault="009D3E81" w:rsidP="009D3E81">
      <w:pPr>
        <w:pStyle w:val="Normal0"/>
        <w:rPr>
          <w:rFonts w:eastAsia="Calibri"/>
          <w:bCs/>
          <w:sz w:val="20"/>
          <w:szCs w:val="20"/>
          <w:lang w:eastAsia="en-US"/>
        </w:rPr>
      </w:pPr>
    </w:p>
    <w:p w14:paraId="21DE7909" w14:textId="77777777" w:rsidR="009D3E81" w:rsidRPr="00490D3B" w:rsidRDefault="009D3E81" w:rsidP="009D3E81">
      <w:pPr>
        <w:pStyle w:val="Normal0"/>
        <w:rPr>
          <w:rFonts w:eastAsia="Calibri"/>
          <w:bCs/>
          <w:sz w:val="20"/>
          <w:szCs w:val="20"/>
          <w:lang w:eastAsia="en-US"/>
        </w:rPr>
      </w:pPr>
      <w:r w:rsidRPr="00490D3B">
        <w:rPr>
          <w:rFonts w:eastAsia="Calibri"/>
          <w:bCs/>
          <w:sz w:val="20"/>
          <w:szCs w:val="20"/>
          <w:lang w:eastAsia="en-US"/>
        </w:rPr>
        <w:t>Para realizar esta validación, se revisan aspectos como:</w:t>
      </w:r>
    </w:p>
    <w:p w14:paraId="6ED617EC" w14:textId="77777777" w:rsidR="009D3E81" w:rsidRPr="00490D3B" w:rsidRDefault="009D3E81" w:rsidP="009D3E81">
      <w:pPr>
        <w:pStyle w:val="Normal0"/>
        <w:rPr>
          <w:rFonts w:eastAsia="Calibri"/>
          <w:bCs/>
          <w:sz w:val="20"/>
          <w:szCs w:val="20"/>
          <w:lang w:eastAsia="en-US"/>
        </w:rPr>
      </w:pPr>
    </w:p>
    <w:p w14:paraId="12153A04" w14:textId="7432EB6B" w:rsidR="009D3E81" w:rsidRPr="00490D3B" w:rsidRDefault="00F85473" w:rsidP="009D3E81">
      <w:pPr>
        <w:pStyle w:val="Normal0"/>
        <w:rPr>
          <w:rFonts w:eastAsia="Calibri"/>
          <w:bCs/>
          <w:sz w:val="20"/>
          <w:szCs w:val="20"/>
          <w:lang w:eastAsia="en-US"/>
        </w:rPr>
      </w:pPr>
      <w:r w:rsidRPr="00490D3B">
        <w:rPr>
          <w:rFonts w:eastAsia="Calibri"/>
          <w:bCs/>
          <w:noProof/>
          <w:sz w:val="20"/>
          <w:szCs w:val="20"/>
          <w:lang w:val="en-US" w:eastAsia="en-US"/>
        </w:rPr>
        <w:drawing>
          <wp:inline distT="0" distB="0" distL="0" distR="0" wp14:anchorId="34E359E8" wp14:editId="0CD2C67D">
            <wp:extent cx="6339840" cy="4611757"/>
            <wp:effectExtent l="0" t="0" r="0" b="17780"/>
            <wp:docPr id="6" name="Diagrama 6"/>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39" r:lo="rId40" r:qs="rId41" r:cs="rId42"/>
              </a:graphicData>
            </a:graphic>
          </wp:inline>
        </w:drawing>
      </w:r>
    </w:p>
    <w:p w14:paraId="607E5869" w14:textId="77777777" w:rsidR="00F85473" w:rsidRPr="00490D3B" w:rsidRDefault="00F85473" w:rsidP="009D3E81">
      <w:pPr>
        <w:pStyle w:val="Normal0"/>
        <w:rPr>
          <w:rFonts w:eastAsia="Calibri"/>
          <w:bCs/>
          <w:sz w:val="20"/>
          <w:szCs w:val="20"/>
          <w:lang w:eastAsia="en-US"/>
        </w:rPr>
      </w:pPr>
    </w:p>
    <w:p w14:paraId="46BBE9A6" w14:textId="535F5D81" w:rsidR="009D3E81" w:rsidRPr="00490D3B" w:rsidRDefault="009D3E81" w:rsidP="009D3E81">
      <w:pPr>
        <w:pStyle w:val="Normal0"/>
        <w:rPr>
          <w:rFonts w:eastAsia="Calibri"/>
          <w:bCs/>
          <w:sz w:val="20"/>
          <w:szCs w:val="20"/>
          <w:lang w:eastAsia="en-US"/>
        </w:rPr>
      </w:pPr>
      <w:r w:rsidRPr="00490D3B">
        <w:rPr>
          <w:rFonts w:eastAsia="Calibri"/>
          <w:bCs/>
          <w:sz w:val="20"/>
          <w:szCs w:val="20"/>
          <w:lang w:eastAsia="en-US"/>
        </w:rPr>
        <w:t>La validación jurídica permite documentar los aspectos que requieren aclaración o ajuste antes de la consolidación definitiva de la nota técnica. Los resultados deben integrarse con los hallazgos de las validaciones técnica y financiera para establecer las acciones correspondientes.</w:t>
      </w:r>
    </w:p>
    <w:p w14:paraId="2C95E441" w14:textId="77777777" w:rsidR="009D3E81" w:rsidRPr="00490D3B" w:rsidRDefault="009D3E81" w:rsidP="009D3E81">
      <w:pPr>
        <w:pStyle w:val="Normal0"/>
        <w:rPr>
          <w:rFonts w:eastAsia="Calibri"/>
          <w:bCs/>
          <w:sz w:val="20"/>
          <w:szCs w:val="20"/>
          <w:lang w:eastAsia="en-US"/>
        </w:rPr>
      </w:pPr>
    </w:p>
    <w:p w14:paraId="15729DD4" w14:textId="5F1C4F59" w:rsidR="00D743F1" w:rsidRPr="00490D3B" w:rsidRDefault="00D743F1" w:rsidP="00D743F1">
      <w:pPr>
        <w:pStyle w:val="Normal0"/>
        <w:numPr>
          <w:ilvl w:val="1"/>
          <w:numId w:val="30"/>
        </w:numPr>
        <w:rPr>
          <w:rFonts w:eastAsia="Calibri"/>
          <w:b/>
          <w:bCs/>
          <w:sz w:val="20"/>
          <w:szCs w:val="20"/>
          <w:lang w:eastAsia="en-US"/>
        </w:rPr>
      </w:pPr>
      <w:r w:rsidRPr="00490D3B">
        <w:rPr>
          <w:rFonts w:eastAsia="Calibri"/>
          <w:b/>
          <w:bCs/>
          <w:sz w:val="20"/>
          <w:szCs w:val="20"/>
          <w:lang w:eastAsia="en-US"/>
        </w:rPr>
        <w:t>Validación financiera</w:t>
      </w:r>
    </w:p>
    <w:p w14:paraId="5C1CF35B" w14:textId="5DB0C4B8" w:rsidR="00F85473" w:rsidRPr="00490D3B" w:rsidRDefault="00F85473" w:rsidP="00F85473">
      <w:pPr>
        <w:pStyle w:val="Normal0"/>
        <w:rPr>
          <w:rFonts w:eastAsia="Calibri"/>
          <w:bCs/>
          <w:sz w:val="20"/>
          <w:szCs w:val="20"/>
          <w:lang w:eastAsia="en-US"/>
        </w:rPr>
      </w:pPr>
    </w:p>
    <w:p w14:paraId="52476E8D" w14:textId="77777777" w:rsidR="00F85473" w:rsidRPr="00490D3B" w:rsidRDefault="00F85473" w:rsidP="00F85473">
      <w:pPr>
        <w:pStyle w:val="Normal0"/>
        <w:rPr>
          <w:rFonts w:eastAsia="Calibri"/>
          <w:bCs/>
          <w:sz w:val="20"/>
          <w:szCs w:val="20"/>
          <w:lang w:eastAsia="en-US"/>
        </w:rPr>
      </w:pPr>
      <w:r w:rsidRPr="00490D3B">
        <w:rPr>
          <w:rFonts w:eastAsia="Calibri"/>
          <w:bCs/>
          <w:sz w:val="20"/>
          <w:szCs w:val="20"/>
          <w:lang w:eastAsia="en-US"/>
        </w:rPr>
        <w:t>La validación financiera permite comprobar la consistencia de los valores económicos incluidos en la nota técnica y determinar si las proyecciones realizadas guardan correspondencia con los servicios y tecnologías que serán objeto del acuerdo. Este proceso considera los costos, las tarifas, las cantidades proyectadas y el valor total estimado.</w:t>
      </w:r>
    </w:p>
    <w:p w14:paraId="19690093" w14:textId="77777777" w:rsidR="00F85473" w:rsidRPr="00490D3B" w:rsidRDefault="00F85473" w:rsidP="00F85473">
      <w:pPr>
        <w:pStyle w:val="Normal0"/>
        <w:rPr>
          <w:rFonts w:eastAsia="Calibri"/>
          <w:bCs/>
          <w:sz w:val="20"/>
          <w:szCs w:val="20"/>
          <w:lang w:eastAsia="en-US"/>
        </w:rPr>
      </w:pPr>
    </w:p>
    <w:p w14:paraId="6C47C9B6" w14:textId="77777777" w:rsidR="00F85473" w:rsidRPr="00490D3B" w:rsidRDefault="00F85473" w:rsidP="00F85473">
      <w:pPr>
        <w:pStyle w:val="Normal0"/>
        <w:rPr>
          <w:rFonts w:eastAsia="Calibri"/>
          <w:bCs/>
          <w:sz w:val="20"/>
          <w:szCs w:val="20"/>
          <w:lang w:eastAsia="en-US"/>
        </w:rPr>
      </w:pPr>
      <w:r w:rsidRPr="00490D3B">
        <w:rPr>
          <w:rFonts w:eastAsia="Calibri"/>
          <w:bCs/>
          <w:sz w:val="20"/>
          <w:szCs w:val="20"/>
          <w:lang w:eastAsia="en-US"/>
        </w:rPr>
        <w:lastRenderedPageBreak/>
        <w:t>Para realizar esta validación, se revisan aspectos como:</w:t>
      </w:r>
    </w:p>
    <w:p w14:paraId="191241CE" w14:textId="77777777" w:rsidR="00F85473" w:rsidRPr="00490D3B" w:rsidRDefault="00F85473" w:rsidP="00F85473">
      <w:pPr>
        <w:pStyle w:val="Normal0"/>
        <w:rPr>
          <w:rFonts w:eastAsia="Calibri"/>
          <w:bCs/>
          <w:sz w:val="20"/>
          <w:szCs w:val="20"/>
          <w:lang w:eastAsia="en-US"/>
        </w:rPr>
      </w:pPr>
    </w:p>
    <w:p w14:paraId="292C6E95" w14:textId="3104EF01" w:rsidR="00F85473" w:rsidRPr="00490D3B" w:rsidRDefault="00F85473" w:rsidP="00F85473">
      <w:pPr>
        <w:pStyle w:val="Normal0"/>
        <w:rPr>
          <w:rFonts w:eastAsia="Calibri"/>
          <w:bCs/>
          <w:sz w:val="20"/>
          <w:szCs w:val="20"/>
          <w:lang w:eastAsia="en-US"/>
        </w:rPr>
      </w:pPr>
      <w:r w:rsidRPr="00490D3B">
        <w:rPr>
          <w:rFonts w:eastAsia="Calibri"/>
          <w:bCs/>
          <w:noProof/>
          <w:sz w:val="20"/>
          <w:szCs w:val="20"/>
          <w:lang w:val="en-US" w:eastAsia="en-US"/>
        </w:rPr>
        <w:drawing>
          <wp:inline distT="0" distB="0" distL="0" distR="0" wp14:anchorId="58CB181F" wp14:editId="2F9F5642">
            <wp:extent cx="6184900" cy="3657600"/>
            <wp:effectExtent l="0" t="0" r="0" b="19050"/>
            <wp:docPr id="7" name="Diagrama 7"/>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44" r:lo="rId45" r:qs="rId46" r:cs="rId47"/>
              </a:graphicData>
            </a:graphic>
          </wp:inline>
        </w:drawing>
      </w:r>
    </w:p>
    <w:p w14:paraId="2551CDBC" w14:textId="77777777" w:rsidR="00F85473" w:rsidRPr="00490D3B" w:rsidRDefault="00F85473" w:rsidP="00F85473">
      <w:pPr>
        <w:pStyle w:val="Normal0"/>
        <w:rPr>
          <w:rFonts w:eastAsia="Calibri"/>
          <w:bCs/>
          <w:sz w:val="20"/>
          <w:szCs w:val="20"/>
          <w:lang w:eastAsia="en-US"/>
        </w:rPr>
      </w:pPr>
    </w:p>
    <w:p w14:paraId="6177BECD" w14:textId="289B2252" w:rsidR="00F85473" w:rsidRPr="00490D3B" w:rsidRDefault="00F85473" w:rsidP="00F85473">
      <w:pPr>
        <w:pStyle w:val="Normal0"/>
        <w:rPr>
          <w:rFonts w:eastAsia="Calibri"/>
          <w:bCs/>
          <w:sz w:val="20"/>
          <w:szCs w:val="20"/>
          <w:lang w:eastAsia="en-US"/>
        </w:rPr>
      </w:pPr>
      <w:r w:rsidRPr="00490D3B">
        <w:rPr>
          <w:rFonts w:eastAsia="Calibri"/>
          <w:bCs/>
          <w:sz w:val="20"/>
          <w:szCs w:val="20"/>
          <w:lang w:eastAsia="en-US"/>
        </w:rPr>
        <w:t>La validación financiera permite identificar diferencias, errores de cálculo o valores que requieran revisión antes de consolidar la nota técnica. Los resultados deben documentarse junto con los hallazgos de las validaciones técnica y jurídica, de manera que puedan establecerse los ajustes correspondientes.</w:t>
      </w:r>
    </w:p>
    <w:p w14:paraId="26863153" w14:textId="77777777" w:rsidR="00F85473" w:rsidRPr="00490D3B" w:rsidRDefault="00F85473" w:rsidP="00F85473">
      <w:pPr>
        <w:pStyle w:val="Normal0"/>
        <w:rPr>
          <w:rFonts w:eastAsia="Calibri"/>
          <w:bCs/>
          <w:sz w:val="20"/>
          <w:szCs w:val="20"/>
          <w:lang w:eastAsia="en-US"/>
        </w:rPr>
      </w:pPr>
    </w:p>
    <w:p w14:paraId="691D805E" w14:textId="61FF2B5B" w:rsidR="00D743F1" w:rsidRPr="00490D3B" w:rsidRDefault="00D743F1" w:rsidP="00D743F1">
      <w:pPr>
        <w:pStyle w:val="Normal0"/>
        <w:numPr>
          <w:ilvl w:val="1"/>
          <w:numId w:val="30"/>
        </w:numPr>
        <w:rPr>
          <w:rFonts w:eastAsia="Calibri"/>
          <w:b/>
          <w:bCs/>
          <w:sz w:val="20"/>
          <w:szCs w:val="20"/>
          <w:lang w:eastAsia="en-US"/>
        </w:rPr>
      </w:pPr>
      <w:r w:rsidRPr="00490D3B">
        <w:rPr>
          <w:rFonts w:eastAsia="Calibri"/>
          <w:b/>
          <w:bCs/>
          <w:sz w:val="20"/>
          <w:szCs w:val="20"/>
          <w:lang w:eastAsia="en-US"/>
        </w:rPr>
        <w:t>Consolidación de resultados de la validación</w:t>
      </w:r>
    </w:p>
    <w:p w14:paraId="152F3DEB" w14:textId="50671D83" w:rsidR="00DD1960" w:rsidRPr="00490D3B" w:rsidRDefault="00DD1960" w:rsidP="00DD1960">
      <w:pPr>
        <w:pStyle w:val="Normal0"/>
        <w:rPr>
          <w:rFonts w:eastAsia="Calibri"/>
          <w:bCs/>
          <w:sz w:val="20"/>
          <w:szCs w:val="20"/>
          <w:lang w:eastAsia="en-US"/>
        </w:rPr>
      </w:pPr>
    </w:p>
    <w:p w14:paraId="51CFD755" w14:textId="77777777" w:rsidR="00DD1960" w:rsidRPr="00490D3B" w:rsidRDefault="00DD1960" w:rsidP="00DD1960">
      <w:pPr>
        <w:pStyle w:val="Normal0"/>
        <w:rPr>
          <w:rFonts w:eastAsia="Calibri"/>
          <w:bCs/>
          <w:sz w:val="20"/>
          <w:szCs w:val="20"/>
          <w:lang w:eastAsia="en-US"/>
        </w:rPr>
      </w:pPr>
      <w:r w:rsidRPr="00490D3B">
        <w:rPr>
          <w:rFonts w:eastAsia="Calibri"/>
          <w:bCs/>
          <w:sz w:val="20"/>
          <w:szCs w:val="20"/>
          <w:lang w:eastAsia="en-US"/>
        </w:rPr>
        <w:t>La consolidación de los resultados permite integrar los hallazgos identificados durante las validaciones técnica, jurídica y financiera, con el propósito de establecer el estado de la nota técnica y determinar los aspectos que requieren corrección, aclaración o ajuste. Este proceso facilita que las observaciones queden documentadas y puedan ser atendidas antes de finalizar la nota técnica.</w:t>
      </w:r>
    </w:p>
    <w:p w14:paraId="2D84B34B" w14:textId="77777777" w:rsidR="00DD1960" w:rsidRPr="00490D3B" w:rsidRDefault="00DD1960" w:rsidP="00DD1960">
      <w:pPr>
        <w:pStyle w:val="Normal0"/>
        <w:rPr>
          <w:rFonts w:eastAsia="Calibri"/>
          <w:bCs/>
          <w:sz w:val="20"/>
          <w:szCs w:val="20"/>
          <w:lang w:eastAsia="en-US"/>
        </w:rPr>
      </w:pPr>
    </w:p>
    <w:p w14:paraId="1EE40CD3" w14:textId="46479E0C" w:rsidR="00DD1960" w:rsidRPr="00490D3B" w:rsidRDefault="00DD1960" w:rsidP="00DD1960">
      <w:pPr>
        <w:pStyle w:val="Normal0"/>
        <w:rPr>
          <w:rFonts w:eastAsia="Calibri"/>
          <w:bCs/>
          <w:sz w:val="20"/>
          <w:szCs w:val="20"/>
          <w:lang w:eastAsia="en-US"/>
        </w:rPr>
      </w:pPr>
      <w:r w:rsidRPr="00490D3B">
        <w:rPr>
          <w:rFonts w:eastAsia="Calibri"/>
          <w:bCs/>
          <w:sz w:val="20"/>
          <w:szCs w:val="20"/>
          <w:lang w:eastAsia="en-US"/>
        </w:rPr>
        <w:t>Para organizar los resultados, se puede utilizar una matriz que relacione el aspecto revisado, el tipo de validación, el hallazgo identificado y la acción requerida:</w:t>
      </w:r>
    </w:p>
    <w:p w14:paraId="44870874" w14:textId="0B5C18AB" w:rsidR="00DD1960" w:rsidRPr="00490D3B" w:rsidRDefault="00DD1960" w:rsidP="00DD1960">
      <w:pPr>
        <w:pStyle w:val="Normal0"/>
        <w:rPr>
          <w:rFonts w:eastAsia="Calibri"/>
          <w:bCs/>
          <w:sz w:val="20"/>
          <w:szCs w:val="20"/>
          <w:lang w:eastAsia="en-US"/>
        </w:rPr>
      </w:pPr>
    </w:p>
    <w:p w14:paraId="210190FF" w14:textId="223972D0" w:rsidR="00DD1960" w:rsidRPr="00490D3B" w:rsidRDefault="00DD1960" w:rsidP="00DD1960">
      <w:pPr>
        <w:pStyle w:val="Normal0"/>
        <w:rPr>
          <w:rFonts w:eastAsia="Calibri"/>
          <w:bCs/>
          <w:sz w:val="20"/>
          <w:szCs w:val="20"/>
          <w:lang w:eastAsia="en-US"/>
        </w:rPr>
      </w:pPr>
      <w:r w:rsidRPr="00490D3B">
        <w:rPr>
          <w:rFonts w:eastAsia="Calibri"/>
          <w:b/>
          <w:bCs/>
          <w:sz w:val="20"/>
          <w:szCs w:val="20"/>
          <w:lang w:eastAsia="en-US"/>
        </w:rPr>
        <w:t>Tabla 5.</w:t>
      </w:r>
      <w:r w:rsidRPr="00490D3B">
        <w:rPr>
          <w:rFonts w:eastAsia="Calibri"/>
          <w:bCs/>
          <w:sz w:val="20"/>
          <w:szCs w:val="20"/>
          <w:lang w:eastAsia="en-US"/>
        </w:rPr>
        <w:t xml:space="preserve"> Consolidación de hallazgos y acciones derivadas de la validación de la nota técnica</w:t>
      </w:r>
    </w:p>
    <w:tbl>
      <w:tblPr>
        <w:tblStyle w:val="Tablaconcuadrcula"/>
        <w:tblW w:w="0" w:type="auto"/>
        <w:tblInd w:w="0" w:type="dxa"/>
        <w:tblLook w:val="04A0" w:firstRow="1" w:lastRow="0" w:firstColumn="1" w:lastColumn="0" w:noHBand="0" w:noVBand="1"/>
      </w:tblPr>
      <w:tblGrid>
        <w:gridCol w:w="2490"/>
        <w:gridCol w:w="2041"/>
        <w:gridCol w:w="2694"/>
        <w:gridCol w:w="2737"/>
      </w:tblGrid>
      <w:tr w:rsidR="00DD1960" w:rsidRPr="00490D3B" w14:paraId="5BC32DBB" w14:textId="77777777" w:rsidTr="00DD1960">
        <w:tc>
          <w:tcPr>
            <w:tcW w:w="2490" w:type="dxa"/>
          </w:tcPr>
          <w:p w14:paraId="0A9423C3" w14:textId="52D7D9F5" w:rsidR="00DD1960" w:rsidRPr="00490D3B" w:rsidRDefault="00DD1960" w:rsidP="00DD1960">
            <w:pPr>
              <w:pStyle w:val="Normal0"/>
              <w:rPr>
                <w:rFonts w:eastAsia="Calibri"/>
                <w:b/>
                <w:bCs/>
                <w:sz w:val="20"/>
                <w:szCs w:val="20"/>
                <w:lang w:eastAsia="en-US"/>
              </w:rPr>
            </w:pPr>
            <w:r w:rsidRPr="00490D3B">
              <w:rPr>
                <w:b/>
                <w:sz w:val="20"/>
                <w:szCs w:val="20"/>
              </w:rPr>
              <w:t>Aspecto revisado</w:t>
            </w:r>
          </w:p>
        </w:tc>
        <w:tc>
          <w:tcPr>
            <w:tcW w:w="2041" w:type="dxa"/>
          </w:tcPr>
          <w:p w14:paraId="702C9514" w14:textId="3DD1701C" w:rsidR="00DD1960" w:rsidRPr="00490D3B" w:rsidRDefault="00DD1960" w:rsidP="00DD1960">
            <w:pPr>
              <w:pStyle w:val="Normal0"/>
              <w:rPr>
                <w:rFonts w:eastAsia="Calibri"/>
                <w:b/>
                <w:bCs/>
                <w:sz w:val="20"/>
                <w:szCs w:val="20"/>
                <w:lang w:eastAsia="en-US"/>
              </w:rPr>
            </w:pPr>
            <w:r w:rsidRPr="00490D3B">
              <w:rPr>
                <w:b/>
                <w:sz w:val="20"/>
                <w:szCs w:val="20"/>
              </w:rPr>
              <w:t>Tipo de validación</w:t>
            </w:r>
          </w:p>
        </w:tc>
        <w:tc>
          <w:tcPr>
            <w:tcW w:w="2694" w:type="dxa"/>
          </w:tcPr>
          <w:p w14:paraId="796004AB" w14:textId="26C6AF6D" w:rsidR="00DD1960" w:rsidRPr="00490D3B" w:rsidRDefault="00DD1960" w:rsidP="00DD1960">
            <w:pPr>
              <w:pStyle w:val="Normal0"/>
              <w:rPr>
                <w:rFonts w:eastAsia="Calibri"/>
                <w:b/>
                <w:bCs/>
                <w:sz w:val="20"/>
                <w:szCs w:val="20"/>
                <w:lang w:eastAsia="en-US"/>
              </w:rPr>
            </w:pPr>
            <w:r w:rsidRPr="00490D3B">
              <w:rPr>
                <w:b/>
                <w:sz w:val="20"/>
                <w:szCs w:val="20"/>
              </w:rPr>
              <w:t>Hallazgo</w:t>
            </w:r>
          </w:p>
        </w:tc>
        <w:tc>
          <w:tcPr>
            <w:tcW w:w="2737" w:type="dxa"/>
          </w:tcPr>
          <w:p w14:paraId="739FFD3E" w14:textId="2F44A67D" w:rsidR="00DD1960" w:rsidRPr="00490D3B" w:rsidRDefault="00DD1960" w:rsidP="00DD1960">
            <w:pPr>
              <w:pStyle w:val="Normal0"/>
              <w:rPr>
                <w:rFonts w:eastAsia="Calibri"/>
                <w:b/>
                <w:bCs/>
                <w:sz w:val="20"/>
                <w:szCs w:val="20"/>
                <w:lang w:eastAsia="en-US"/>
              </w:rPr>
            </w:pPr>
            <w:r w:rsidRPr="00490D3B">
              <w:rPr>
                <w:b/>
                <w:sz w:val="20"/>
                <w:szCs w:val="20"/>
              </w:rPr>
              <w:t>Acción requerida</w:t>
            </w:r>
          </w:p>
        </w:tc>
      </w:tr>
      <w:tr w:rsidR="00DD1960" w:rsidRPr="00490D3B" w14:paraId="74275F0D" w14:textId="77777777" w:rsidTr="00DD1960">
        <w:tc>
          <w:tcPr>
            <w:tcW w:w="2490" w:type="dxa"/>
          </w:tcPr>
          <w:p w14:paraId="69BE42A9" w14:textId="77B3E498" w:rsidR="00DD1960" w:rsidRPr="00490D3B" w:rsidRDefault="00DD1960" w:rsidP="00DD1960">
            <w:pPr>
              <w:pStyle w:val="Normal0"/>
              <w:rPr>
                <w:rFonts w:eastAsia="Calibri"/>
                <w:bCs/>
                <w:sz w:val="20"/>
                <w:szCs w:val="20"/>
                <w:lang w:eastAsia="en-US"/>
              </w:rPr>
            </w:pPr>
            <w:r w:rsidRPr="00490D3B">
              <w:rPr>
                <w:sz w:val="20"/>
                <w:szCs w:val="20"/>
              </w:rPr>
              <w:t>Población y frecuencias</w:t>
            </w:r>
          </w:p>
        </w:tc>
        <w:tc>
          <w:tcPr>
            <w:tcW w:w="2041" w:type="dxa"/>
          </w:tcPr>
          <w:p w14:paraId="43104488" w14:textId="4B559D98" w:rsidR="00DD1960" w:rsidRPr="00490D3B" w:rsidRDefault="00DD1960" w:rsidP="00DD1960">
            <w:pPr>
              <w:pStyle w:val="Normal0"/>
              <w:rPr>
                <w:rFonts w:eastAsia="Calibri"/>
                <w:bCs/>
                <w:sz w:val="20"/>
                <w:szCs w:val="20"/>
                <w:lang w:eastAsia="en-US"/>
              </w:rPr>
            </w:pPr>
            <w:r w:rsidRPr="00490D3B">
              <w:rPr>
                <w:sz w:val="20"/>
                <w:szCs w:val="20"/>
              </w:rPr>
              <w:t>Técnica</w:t>
            </w:r>
          </w:p>
        </w:tc>
        <w:tc>
          <w:tcPr>
            <w:tcW w:w="2694" w:type="dxa"/>
          </w:tcPr>
          <w:p w14:paraId="6221E7E7" w14:textId="0340A230" w:rsidR="00DD1960" w:rsidRPr="00490D3B" w:rsidRDefault="00DD1960" w:rsidP="00DD1960">
            <w:pPr>
              <w:pStyle w:val="Normal0"/>
              <w:rPr>
                <w:rFonts w:eastAsia="Calibri"/>
                <w:bCs/>
                <w:sz w:val="20"/>
                <w:szCs w:val="20"/>
                <w:lang w:eastAsia="en-US"/>
              </w:rPr>
            </w:pPr>
            <w:r w:rsidRPr="00490D3B">
              <w:rPr>
                <w:sz w:val="20"/>
                <w:szCs w:val="20"/>
              </w:rPr>
              <w:t>Inconsistencia entre la población y la frecuencia utilizada.</w:t>
            </w:r>
          </w:p>
        </w:tc>
        <w:tc>
          <w:tcPr>
            <w:tcW w:w="2737" w:type="dxa"/>
          </w:tcPr>
          <w:p w14:paraId="49CA623B" w14:textId="09A63CA9" w:rsidR="00DD1960" w:rsidRPr="00490D3B" w:rsidRDefault="00DD1960" w:rsidP="00DD1960">
            <w:pPr>
              <w:pStyle w:val="Normal0"/>
              <w:rPr>
                <w:rFonts w:eastAsia="Calibri"/>
                <w:bCs/>
                <w:sz w:val="20"/>
                <w:szCs w:val="20"/>
                <w:lang w:eastAsia="en-US"/>
              </w:rPr>
            </w:pPr>
            <w:r w:rsidRPr="00490D3B">
              <w:rPr>
                <w:sz w:val="20"/>
                <w:szCs w:val="20"/>
              </w:rPr>
              <w:t>Revisar y ajustar el cálculo.</w:t>
            </w:r>
          </w:p>
        </w:tc>
      </w:tr>
      <w:tr w:rsidR="00DD1960" w:rsidRPr="00490D3B" w14:paraId="60A5AC83" w14:textId="77777777" w:rsidTr="00DD1960">
        <w:tc>
          <w:tcPr>
            <w:tcW w:w="2490" w:type="dxa"/>
          </w:tcPr>
          <w:p w14:paraId="25766BF6" w14:textId="39EEBA97" w:rsidR="00DD1960" w:rsidRPr="00490D3B" w:rsidRDefault="00DD1960" w:rsidP="00DD1960">
            <w:pPr>
              <w:pStyle w:val="Normal0"/>
              <w:rPr>
                <w:rFonts w:eastAsia="Calibri"/>
                <w:bCs/>
                <w:sz w:val="20"/>
                <w:szCs w:val="20"/>
                <w:lang w:eastAsia="en-US"/>
              </w:rPr>
            </w:pPr>
            <w:r w:rsidRPr="00490D3B">
              <w:rPr>
                <w:sz w:val="20"/>
                <w:szCs w:val="20"/>
              </w:rPr>
              <w:t>Servicios y códigos</w:t>
            </w:r>
          </w:p>
        </w:tc>
        <w:tc>
          <w:tcPr>
            <w:tcW w:w="2041" w:type="dxa"/>
          </w:tcPr>
          <w:p w14:paraId="4B18881F" w14:textId="16790B93" w:rsidR="00DD1960" w:rsidRPr="00490D3B" w:rsidRDefault="00DD1960" w:rsidP="00DD1960">
            <w:pPr>
              <w:pStyle w:val="Normal0"/>
              <w:rPr>
                <w:rFonts w:eastAsia="Calibri"/>
                <w:bCs/>
                <w:sz w:val="20"/>
                <w:szCs w:val="20"/>
                <w:lang w:eastAsia="en-US"/>
              </w:rPr>
            </w:pPr>
            <w:r w:rsidRPr="00490D3B">
              <w:rPr>
                <w:sz w:val="20"/>
                <w:szCs w:val="20"/>
              </w:rPr>
              <w:t>Técnica</w:t>
            </w:r>
          </w:p>
        </w:tc>
        <w:tc>
          <w:tcPr>
            <w:tcW w:w="2694" w:type="dxa"/>
          </w:tcPr>
          <w:p w14:paraId="072AD93E" w14:textId="619AC5E1" w:rsidR="00DD1960" w:rsidRPr="00490D3B" w:rsidRDefault="00DD1960" w:rsidP="00DD1960">
            <w:pPr>
              <w:pStyle w:val="Normal0"/>
              <w:rPr>
                <w:rFonts w:eastAsia="Calibri"/>
                <w:bCs/>
                <w:sz w:val="20"/>
                <w:szCs w:val="20"/>
                <w:lang w:eastAsia="en-US"/>
              </w:rPr>
            </w:pPr>
            <w:r w:rsidRPr="00490D3B">
              <w:rPr>
                <w:sz w:val="20"/>
                <w:szCs w:val="20"/>
              </w:rPr>
              <w:t>Código no corresponde al servicio identificado.</w:t>
            </w:r>
          </w:p>
        </w:tc>
        <w:tc>
          <w:tcPr>
            <w:tcW w:w="2737" w:type="dxa"/>
          </w:tcPr>
          <w:p w14:paraId="11DCDA0C" w14:textId="4971C36F" w:rsidR="00DD1960" w:rsidRPr="00490D3B" w:rsidRDefault="00DD1960" w:rsidP="00DD1960">
            <w:pPr>
              <w:pStyle w:val="Normal0"/>
              <w:rPr>
                <w:rFonts w:eastAsia="Calibri"/>
                <w:bCs/>
                <w:sz w:val="20"/>
                <w:szCs w:val="20"/>
                <w:lang w:eastAsia="en-US"/>
              </w:rPr>
            </w:pPr>
            <w:r w:rsidRPr="00490D3B">
              <w:rPr>
                <w:sz w:val="20"/>
                <w:szCs w:val="20"/>
              </w:rPr>
              <w:t>Verificar y actualizar el código.</w:t>
            </w:r>
          </w:p>
        </w:tc>
      </w:tr>
      <w:tr w:rsidR="00DD1960" w:rsidRPr="00490D3B" w14:paraId="267231C4" w14:textId="77777777" w:rsidTr="00DD1960">
        <w:tc>
          <w:tcPr>
            <w:tcW w:w="2490" w:type="dxa"/>
          </w:tcPr>
          <w:p w14:paraId="4ED81998" w14:textId="75B2D808" w:rsidR="00DD1960" w:rsidRPr="00490D3B" w:rsidRDefault="00DD1960" w:rsidP="00DD1960">
            <w:pPr>
              <w:pStyle w:val="Normal0"/>
              <w:rPr>
                <w:rFonts w:eastAsia="Calibri"/>
                <w:bCs/>
                <w:sz w:val="20"/>
                <w:szCs w:val="20"/>
                <w:lang w:eastAsia="en-US"/>
              </w:rPr>
            </w:pPr>
            <w:r w:rsidRPr="00490D3B">
              <w:rPr>
                <w:sz w:val="20"/>
                <w:szCs w:val="20"/>
              </w:rPr>
              <w:lastRenderedPageBreak/>
              <w:t>Condiciones del acuerdo</w:t>
            </w:r>
          </w:p>
        </w:tc>
        <w:tc>
          <w:tcPr>
            <w:tcW w:w="2041" w:type="dxa"/>
          </w:tcPr>
          <w:p w14:paraId="535ACDA9" w14:textId="6916AB7B" w:rsidR="00DD1960" w:rsidRPr="00490D3B" w:rsidRDefault="00DD1960" w:rsidP="00DD1960">
            <w:pPr>
              <w:pStyle w:val="Normal0"/>
              <w:rPr>
                <w:rFonts w:eastAsia="Calibri"/>
                <w:bCs/>
                <w:sz w:val="20"/>
                <w:szCs w:val="20"/>
                <w:lang w:eastAsia="en-US"/>
              </w:rPr>
            </w:pPr>
            <w:r w:rsidRPr="00490D3B">
              <w:rPr>
                <w:sz w:val="20"/>
                <w:szCs w:val="20"/>
              </w:rPr>
              <w:t>Jurídica</w:t>
            </w:r>
          </w:p>
        </w:tc>
        <w:tc>
          <w:tcPr>
            <w:tcW w:w="2694" w:type="dxa"/>
          </w:tcPr>
          <w:p w14:paraId="5D90A662" w14:textId="2C636154" w:rsidR="00DD1960" w:rsidRPr="00490D3B" w:rsidRDefault="00DD1960" w:rsidP="00DD1960">
            <w:pPr>
              <w:pStyle w:val="Normal0"/>
              <w:rPr>
                <w:rFonts w:eastAsia="Calibri"/>
                <w:bCs/>
                <w:sz w:val="20"/>
                <w:szCs w:val="20"/>
                <w:lang w:eastAsia="en-US"/>
              </w:rPr>
            </w:pPr>
            <w:r w:rsidRPr="00490D3B">
              <w:rPr>
                <w:sz w:val="20"/>
                <w:szCs w:val="20"/>
              </w:rPr>
              <w:t>Información que requiere ajuste frente a lo pactado.</w:t>
            </w:r>
          </w:p>
        </w:tc>
        <w:tc>
          <w:tcPr>
            <w:tcW w:w="2737" w:type="dxa"/>
          </w:tcPr>
          <w:p w14:paraId="114BDD37" w14:textId="7B998B7C" w:rsidR="00DD1960" w:rsidRPr="00490D3B" w:rsidRDefault="00DD1960" w:rsidP="00DD1960">
            <w:pPr>
              <w:pStyle w:val="Normal0"/>
              <w:rPr>
                <w:rFonts w:eastAsia="Calibri"/>
                <w:bCs/>
                <w:sz w:val="20"/>
                <w:szCs w:val="20"/>
                <w:lang w:eastAsia="en-US"/>
              </w:rPr>
            </w:pPr>
            <w:r w:rsidRPr="00490D3B">
              <w:rPr>
                <w:sz w:val="20"/>
                <w:szCs w:val="20"/>
              </w:rPr>
              <w:t>Revisar y ajustar de acuerdo con el acuerdo de voluntades.</w:t>
            </w:r>
          </w:p>
        </w:tc>
      </w:tr>
      <w:tr w:rsidR="00DD1960" w:rsidRPr="00490D3B" w14:paraId="7A39AE3F" w14:textId="77777777" w:rsidTr="00DD1960">
        <w:tc>
          <w:tcPr>
            <w:tcW w:w="2490" w:type="dxa"/>
          </w:tcPr>
          <w:p w14:paraId="05EBFB2E" w14:textId="01DE042A" w:rsidR="00DD1960" w:rsidRPr="00490D3B" w:rsidRDefault="00DD1960" w:rsidP="00DD1960">
            <w:pPr>
              <w:pStyle w:val="Normal0"/>
              <w:rPr>
                <w:rFonts w:eastAsia="Calibri"/>
                <w:bCs/>
                <w:sz w:val="20"/>
                <w:szCs w:val="20"/>
                <w:lang w:eastAsia="en-US"/>
              </w:rPr>
            </w:pPr>
            <w:r w:rsidRPr="00490D3B">
              <w:rPr>
                <w:sz w:val="20"/>
                <w:szCs w:val="20"/>
              </w:rPr>
              <w:t>Tarifas y costos</w:t>
            </w:r>
          </w:p>
        </w:tc>
        <w:tc>
          <w:tcPr>
            <w:tcW w:w="2041" w:type="dxa"/>
          </w:tcPr>
          <w:p w14:paraId="490FD86C" w14:textId="3D52797A" w:rsidR="00DD1960" w:rsidRPr="00490D3B" w:rsidRDefault="00DD1960" w:rsidP="00DD1960">
            <w:pPr>
              <w:pStyle w:val="Normal0"/>
              <w:rPr>
                <w:rFonts w:eastAsia="Calibri"/>
                <w:bCs/>
                <w:sz w:val="20"/>
                <w:szCs w:val="20"/>
                <w:lang w:eastAsia="en-US"/>
              </w:rPr>
            </w:pPr>
            <w:r w:rsidRPr="00490D3B">
              <w:rPr>
                <w:sz w:val="20"/>
                <w:szCs w:val="20"/>
              </w:rPr>
              <w:t>Financiera</w:t>
            </w:r>
          </w:p>
        </w:tc>
        <w:tc>
          <w:tcPr>
            <w:tcW w:w="2694" w:type="dxa"/>
          </w:tcPr>
          <w:p w14:paraId="7FEE705C" w14:textId="4C89082F" w:rsidR="00DD1960" w:rsidRPr="00490D3B" w:rsidRDefault="00DD1960" w:rsidP="00DD1960">
            <w:pPr>
              <w:pStyle w:val="Normal0"/>
              <w:rPr>
                <w:rFonts w:eastAsia="Calibri"/>
                <w:bCs/>
                <w:sz w:val="20"/>
                <w:szCs w:val="20"/>
                <w:lang w:eastAsia="en-US"/>
              </w:rPr>
            </w:pPr>
            <w:r w:rsidRPr="00490D3B">
              <w:rPr>
                <w:sz w:val="20"/>
                <w:szCs w:val="20"/>
              </w:rPr>
              <w:t>Diferencia en el valor utilizado.</w:t>
            </w:r>
          </w:p>
        </w:tc>
        <w:tc>
          <w:tcPr>
            <w:tcW w:w="2737" w:type="dxa"/>
          </w:tcPr>
          <w:p w14:paraId="79598469" w14:textId="654ABFA5" w:rsidR="00DD1960" w:rsidRPr="00490D3B" w:rsidRDefault="00DD1960" w:rsidP="00DD1960">
            <w:pPr>
              <w:pStyle w:val="Normal0"/>
              <w:rPr>
                <w:rFonts w:eastAsia="Calibri"/>
                <w:bCs/>
                <w:sz w:val="20"/>
                <w:szCs w:val="20"/>
                <w:lang w:eastAsia="en-US"/>
              </w:rPr>
            </w:pPr>
            <w:r w:rsidRPr="00490D3B">
              <w:rPr>
                <w:sz w:val="20"/>
                <w:szCs w:val="20"/>
              </w:rPr>
              <w:t>Verificar la fuente y recalcular</w:t>
            </w:r>
          </w:p>
        </w:tc>
      </w:tr>
      <w:tr w:rsidR="00DD1960" w:rsidRPr="00490D3B" w14:paraId="76816996" w14:textId="77777777" w:rsidTr="00DD1960">
        <w:tc>
          <w:tcPr>
            <w:tcW w:w="2490" w:type="dxa"/>
          </w:tcPr>
          <w:p w14:paraId="11DE9BB4" w14:textId="7FA703D0" w:rsidR="00DD1960" w:rsidRPr="00490D3B" w:rsidRDefault="00DD1960" w:rsidP="00DD1960">
            <w:pPr>
              <w:pStyle w:val="Normal0"/>
              <w:rPr>
                <w:rFonts w:eastAsia="Calibri"/>
                <w:bCs/>
                <w:sz w:val="20"/>
                <w:szCs w:val="20"/>
                <w:lang w:eastAsia="en-US"/>
              </w:rPr>
            </w:pPr>
            <w:r w:rsidRPr="00490D3B">
              <w:rPr>
                <w:sz w:val="20"/>
                <w:szCs w:val="20"/>
              </w:rPr>
              <w:t>Valor proyectado</w:t>
            </w:r>
          </w:p>
        </w:tc>
        <w:tc>
          <w:tcPr>
            <w:tcW w:w="2041" w:type="dxa"/>
          </w:tcPr>
          <w:p w14:paraId="240802C3" w14:textId="454A51D3" w:rsidR="00DD1960" w:rsidRPr="00490D3B" w:rsidRDefault="00DD1960" w:rsidP="00DD1960">
            <w:pPr>
              <w:pStyle w:val="Normal0"/>
              <w:rPr>
                <w:rFonts w:eastAsia="Calibri"/>
                <w:bCs/>
                <w:sz w:val="20"/>
                <w:szCs w:val="20"/>
                <w:lang w:eastAsia="en-US"/>
              </w:rPr>
            </w:pPr>
            <w:r w:rsidRPr="00490D3B">
              <w:rPr>
                <w:sz w:val="20"/>
                <w:szCs w:val="20"/>
              </w:rPr>
              <w:t>Financiera</w:t>
            </w:r>
          </w:p>
        </w:tc>
        <w:tc>
          <w:tcPr>
            <w:tcW w:w="2694" w:type="dxa"/>
          </w:tcPr>
          <w:p w14:paraId="625EB96C" w14:textId="400BE1E5" w:rsidR="00DD1960" w:rsidRPr="00490D3B" w:rsidRDefault="00DD1960" w:rsidP="00DD1960">
            <w:pPr>
              <w:pStyle w:val="Normal0"/>
              <w:rPr>
                <w:rFonts w:eastAsia="Calibri"/>
                <w:bCs/>
                <w:sz w:val="20"/>
                <w:szCs w:val="20"/>
                <w:lang w:eastAsia="en-US"/>
              </w:rPr>
            </w:pPr>
            <w:r w:rsidRPr="00490D3B">
              <w:rPr>
                <w:sz w:val="20"/>
                <w:szCs w:val="20"/>
              </w:rPr>
              <w:t>Inconsistencia en el cálculo total.</w:t>
            </w:r>
          </w:p>
        </w:tc>
        <w:tc>
          <w:tcPr>
            <w:tcW w:w="2737" w:type="dxa"/>
          </w:tcPr>
          <w:p w14:paraId="66FC421E" w14:textId="22E5DA78" w:rsidR="00DD1960" w:rsidRPr="00490D3B" w:rsidRDefault="00DD1960" w:rsidP="00DD1960">
            <w:pPr>
              <w:pStyle w:val="Normal0"/>
              <w:rPr>
                <w:rFonts w:eastAsia="Calibri"/>
                <w:bCs/>
                <w:sz w:val="20"/>
                <w:szCs w:val="20"/>
                <w:lang w:eastAsia="en-US"/>
              </w:rPr>
            </w:pPr>
            <w:r w:rsidRPr="00490D3B">
              <w:rPr>
                <w:sz w:val="20"/>
                <w:szCs w:val="20"/>
              </w:rPr>
              <w:t>Corregir las operaciones y consolidar nuevamente.</w:t>
            </w:r>
          </w:p>
        </w:tc>
      </w:tr>
    </w:tbl>
    <w:p w14:paraId="10F648F7" w14:textId="0F7F3665" w:rsidR="00DD1960" w:rsidRPr="00490D3B" w:rsidRDefault="00DD1960" w:rsidP="00DD1960">
      <w:pPr>
        <w:pStyle w:val="Normal0"/>
        <w:rPr>
          <w:rFonts w:eastAsia="Calibri"/>
          <w:bCs/>
          <w:sz w:val="20"/>
          <w:szCs w:val="20"/>
          <w:lang w:eastAsia="en-US"/>
        </w:rPr>
      </w:pPr>
    </w:p>
    <w:p w14:paraId="74C229BD" w14:textId="77777777" w:rsidR="00DD1960" w:rsidRPr="00490D3B" w:rsidRDefault="00DD1960" w:rsidP="00DD1960">
      <w:pPr>
        <w:pStyle w:val="Normal0"/>
        <w:rPr>
          <w:rFonts w:eastAsia="Calibri"/>
          <w:bCs/>
          <w:sz w:val="20"/>
          <w:szCs w:val="20"/>
          <w:lang w:eastAsia="en-US"/>
        </w:rPr>
      </w:pPr>
      <w:r w:rsidRPr="00490D3B">
        <w:rPr>
          <w:rFonts w:eastAsia="Calibri"/>
          <w:bCs/>
          <w:sz w:val="20"/>
          <w:szCs w:val="20"/>
          <w:lang w:eastAsia="en-US"/>
        </w:rPr>
        <w:t>Una vez registrados los hallazgos, se deben establecer las acciones necesarias para atenderlos, indicando, cuando corresponda, el responsable y el estado de cada acción. La documentación de estos resultados facilita el seguimiento de los ajustes y permite conservar la trazabilidad del proceso de validación.</w:t>
      </w:r>
    </w:p>
    <w:p w14:paraId="57C821E8" w14:textId="77777777" w:rsidR="00DD1960" w:rsidRPr="00490D3B" w:rsidRDefault="00DD1960" w:rsidP="00DD1960">
      <w:pPr>
        <w:pStyle w:val="Normal0"/>
        <w:rPr>
          <w:rFonts w:eastAsia="Calibri"/>
          <w:bCs/>
          <w:sz w:val="20"/>
          <w:szCs w:val="20"/>
          <w:lang w:eastAsia="en-US"/>
        </w:rPr>
      </w:pPr>
    </w:p>
    <w:p w14:paraId="1E5670A6" w14:textId="33C9B100" w:rsidR="00DD1960" w:rsidRPr="00490D3B" w:rsidRDefault="00DD1960" w:rsidP="00DD1960">
      <w:pPr>
        <w:pStyle w:val="Normal0"/>
        <w:rPr>
          <w:rFonts w:eastAsia="Calibri"/>
          <w:bCs/>
          <w:sz w:val="20"/>
          <w:szCs w:val="20"/>
          <w:lang w:eastAsia="en-US"/>
        </w:rPr>
      </w:pPr>
      <w:r w:rsidRPr="00490D3B">
        <w:rPr>
          <w:rFonts w:eastAsia="Calibri"/>
          <w:bCs/>
          <w:sz w:val="20"/>
          <w:szCs w:val="20"/>
          <w:lang w:eastAsia="en-US"/>
        </w:rPr>
        <w:t>La consolidación constituye así un punto de transición entre la revisión de la nota técnica y su ajuste, ya que los resultados obtenidos sirven como insumo para corregir las inconsistencias identificadas y fortalecer la información antes de su seguimiento y evaluación.</w:t>
      </w:r>
    </w:p>
    <w:p w14:paraId="3FA110C6" w14:textId="77777777" w:rsidR="00DD1960" w:rsidRPr="00490D3B" w:rsidRDefault="00DD1960" w:rsidP="00DD1960">
      <w:pPr>
        <w:pStyle w:val="Normal0"/>
        <w:rPr>
          <w:rFonts w:eastAsia="Calibri"/>
          <w:bCs/>
          <w:sz w:val="20"/>
          <w:szCs w:val="20"/>
          <w:lang w:eastAsia="en-US"/>
        </w:rPr>
      </w:pPr>
    </w:p>
    <w:p w14:paraId="3D4FDDD6" w14:textId="77777777" w:rsidR="00DD1960" w:rsidRPr="00490D3B" w:rsidRDefault="00DD1960" w:rsidP="00DD1960">
      <w:pPr>
        <w:pStyle w:val="Normal0"/>
        <w:rPr>
          <w:rFonts w:eastAsia="Calibri"/>
          <w:bCs/>
          <w:sz w:val="20"/>
          <w:szCs w:val="20"/>
          <w:lang w:eastAsia="en-US"/>
        </w:rPr>
      </w:pPr>
    </w:p>
    <w:p w14:paraId="2BD27263" w14:textId="559A3CF5" w:rsidR="00D743F1" w:rsidRPr="00490D3B" w:rsidRDefault="00D743F1" w:rsidP="00D743F1">
      <w:pPr>
        <w:pStyle w:val="Normal0"/>
        <w:numPr>
          <w:ilvl w:val="0"/>
          <w:numId w:val="30"/>
        </w:numPr>
        <w:rPr>
          <w:rFonts w:eastAsia="Calibri"/>
          <w:b/>
          <w:bCs/>
          <w:sz w:val="20"/>
          <w:szCs w:val="20"/>
          <w:lang w:eastAsia="en-US"/>
        </w:rPr>
      </w:pPr>
      <w:r w:rsidRPr="00490D3B">
        <w:rPr>
          <w:rFonts w:eastAsia="Calibri"/>
          <w:b/>
          <w:bCs/>
          <w:sz w:val="20"/>
          <w:szCs w:val="20"/>
          <w:lang w:eastAsia="en-US"/>
        </w:rPr>
        <w:t>Ajustes y seguimiento de la nota técnica</w:t>
      </w:r>
    </w:p>
    <w:p w14:paraId="192162C4" w14:textId="30D6B1ED" w:rsidR="00E4420B" w:rsidRPr="00490D3B" w:rsidRDefault="00E4420B" w:rsidP="00E4420B">
      <w:pPr>
        <w:pStyle w:val="Normal0"/>
        <w:rPr>
          <w:rFonts w:eastAsia="Calibri"/>
          <w:b/>
          <w:bCs/>
          <w:sz w:val="20"/>
          <w:szCs w:val="20"/>
          <w:lang w:eastAsia="en-US"/>
        </w:rPr>
      </w:pPr>
    </w:p>
    <w:p w14:paraId="67B7193F" w14:textId="77777777" w:rsidR="00E4420B" w:rsidRPr="00490D3B" w:rsidRDefault="00E4420B" w:rsidP="00E4420B">
      <w:pPr>
        <w:pStyle w:val="Normal0"/>
        <w:rPr>
          <w:rFonts w:eastAsia="Calibri"/>
          <w:bCs/>
          <w:sz w:val="20"/>
          <w:szCs w:val="20"/>
          <w:lang w:eastAsia="en-US"/>
        </w:rPr>
      </w:pPr>
      <w:r w:rsidRPr="00490D3B">
        <w:rPr>
          <w:rFonts w:eastAsia="Calibri"/>
          <w:bCs/>
          <w:sz w:val="20"/>
          <w:szCs w:val="20"/>
          <w:lang w:eastAsia="en-US"/>
        </w:rPr>
        <w:t>Los ajustes y el seguimiento permiten comprobar el comportamiento de las variables consideradas en la nota técnica durante la ejecución del acuerdo de voluntades y establecer las modificaciones que sean necesarias. Este proceso parte de la comparación entre los valores proyectados y los resultados observados en aspectos como la población, la utilización de servicios y tecnologías, las frecuencias, los costos y los valores económicos.</w:t>
      </w:r>
    </w:p>
    <w:p w14:paraId="76506BF0" w14:textId="77777777" w:rsidR="00E4420B" w:rsidRPr="00490D3B" w:rsidRDefault="00E4420B" w:rsidP="00E4420B">
      <w:pPr>
        <w:pStyle w:val="Normal0"/>
        <w:rPr>
          <w:rFonts w:eastAsia="Calibri"/>
          <w:bCs/>
          <w:sz w:val="20"/>
          <w:szCs w:val="20"/>
          <w:lang w:eastAsia="en-US"/>
        </w:rPr>
      </w:pPr>
    </w:p>
    <w:p w14:paraId="0649BF2A" w14:textId="77777777" w:rsidR="00E4420B" w:rsidRPr="00490D3B" w:rsidRDefault="00E4420B" w:rsidP="00E4420B">
      <w:pPr>
        <w:pStyle w:val="Normal0"/>
        <w:rPr>
          <w:rFonts w:eastAsia="Calibri"/>
          <w:bCs/>
          <w:sz w:val="20"/>
          <w:szCs w:val="20"/>
          <w:lang w:eastAsia="en-US"/>
        </w:rPr>
      </w:pPr>
      <w:r w:rsidRPr="00490D3B">
        <w:rPr>
          <w:rFonts w:eastAsia="Calibri"/>
          <w:bCs/>
          <w:sz w:val="20"/>
          <w:szCs w:val="20"/>
          <w:lang w:eastAsia="en-US"/>
        </w:rPr>
        <w:t>El seguimiento permite identificar variaciones o desviaciones que puedan estar relacionadas con cambios en la población, la red de prestadores, la cobertura, las condiciones de salud o situaciones que afecten la prestación de los servicios. El material de referencia señala, entre otros aspectos, la necesidad de considerar cambios en la población, eventos de fuerza mayor, modificaciones en la red de proveedores, cobertura y comportamiento de la morbilidad.</w:t>
      </w:r>
    </w:p>
    <w:p w14:paraId="5637742A" w14:textId="77777777" w:rsidR="00E4420B" w:rsidRPr="00490D3B" w:rsidRDefault="00E4420B" w:rsidP="00E4420B">
      <w:pPr>
        <w:pStyle w:val="Normal0"/>
        <w:rPr>
          <w:rFonts w:eastAsia="Calibri"/>
          <w:bCs/>
          <w:sz w:val="20"/>
          <w:szCs w:val="20"/>
          <w:lang w:eastAsia="en-US"/>
        </w:rPr>
      </w:pPr>
    </w:p>
    <w:p w14:paraId="28705B28" w14:textId="77777777" w:rsidR="00E4420B" w:rsidRPr="00490D3B" w:rsidRDefault="00E4420B" w:rsidP="00E4420B">
      <w:pPr>
        <w:pStyle w:val="Normal0"/>
        <w:rPr>
          <w:rFonts w:eastAsia="Calibri"/>
          <w:bCs/>
          <w:sz w:val="20"/>
          <w:szCs w:val="20"/>
          <w:lang w:eastAsia="en-US"/>
        </w:rPr>
      </w:pPr>
      <w:r w:rsidRPr="00490D3B">
        <w:rPr>
          <w:rFonts w:eastAsia="Calibri"/>
          <w:bCs/>
          <w:sz w:val="20"/>
          <w:szCs w:val="20"/>
          <w:lang w:eastAsia="en-US"/>
        </w:rPr>
        <w:t>A partir de los resultados del seguimiento pueden establecerse ajustes en las tarifas, la planificación de los servicios, las proyecciones y los elementos relacionados con la gestión del riesgo. Estos ajustes deben sustentarse en la información obtenida durante la ejecución y conservar la trazabilidad de las modificaciones realizadas.</w:t>
      </w:r>
    </w:p>
    <w:p w14:paraId="7965D695" w14:textId="77777777" w:rsidR="00E4420B" w:rsidRPr="00490D3B" w:rsidRDefault="00E4420B" w:rsidP="00E4420B">
      <w:pPr>
        <w:pStyle w:val="Normal0"/>
        <w:rPr>
          <w:rFonts w:eastAsia="Calibri"/>
          <w:bCs/>
          <w:sz w:val="20"/>
          <w:szCs w:val="20"/>
          <w:lang w:eastAsia="en-US"/>
        </w:rPr>
      </w:pPr>
    </w:p>
    <w:p w14:paraId="377497D5" w14:textId="52E61627" w:rsidR="00E4420B" w:rsidRPr="00490D3B" w:rsidRDefault="00E4420B" w:rsidP="00E4420B">
      <w:pPr>
        <w:pStyle w:val="Normal0"/>
        <w:rPr>
          <w:rFonts w:eastAsia="Calibri"/>
          <w:bCs/>
          <w:sz w:val="20"/>
          <w:szCs w:val="20"/>
          <w:lang w:eastAsia="en-US"/>
        </w:rPr>
      </w:pPr>
      <w:r w:rsidRPr="00490D3B">
        <w:rPr>
          <w:rFonts w:eastAsia="Calibri"/>
          <w:bCs/>
          <w:sz w:val="20"/>
          <w:szCs w:val="20"/>
          <w:lang w:eastAsia="en-US"/>
        </w:rPr>
        <w:t>El seguimiento también permite establecer indicadores y revisar periódicamente el cumplimiento de las proyecciones. Cuando se identifican resultados que requieren intervención, estos pueden dar lugar a acciones de mejora y a la actualización de la nota técnica, especialmente cuando se presentan modificaciones relevantes en las condiciones inicialmente consideradas.</w:t>
      </w:r>
    </w:p>
    <w:p w14:paraId="638E7931" w14:textId="77777777" w:rsidR="00E4420B" w:rsidRPr="00490D3B" w:rsidRDefault="00E4420B" w:rsidP="00E4420B">
      <w:pPr>
        <w:pStyle w:val="Normal0"/>
        <w:rPr>
          <w:rFonts w:eastAsia="Calibri"/>
          <w:b/>
          <w:bCs/>
          <w:sz w:val="20"/>
          <w:szCs w:val="20"/>
          <w:lang w:eastAsia="en-US"/>
        </w:rPr>
      </w:pPr>
    </w:p>
    <w:p w14:paraId="437B0A72" w14:textId="16798AC8" w:rsidR="00D743F1" w:rsidRPr="00490D3B" w:rsidRDefault="00D743F1" w:rsidP="00D743F1">
      <w:pPr>
        <w:pStyle w:val="Normal0"/>
        <w:numPr>
          <w:ilvl w:val="1"/>
          <w:numId w:val="30"/>
        </w:numPr>
        <w:rPr>
          <w:rFonts w:eastAsia="Calibri"/>
          <w:b/>
          <w:bCs/>
          <w:sz w:val="20"/>
          <w:szCs w:val="20"/>
          <w:lang w:eastAsia="en-US"/>
        </w:rPr>
      </w:pPr>
      <w:r w:rsidRPr="00490D3B">
        <w:rPr>
          <w:rFonts w:eastAsia="Calibri"/>
          <w:b/>
          <w:bCs/>
          <w:sz w:val="20"/>
          <w:szCs w:val="20"/>
          <w:lang w:eastAsia="en-US"/>
        </w:rPr>
        <w:t>Identificación y análisis de desviaciones</w:t>
      </w:r>
    </w:p>
    <w:p w14:paraId="4FCDCD62" w14:textId="254D0152" w:rsidR="00E4420B" w:rsidRPr="00490D3B" w:rsidRDefault="00E4420B" w:rsidP="00E4420B">
      <w:pPr>
        <w:pStyle w:val="Normal0"/>
        <w:rPr>
          <w:rFonts w:eastAsia="Calibri"/>
          <w:bCs/>
          <w:sz w:val="20"/>
          <w:szCs w:val="20"/>
          <w:lang w:eastAsia="en-US"/>
        </w:rPr>
      </w:pPr>
    </w:p>
    <w:p w14:paraId="39E5B990" w14:textId="77777777" w:rsidR="00E4420B" w:rsidRPr="00490D3B" w:rsidRDefault="00E4420B" w:rsidP="00E4420B">
      <w:pPr>
        <w:pStyle w:val="Normal0"/>
        <w:rPr>
          <w:rFonts w:eastAsia="Calibri"/>
          <w:bCs/>
          <w:sz w:val="20"/>
          <w:szCs w:val="20"/>
          <w:lang w:eastAsia="en-US"/>
        </w:rPr>
      </w:pPr>
      <w:r w:rsidRPr="00490D3B">
        <w:rPr>
          <w:rFonts w:eastAsia="Calibri"/>
          <w:bCs/>
          <w:sz w:val="20"/>
          <w:szCs w:val="20"/>
          <w:lang w:eastAsia="en-US"/>
        </w:rPr>
        <w:t>La identificación y el análisis de desviaciones permiten comparar los resultados observados durante la ejecución del acuerdo de voluntades con las proyecciones establecidas en la nota técnica. Esta comparación facilita reconocer diferencias en variables como la población, las frecuencias de uso, las cantidades de servicios y tecnologías, los costos y los valores proyectados.</w:t>
      </w:r>
    </w:p>
    <w:p w14:paraId="3D0C9BA9" w14:textId="77777777" w:rsidR="00E4420B" w:rsidRPr="00490D3B" w:rsidRDefault="00E4420B" w:rsidP="00E4420B">
      <w:pPr>
        <w:pStyle w:val="Normal0"/>
        <w:rPr>
          <w:rFonts w:eastAsia="Calibri"/>
          <w:bCs/>
          <w:sz w:val="20"/>
          <w:szCs w:val="20"/>
          <w:lang w:eastAsia="en-US"/>
        </w:rPr>
      </w:pPr>
    </w:p>
    <w:p w14:paraId="27BC6DC6" w14:textId="77777777" w:rsidR="00E4420B" w:rsidRPr="00490D3B" w:rsidRDefault="00E4420B" w:rsidP="00E4420B">
      <w:pPr>
        <w:pStyle w:val="Normal0"/>
        <w:rPr>
          <w:rFonts w:eastAsia="Calibri"/>
          <w:bCs/>
          <w:sz w:val="20"/>
          <w:szCs w:val="20"/>
          <w:lang w:eastAsia="en-US"/>
        </w:rPr>
      </w:pPr>
      <w:r w:rsidRPr="00490D3B">
        <w:rPr>
          <w:rFonts w:eastAsia="Calibri"/>
          <w:bCs/>
          <w:sz w:val="20"/>
          <w:szCs w:val="20"/>
          <w:lang w:eastAsia="en-US"/>
        </w:rPr>
        <w:t xml:space="preserve">Una desviación puede presentarse cuando el comportamiento observado se encuentra por encima o por debajo de lo inicialmente proyectado. Por ejemplo, un incremento en la frecuencia de utilización de un servicio puede </w:t>
      </w:r>
      <w:r w:rsidRPr="00490D3B">
        <w:rPr>
          <w:rFonts w:eastAsia="Calibri"/>
          <w:bCs/>
          <w:sz w:val="20"/>
          <w:szCs w:val="20"/>
          <w:lang w:eastAsia="en-US"/>
        </w:rPr>
        <w:lastRenderedPageBreak/>
        <w:t>generar una cantidad de atenciones superior a la estimada y, en consecuencia, modificar los valores económicos previstos.</w:t>
      </w:r>
    </w:p>
    <w:p w14:paraId="02CC146F" w14:textId="77777777" w:rsidR="00E4420B" w:rsidRPr="00490D3B" w:rsidRDefault="00E4420B" w:rsidP="00E4420B">
      <w:pPr>
        <w:pStyle w:val="Normal0"/>
        <w:rPr>
          <w:rFonts w:eastAsia="Calibri"/>
          <w:bCs/>
          <w:sz w:val="20"/>
          <w:szCs w:val="20"/>
          <w:lang w:eastAsia="en-US"/>
        </w:rPr>
      </w:pPr>
    </w:p>
    <w:p w14:paraId="6A388F15" w14:textId="399C864C" w:rsidR="00E4420B" w:rsidRPr="00490D3B" w:rsidRDefault="00E4420B" w:rsidP="00E4420B">
      <w:pPr>
        <w:pStyle w:val="Normal0"/>
        <w:rPr>
          <w:rFonts w:eastAsia="Calibri"/>
          <w:bCs/>
          <w:sz w:val="20"/>
          <w:szCs w:val="20"/>
          <w:lang w:eastAsia="en-US"/>
        </w:rPr>
      </w:pPr>
      <w:r w:rsidRPr="00490D3B">
        <w:rPr>
          <w:rFonts w:eastAsia="Calibri"/>
          <w:bCs/>
          <w:sz w:val="20"/>
          <w:szCs w:val="20"/>
          <w:lang w:eastAsia="en-US"/>
        </w:rPr>
        <w:t>Para analizar una desviación puede utilizarse la siguiente expresión:</w:t>
      </w:r>
    </w:p>
    <w:p w14:paraId="44D8E2E8" w14:textId="4F85BB31" w:rsidR="007533E1" w:rsidRPr="00490D3B" w:rsidRDefault="007533E1" w:rsidP="00E4420B">
      <w:pPr>
        <w:pStyle w:val="Normal0"/>
        <w:rPr>
          <w:rFonts w:eastAsia="Calibri"/>
          <w:bCs/>
          <w:sz w:val="20"/>
          <w:szCs w:val="20"/>
          <w:lang w:eastAsia="en-US"/>
        </w:rPr>
      </w:pPr>
    </w:p>
    <w:p w14:paraId="586B29A1" w14:textId="427F3694" w:rsidR="007533E1" w:rsidRPr="00490D3B" w:rsidRDefault="007533E1" w:rsidP="007533E1">
      <w:pPr>
        <w:pStyle w:val="Normal0"/>
        <w:jc w:val="center"/>
        <w:rPr>
          <w:rFonts w:eastAsia="Calibri"/>
          <w:b/>
          <w:bCs/>
          <w:sz w:val="20"/>
          <w:szCs w:val="20"/>
          <w:lang w:eastAsia="en-US"/>
        </w:rPr>
      </w:pPr>
      <w:r w:rsidRPr="00490D3B">
        <w:rPr>
          <w:rFonts w:eastAsia="Calibri"/>
          <w:b/>
          <w:bCs/>
          <w:sz w:val="20"/>
          <w:szCs w:val="20"/>
          <w:lang w:eastAsia="en-US"/>
        </w:rPr>
        <w:t>Desviación absoluta = Valor observado − Valor proyectado</w:t>
      </w:r>
    </w:p>
    <w:p w14:paraId="2D390FE8" w14:textId="7B278AFA" w:rsidR="00E4420B" w:rsidRPr="00490D3B" w:rsidRDefault="00E4420B" w:rsidP="00E4420B">
      <w:pPr>
        <w:pStyle w:val="Normal0"/>
        <w:rPr>
          <w:rFonts w:eastAsia="Calibri"/>
          <w:bCs/>
          <w:sz w:val="20"/>
          <w:szCs w:val="20"/>
          <w:lang w:eastAsia="en-US"/>
        </w:rPr>
      </w:pPr>
    </w:p>
    <w:p w14:paraId="012408BC" w14:textId="47DCD99A" w:rsidR="00E4420B" w:rsidRPr="00490D3B" w:rsidRDefault="00E4420B" w:rsidP="00E4420B">
      <w:pPr>
        <w:pStyle w:val="Normal0"/>
        <w:rPr>
          <w:rFonts w:eastAsia="Calibri"/>
          <w:bCs/>
          <w:sz w:val="20"/>
          <w:szCs w:val="20"/>
          <w:lang w:eastAsia="en-US"/>
        </w:rPr>
      </w:pPr>
      <w:r w:rsidRPr="00490D3B">
        <w:rPr>
          <w:rFonts w:eastAsia="Calibri"/>
          <w:bCs/>
          <w:sz w:val="20"/>
          <w:szCs w:val="20"/>
          <w:lang w:eastAsia="en-US"/>
        </w:rPr>
        <w:t>También puede expresarse en términos porcentuales:</w:t>
      </w:r>
    </w:p>
    <w:p w14:paraId="7E94BA8A" w14:textId="2AC538EB" w:rsidR="007533E1" w:rsidRPr="00490D3B" w:rsidRDefault="007533E1" w:rsidP="00E4420B">
      <w:pPr>
        <w:pStyle w:val="Normal0"/>
        <w:rPr>
          <w:rFonts w:eastAsia="Calibri"/>
          <w:bCs/>
          <w:sz w:val="20"/>
          <w:szCs w:val="20"/>
          <w:lang w:eastAsia="en-US"/>
        </w:rPr>
      </w:pPr>
    </w:p>
    <w:p w14:paraId="6B2561B7" w14:textId="5B7E513F" w:rsidR="007533E1" w:rsidRPr="00490D3B" w:rsidRDefault="007533E1" w:rsidP="00E4420B">
      <w:pPr>
        <w:pStyle w:val="Normal0"/>
        <w:rPr>
          <w:rFonts w:eastAsia="Calibri"/>
          <w:b/>
          <w:bCs/>
          <w:sz w:val="20"/>
          <w:szCs w:val="20"/>
          <w:lang w:eastAsia="en-US"/>
        </w:rPr>
      </w:pPr>
      <m:oMathPara>
        <m:oMath>
          <m:r>
            <m:rPr>
              <m:sty m:val="b"/>
            </m:rPr>
            <w:rPr>
              <w:rFonts w:ascii="Cambria Math" w:eastAsia="Calibri" w:hAnsi="Cambria Math"/>
              <w:sz w:val="20"/>
              <w:szCs w:val="20"/>
              <w:lang w:eastAsia="en-US"/>
            </w:rPr>
            <m:t>Desviación porcentual=</m:t>
          </m:r>
          <m:f>
            <m:fPr>
              <m:ctrlPr>
                <w:rPr>
                  <w:rFonts w:ascii="Cambria Math" w:eastAsia="Calibri" w:hAnsi="Cambria Math"/>
                  <w:b/>
                  <w:bCs/>
                  <w:sz w:val="20"/>
                  <w:szCs w:val="20"/>
                  <w:lang w:eastAsia="en-US"/>
                </w:rPr>
              </m:ctrlPr>
            </m:fPr>
            <m:num>
              <m:r>
                <m:rPr>
                  <m:sty m:val="b"/>
                </m:rPr>
                <w:rPr>
                  <w:rFonts w:ascii="Cambria Math" w:eastAsia="Calibri" w:hAnsi="Cambria Math"/>
                  <w:sz w:val="20"/>
                  <w:szCs w:val="20"/>
                  <w:lang w:eastAsia="en-US"/>
                </w:rPr>
                <m:t xml:space="preserve">Valor observado - Valor proyectado </m:t>
              </m:r>
            </m:num>
            <m:den>
              <m:r>
                <m:rPr>
                  <m:sty m:val="b"/>
                </m:rPr>
                <w:rPr>
                  <w:rFonts w:ascii="Cambria Math" w:eastAsia="Calibri" w:hAnsi="Cambria Math"/>
                  <w:sz w:val="20"/>
                  <w:szCs w:val="20"/>
                  <w:lang w:eastAsia="en-US"/>
                </w:rPr>
                <m:t>Valor proyectado</m:t>
              </m:r>
            </m:den>
          </m:f>
          <m:r>
            <m:rPr>
              <m:sty m:val="b"/>
            </m:rPr>
            <w:rPr>
              <w:rFonts w:ascii="Cambria Math" w:eastAsia="Calibri" w:hAnsi="Cambria Math"/>
              <w:sz w:val="20"/>
              <w:szCs w:val="20"/>
              <w:lang w:eastAsia="en-US"/>
            </w:rPr>
            <m:t xml:space="preserve"> x 100</m:t>
          </m:r>
        </m:oMath>
      </m:oMathPara>
    </w:p>
    <w:p w14:paraId="49A25BF2" w14:textId="74AE3E22" w:rsidR="007533E1" w:rsidRPr="00490D3B" w:rsidRDefault="007533E1" w:rsidP="00E4420B">
      <w:pPr>
        <w:pStyle w:val="Normal0"/>
        <w:rPr>
          <w:rFonts w:eastAsia="Calibri"/>
          <w:bCs/>
          <w:sz w:val="20"/>
          <w:szCs w:val="20"/>
          <w:lang w:eastAsia="en-US"/>
        </w:rPr>
      </w:pPr>
    </w:p>
    <w:p w14:paraId="5B929BC8" w14:textId="21EB9EAA" w:rsidR="007533E1" w:rsidRPr="00490D3B" w:rsidRDefault="007533E1" w:rsidP="007533E1">
      <w:pPr>
        <w:pStyle w:val="Normal0"/>
        <w:jc w:val="center"/>
        <w:rPr>
          <w:rFonts w:eastAsia="Calibri"/>
          <w:bCs/>
          <w:sz w:val="20"/>
          <w:szCs w:val="20"/>
          <w:lang w:eastAsia="en-US"/>
        </w:rPr>
      </w:pPr>
      <w:r w:rsidRPr="00490D3B">
        <w:rPr>
          <w:rFonts w:eastAsia="Calibri"/>
          <w:bCs/>
          <w:noProof/>
          <w:sz w:val="20"/>
          <w:szCs w:val="20"/>
          <w:lang w:val="en-US" w:eastAsia="en-US"/>
        </w:rPr>
        <mc:AlternateContent>
          <mc:Choice Requires="wps">
            <w:drawing>
              <wp:inline distT="0" distB="0" distL="0" distR="0" wp14:anchorId="00B8B104" wp14:editId="31504F78">
                <wp:extent cx="5597718" cy="1404620"/>
                <wp:effectExtent l="0" t="0" r="3175" b="6985"/>
                <wp:docPr id="8"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597718" cy="1404620"/>
                        </a:xfrm>
                        <a:prstGeom prst="rect">
                          <a:avLst/>
                        </a:prstGeom>
                        <a:solidFill>
                          <a:schemeClr val="accent1">
                            <a:lumMod val="40000"/>
                            <a:lumOff val="60000"/>
                          </a:schemeClr>
                        </a:solidFill>
                        <a:ln w="9525">
                          <a:noFill/>
                          <a:miter lim="800000"/>
                          <a:headEnd/>
                          <a:tailEnd/>
                        </a:ln>
                      </wps:spPr>
                      <wps:txbx>
                        <w:txbxContent>
                          <w:p w14:paraId="44B80D8D" w14:textId="6ED4863C" w:rsidR="004A3922" w:rsidRPr="007533E1" w:rsidRDefault="004A3922" w:rsidP="007533E1">
                            <w:pPr>
                              <w:pStyle w:val="Normal0"/>
                              <w:rPr>
                                <w:rFonts w:eastAsia="Calibri"/>
                                <w:b/>
                                <w:bCs/>
                                <w:sz w:val="20"/>
                                <w:szCs w:val="20"/>
                                <w:lang w:eastAsia="en-US"/>
                              </w:rPr>
                            </w:pPr>
                            <w:r w:rsidRPr="007533E1">
                              <w:rPr>
                                <w:rFonts w:eastAsia="Calibri"/>
                                <w:b/>
                                <w:bCs/>
                                <w:sz w:val="20"/>
                                <w:szCs w:val="20"/>
                                <w:lang w:eastAsia="en-US"/>
                              </w:rPr>
                              <w:t>Ejemplo:</w:t>
                            </w:r>
                          </w:p>
                          <w:p w14:paraId="63ECA79F" w14:textId="77777777" w:rsidR="004A3922" w:rsidRPr="00E4420B" w:rsidRDefault="004A3922" w:rsidP="007533E1">
                            <w:pPr>
                              <w:pStyle w:val="Normal0"/>
                              <w:rPr>
                                <w:rFonts w:eastAsia="Calibri"/>
                                <w:bCs/>
                                <w:sz w:val="20"/>
                                <w:szCs w:val="20"/>
                                <w:lang w:eastAsia="en-US"/>
                              </w:rPr>
                            </w:pPr>
                          </w:p>
                          <w:p w14:paraId="08E770F5" w14:textId="77777777" w:rsidR="004A3922" w:rsidRPr="00E4420B" w:rsidRDefault="004A3922" w:rsidP="007533E1">
                            <w:pPr>
                              <w:pStyle w:val="Normal0"/>
                              <w:rPr>
                                <w:rFonts w:eastAsia="Calibri"/>
                                <w:bCs/>
                                <w:sz w:val="20"/>
                                <w:szCs w:val="20"/>
                                <w:lang w:eastAsia="en-US"/>
                              </w:rPr>
                            </w:pPr>
                            <w:r w:rsidRPr="00E4420B">
                              <w:rPr>
                                <w:rFonts w:eastAsia="Calibri"/>
                                <w:bCs/>
                                <w:sz w:val="20"/>
                                <w:szCs w:val="20"/>
                                <w:lang w:eastAsia="en-US"/>
                              </w:rPr>
                              <w:t>Si la nota técnica proyectó 3.000 atenciones y durante la ejecución se registraron 3.300, la desviación absoluta sería:</w:t>
                            </w:r>
                          </w:p>
                          <w:p w14:paraId="31E51396" w14:textId="77777777" w:rsidR="004A3922" w:rsidRPr="00E4420B" w:rsidRDefault="004A3922" w:rsidP="007533E1">
                            <w:pPr>
                              <w:pStyle w:val="Normal0"/>
                              <w:rPr>
                                <w:rFonts w:eastAsia="Calibri"/>
                                <w:bCs/>
                                <w:sz w:val="20"/>
                                <w:szCs w:val="20"/>
                                <w:lang w:eastAsia="en-US"/>
                              </w:rPr>
                            </w:pPr>
                          </w:p>
                          <w:p w14:paraId="3C2D3E41" w14:textId="77777777" w:rsidR="004A3922" w:rsidRPr="007533E1" w:rsidRDefault="004A3922" w:rsidP="007533E1">
                            <w:pPr>
                              <w:pStyle w:val="Normal0"/>
                              <w:jc w:val="center"/>
                              <w:rPr>
                                <w:rFonts w:eastAsia="Calibri"/>
                                <w:b/>
                                <w:bCs/>
                                <w:sz w:val="20"/>
                                <w:szCs w:val="20"/>
                                <w:lang w:eastAsia="en-US"/>
                              </w:rPr>
                            </w:pPr>
                            <w:r w:rsidRPr="007533E1">
                              <w:rPr>
                                <w:rFonts w:eastAsia="Calibri"/>
                                <w:b/>
                                <w:bCs/>
                                <w:sz w:val="20"/>
                                <w:szCs w:val="20"/>
                                <w:lang w:eastAsia="en-US"/>
                              </w:rPr>
                              <w:t>3.300 - 3.000 = 300</w:t>
                            </w:r>
                          </w:p>
                          <w:p w14:paraId="2EBA1882" w14:textId="77777777" w:rsidR="004A3922" w:rsidRPr="00E4420B" w:rsidRDefault="004A3922" w:rsidP="007533E1">
                            <w:pPr>
                              <w:pStyle w:val="Normal0"/>
                              <w:rPr>
                                <w:rFonts w:eastAsia="Calibri"/>
                                <w:bCs/>
                                <w:sz w:val="20"/>
                                <w:szCs w:val="20"/>
                                <w:lang w:eastAsia="en-US"/>
                              </w:rPr>
                            </w:pPr>
                          </w:p>
                          <w:p w14:paraId="344B0559" w14:textId="77777777" w:rsidR="004A3922" w:rsidRDefault="004A3922" w:rsidP="007533E1">
                            <w:pPr>
                              <w:pStyle w:val="Normal0"/>
                              <w:rPr>
                                <w:rFonts w:eastAsia="Calibri"/>
                                <w:bCs/>
                                <w:sz w:val="20"/>
                                <w:szCs w:val="20"/>
                                <w:lang w:eastAsia="en-US"/>
                              </w:rPr>
                            </w:pPr>
                            <w:r w:rsidRPr="00E4420B">
                              <w:rPr>
                                <w:rFonts w:eastAsia="Calibri"/>
                                <w:bCs/>
                                <w:sz w:val="20"/>
                                <w:szCs w:val="20"/>
                                <w:lang w:eastAsia="en-US"/>
                              </w:rPr>
                              <w:t>Y la desviación porcentual:</w:t>
                            </w:r>
                          </w:p>
                          <w:p w14:paraId="3D19042B" w14:textId="77777777" w:rsidR="004A3922" w:rsidRPr="007533E1" w:rsidRDefault="000B3F8C" w:rsidP="007533E1">
                            <w:pPr>
                              <w:pStyle w:val="Normal0"/>
                              <w:rPr>
                                <w:rFonts w:eastAsia="Calibri"/>
                                <w:b/>
                                <w:bCs/>
                                <w:sz w:val="20"/>
                                <w:szCs w:val="20"/>
                                <w:lang w:eastAsia="en-US"/>
                              </w:rPr>
                            </w:pPr>
                            <m:oMathPara>
                              <m:oMath>
                                <m:f>
                                  <m:fPr>
                                    <m:ctrlPr>
                                      <w:rPr>
                                        <w:rFonts w:ascii="Cambria Math" w:eastAsia="Calibri" w:hAnsi="Cambria Math"/>
                                        <w:b/>
                                        <w:bCs/>
                                        <w:sz w:val="20"/>
                                        <w:szCs w:val="20"/>
                                        <w:lang w:eastAsia="en-US"/>
                                      </w:rPr>
                                    </m:ctrlPr>
                                  </m:fPr>
                                  <m:num>
                                    <m:r>
                                      <m:rPr>
                                        <m:sty m:val="b"/>
                                      </m:rPr>
                                      <w:rPr>
                                        <w:rFonts w:ascii="Cambria Math" w:eastAsia="Calibri" w:hAnsi="Cambria Math"/>
                                        <w:sz w:val="20"/>
                                        <w:szCs w:val="20"/>
                                        <w:lang w:eastAsia="en-US"/>
                                      </w:rPr>
                                      <m:t>3.300-3.000</m:t>
                                    </m:r>
                                  </m:num>
                                  <m:den>
                                    <m:r>
                                      <m:rPr>
                                        <m:sty m:val="b"/>
                                      </m:rPr>
                                      <w:rPr>
                                        <w:rFonts w:ascii="Cambria Math" w:eastAsia="Calibri" w:hAnsi="Cambria Math"/>
                                        <w:sz w:val="20"/>
                                        <w:szCs w:val="20"/>
                                        <w:lang w:eastAsia="en-US"/>
                                      </w:rPr>
                                      <m:t>3.000</m:t>
                                    </m:r>
                                  </m:den>
                                </m:f>
                                <m:r>
                                  <m:rPr>
                                    <m:sty m:val="b"/>
                                  </m:rPr>
                                  <w:rPr>
                                    <w:rFonts w:ascii="Cambria Math" w:eastAsia="Calibri" w:hAnsi="Cambria Math"/>
                                    <w:sz w:val="20"/>
                                    <w:szCs w:val="20"/>
                                    <w:lang w:eastAsia="en-US"/>
                                  </w:rPr>
                                  <m:t xml:space="preserve"> x 100=10 %</m:t>
                                </m:r>
                              </m:oMath>
                            </m:oMathPara>
                          </w:p>
                          <w:p w14:paraId="03C1C17D" w14:textId="77777777" w:rsidR="004A3922" w:rsidRPr="00E4420B" w:rsidRDefault="004A3922" w:rsidP="007533E1">
                            <w:pPr>
                              <w:pStyle w:val="Normal0"/>
                              <w:rPr>
                                <w:rFonts w:eastAsia="Calibri"/>
                                <w:bCs/>
                                <w:sz w:val="20"/>
                                <w:szCs w:val="20"/>
                                <w:lang w:eastAsia="en-US"/>
                              </w:rPr>
                            </w:pPr>
                          </w:p>
                          <w:p w14:paraId="6518C23E" w14:textId="16D4E3DD" w:rsidR="004A3922" w:rsidRPr="007533E1" w:rsidRDefault="004A3922" w:rsidP="007533E1">
                            <w:pPr>
                              <w:pStyle w:val="Normal0"/>
                              <w:rPr>
                                <w:rFonts w:eastAsia="Calibri"/>
                                <w:bCs/>
                                <w:sz w:val="20"/>
                                <w:szCs w:val="20"/>
                                <w:lang w:eastAsia="en-US"/>
                              </w:rPr>
                            </w:pPr>
                            <w:r w:rsidRPr="00E4420B">
                              <w:rPr>
                                <w:rFonts w:eastAsia="Calibri"/>
                                <w:bCs/>
                                <w:sz w:val="20"/>
                                <w:szCs w:val="20"/>
                                <w:lang w:eastAsia="en-US"/>
                              </w:rPr>
                              <w:t>En este caso, se presenta una utilización 10 % superior a la proyectada.</w:t>
                            </w:r>
                          </w:p>
                        </w:txbxContent>
                      </wps:txbx>
                      <wps:bodyPr rot="0" vert="horz" wrap="square" lIns="91440" tIns="45720" rIns="91440" bIns="45720" anchor="t" anchorCtr="0">
                        <a:spAutoFit/>
                      </wps:bodyPr>
                    </wps:wsp>
                  </a:graphicData>
                </a:graphic>
              </wp:inline>
            </w:drawing>
          </mc:Choice>
          <mc:Fallback>
            <w:pict>
              <v:shape w14:anchorId="00B8B104" id="_x0000_s1029" type="#_x0000_t202" style="width:440.75pt;height:110.6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" fillcolor="#b8cce4 [1300]" stroked="f">
                <v:textbox style="mso-fit-shape-to-text:t">
                  <w:txbxContent>
                    <w:p w14:paraId="44B80D8D" w14:textId="6ED4863C" w:rsidR="004A3922" w:rsidRPr="007533E1" w:rsidRDefault="004A3922" w:rsidP="007533E1">
                      <w:pPr>
                        <w:pStyle w:val="Normal0"/>
                        <w:rPr>
                          <w:rFonts w:eastAsia="Calibri"/>
                          <w:b/>
                          <w:bCs/>
                          <w:sz w:val="20"/>
                          <w:szCs w:val="20"/>
                          <w:lang w:eastAsia="en-US"/>
                        </w:rPr>
                      </w:pPr>
                      <w:r w:rsidRPr="007533E1">
                        <w:rPr>
                          <w:rFonts w:eastAsia="Calibri"/>
                          <w:b/>
                          <w:bCs/>
                          <w:sz w:val="20"/>
                          <w:szCs w:val="20"/>
                          <w:lang w:eastAsia="en-US"/>
                        </w:rPr>
                        <w:t>Ejemplo:</w:t>
                      </w:r>
                    </w:p>
                    <w:p w14:paraId="63ECA79F" w14:textId="77777777" w:rsidR="004A3922" w:rsidRPr="00E4420B" w:rsidRDefault="004A3922" w:rsidP="007533E1">
                      <w:pPr>
                        <w:pStyle w:val="Normal0"/>
                        <w:rPr>
                          <w:rFonts w:eastAsia="Calibri"/>
                          <w:bCs/>
                          <w:sz w:val="20"/>
                          <w:szCs w:val="20"/>
                          <w:lang w:eastAsia="en-US"/>
                        </w:rPr>
                      </w:pPr>
                    </w:p>
                    <w:p w14:paraId="08E770F5" w14:textId="77777777" w:rsidR="004A3922" w:rsidRPr="00E4420B" w:rsidRDefault="004A3922" w:rsidP="007533E1">
                      <w:pPr>
                        <w:pStyle w:val="Normal0"/>
                        <w:rPr>
                          <w:rFonts w:eastAsia="Calibri"/>
                          <w:bCs/>
                          <w:sz w:val="20"/>
                          <w:szCs w:val="20"/>
                          <w:lang w:eastAsia="en-US"/>
                        </w:rPr>
                      </w:pPr>
                      <w:r w:rsidRPr="00E4420B">
                        <w:rPr>
                          <w:rFonts w:eastAsia="Calibri"/>
                          <w:bCs/>
                          <w:sz w:val="20"/>
                          <w:szCs w:val="20"/>
                          <w:lang w:eastAsia="en-US"/>
                        </w:rPr>
                        <w:t>Si la nota técnica proyectó 3.000 atenciones y durante la ejecución se registraron 3.300, la desviación absoluta sería:</w:t>
                      </w:r>
                    </w:p>
                    <w:p w14:paraId="31E51396" w14:textId="77777777" w:rsidR="004A3922" w:rsidRPr="00E4420B" w:rsidRDefault="004A3922" w:rsidP="007533E1">
                      <w:pPr>
                        <w:pStyle w:val="Normal0"/>
                        <w:rPr>
                          <w:rFonts w:eastAsia="Calibri"/>
                          <w:bCs/>
                          <w:sz w:val="20"/>
                          <w:szCs w:val="20"/>
                          <w:lang w:eastAsia="en-US"/>
                        </w:rPr>
                      </w:pPr>
                    </w:p>
                    <w:p w14:paraId="3C2D3E41" w14:textId="77777777" w:rsidR="004A3922" w:rsidRPr="007533E1" w:rsidRDefault="004A3922" w:rsidP="007533E1">
                      <w:pPr>
                        <w:pStyle w:val="Normal0"/>
                        <w:jc w:val="center"/>
                        <w:rPr>
                          <w:rFonts w:eastAsia="Calibri"/>
                          <w:b/>
                          <w:bCs/>
                          <w:sz w:val="20"/>
                          <w:szCs w:val="20"/>
                          <w:lang w:eastAsia="en-US"/>
                        </w:rPr>
                      </w:pPr>
                      <w:r w:rsidRPr="007533E1">
                        <w:rPr>
                          <w:rFonts w:eastAsia="Calibri"/>
                          <w:b/>
                          <w:bCs/>
                          <w:sz w:val="20"/>
                          <w:szCs w:val="20"/>
                          <w:lang w:eastAsia="en-US"/>
                        </w:rPr>
                        <w:t>3.300 - 3.000 = 300</w:t>
                      </w:r>
                    </w:p>
                    <w:p w14:paraId="2EBA1882" w14:textId="77777777" w:rsidR="004A3922" w:rsidRPr="00E4420B" w:rsidRDefault="004A3922" w:rsidP="007533E1">
                      <w:pPr>
                        <w:pStyle w:val="Normal0"/>
                        <w:rPr>
                          <w:rFonts w:eastAsia="Calibri"/>
                          <w:bCs/>
                          <w:sz w:val="20"/>
                          <w:szCs w:val="20"/>
                          <w:lang w:eastAsia="en-US"/>
                        </w:rPr>
                      </w:pPr>
                    </w:p>
                    <w:p w14:paraId="344B0559" w14:textId="77777777" w:rsidR="004A3922" w:rsidRDefault="004A3922" w:rsidP="007533E1">
                      <w:pPr>
                        <w:pStyle w:val="Normal0"/>
                        <w:rPr>
                          <w:rFonts w:eastAsia="Calibri"/>
                          <w:bCs/>
                          <w:sz w:val="20"/>
                          <w:szCs w:val="20"/>
                          <w:lang w:eastAsia="en-US"/>
                        </w:rPr>
                      </w:pPr>
                      <w:r w:rsidRPr="00E4420B">
                        <w:rPr>
                          <w:rFonts w:eastAsia="Calibri"/>
                          <w:bCs/>
                          <w:sz w:val="20"/>
                          <w:szCs w:val="20"/>
                          <w:lang w:eastAsia="en-US"/>
                        </w:rPr>
                        <w:t>Y la desviación porcentual:</w:t>
                      </w:r>
                    </w:p>
                    <w:p w14:paraId="3D19042B" w14:textId="77777777" w:rsidR="004A3922" w:rsidRPr="007533E1" w:rsidRDefault="004A3922" w:rsidP="007533E1">
                      <w:pPr>
                        <w:pStyle w:val="Normal0"/>
                        <w:rPr>
                          <w:rFonts w:eastAsia="Calibri"/>
                          <w:b/>
                          <w:bCs/>
                          <w:sz w:val="20"/>
                          <w:szCs w:val="20"/>
                          <w:lang w:eastAsia="en-US"/>
                        </w:rPr>
                      </w:pPr>
                      <m:oMathPara>
                        <m:oMath>
                          <m:f>
                            <m:fPr>
                              <m:ctrlPr>
                                <w:rPr>
                                  <w:rFonts w:ascii="Cambria Math" w:eastAsia="Calibri" w:hAnsi="Cambria Math"/>
                                  <w:b/>
                                  <w:bCs/>
                                  <w:sz w:val="20"/>
                                  <w:szCs w:val="20"/>
                                  <w:lang w:eastAsia="en-US"/>
                                </w:rPr>
                              </m:ctrlPr>
                            </m:fPr>
                            <m:num>
                              <m:r>
                                <m:rPr>
                                  <m:sty m:val="b"/>
                                </m:rPr>
                                <w:rPr>
                                  <w:rFonts w:ascii="Cambria Math" w:eastAsia="Calibri" w:hAnsi="Cambria Math"/>
                                  <w:sz w:val="20"/>
                                  <w:szCs w:val="20"/>
                                  <w:lang w:eastAsia="en-US"/>
                                </w:rPr>
                                <m:t>3.300-3.000</m:t>
                              </m:r>
                            </m:num>
                            <m:den>
                              <m:r>
                                <m:rPr>
                                  <m:sty m:val="b"/>
                                </m:rPr>
                                <w:rPr>
                                  <w:rFonts w:ascii="Cambria Math" w:eastAsia="Calibri" w:hAnsi="Cambria Math"/>
                                  <w:sz w:val="20"/>
                                  <w:szCs w:val="20"/>
                                  <w:lang w:eastAsia="en-US"/>
                                </w:rPr>
                                <m:t>3.000</m:t>
                              </m:r>
                            </m:den>
                          </m:f>
                          <m:r>
                            <m:rPr>
                              <m:sty m:val="b"/>
                            </m:rPr>
                            <w:rPr>
                              <w:rFonts w:ascii="Cambria Math" w:eastAsia="Calibri" w:hAnsi="Cambria Math"/>
                              <w:sz w:val="20"/>
                              <w:szCs w:val="20"/>
                              <w:lang w:eastAsia="en-US"/>
                            </w:rPr>
                            <m:t xml:space="preserve"> x 100=10 %</m:t>
                          </m:r>
                        </m:oMath>
                      </m:oMathPara>
                    </w:p>
                    <w:p w14:paraId="03C1C17D" w14:textId="77777777" w:rsidR="004A3922" w:rsidRPr="00E4420B" w:rsidRDefault="004A3922" w:rsidP="007533E1">
                      <w:pPr>
                        <w:pStyle w:val="Normal0"/>
                        <w:rPr>
                          <w:rFonts w:eastAsia="Calibri"/>
                          <w:bCs/>
                          <w:sz w:val="20"/>
                          <w:szCs w:val="20"/>
                          <w:lang w:eastAsia="en-US"/>
                        </w:rPr>
                      </w:pPr>
                    </w:p>
                    <w:p w14:paraId="6518C23E" w14:textId="16D4E3DD" w:rsidR="004A3922" w:rsidRPr="007533E1" w:rsidRDefault="004A3922" w:rsidP="007533E1">
                      <w:pPr>
                        <w:pStyle w:val="Normal0"/>
                        <w:rPr>
                          <w:rFonts w:eastAsia="Calibri"/>
                          <w:bCs/>
                          <w:sz w:val="20"/>
                          <w:szCs w:val="20"/>
                          <w:lang w:eastAsia="en-US"/>
                        </w:rPr>
                      </w:pPr>
                      <w:r w:rsidRPr="00E4420B">
                        <w:rPr>
                          <w:rFonts w:eastAsia="Calibri"/>
                          <w:bCs/>
                          <w:sz w:val="20"/>
                          <w:szCs w:val="20"/>
                          <w:lang w:eastAsia="en-US"/>
                        </w:rPr>
                        <w:t>En este caso, se presenta una utilización 10 % superior a la proyectada.</w:t>
                      </w:r>
                    </w:p>
                  </w:txbxContent>
                </v:textbox>
                <w10:anchorlock/>
              </v:shape>
            </w:pict>
          </mc:Fallback>
        </mc:AlternateContent>
      </w:r>
    </w:p>
    <w:p w14:paraId="38FF346C" w14:textId="77777777" w:rsidR="00E4420B" w:rsidRPr="00490D3B" w:rsidRDefault="00E4420B" w:rsidP="00E4420B">
      <w:pPr>
        <w:pStyle w:val="Normal0"/>
        <w:rPr>
          <w:rFonts w:eastAsia="Calibri"/>
          <w:bCs/>
          <w:sz w:val="20"/>
          <w:szCs w:val="20"/>
          <w:lang w:eastAsia="en-US"/>
        </w:rPr>
      </w:pPr>
    </w:p>
    <w:p w14:paraId="318AE07D" w14:textId="77777777" w:rsidR="00E4420B" w:rsidRPr="00490D3B" w:rsidRDefault="00E4420B" w:rsidP="00E4420B">
      <w:pPr>
        <w:pStyle w:val="Normal0"/>
        <w:rPr>
          <w:rFonts w:eastAsia="Calibri"/>
          <w:bCs/>
          <w:sz w:val="20"/>
          <w:szCs w:val="20"/>
          <w:lang w:eastAsia="en-US"/>
        </w:rPr>
      </w:pPr>
      <w:r w:rsidRPr="00490D3B">
        <w:rPr>
          <w:rFonts w:eastAsia="Calibri"/>
          <w:bCs/>
          <w:sz w:val="20"/>
          <w:szCs w:val="20"/>
          <w:lang w:eastAsia="en-US"/>
        </w:rPr>
        <w:t>El análisis no debe limitarse a identificar la diferencia numérica. También debe considerar las condiciones que pueden explicar la variación, como cambios en la población, modificaciones en la red de prestadores, cobertura, comportamiento de la morbilidad o situaciones que afecten la prestación de los servicios.</w:t>
      </w:r>
    </w:p>
    <w:p w14:paraId="37D2D94D" w14:textId="77777777" w:rsidR="00E4420B" w:rsidRPr="00490D3B" w:rsidRDefault="00E4420B" w:rsidP="00E4420B">
      <w:pPr>
        <w:pStyle w:val="Normal0"/>
        <w:rPr>
          <w:rFonts w:eastAsia="Calibri"/>
          <w:bCs/>
          <w:sz w:val="20"/>
          <w:szCs w:val="20"/>
          <w:lang w:eastAsia="en-US"/>
        </w:rPr>
      </w:pPr>
    </w:p>
    <w:p w14:paraId="16385CAA" w14:textId="2EE73A29" w:rsidR="00E4420B" w:rsidRPr="00490D3B" w:rsidRDefault="00E4420B" w:rsidP="00E4420B">
      <w:pPr>
        <w:pStyle w:val="Normal0"/>
        <w:rPr>
          <w:rFonts w:eastAsia="Calibri"/>
          <w:bCs/>
          <w:sz w:val="20"/>
          <w:szCs w:val="20"/>
          <w:lang w:eastAsia="en-US"/>
        </w:rPr>
      </w:pPr>
      <w:r w:rsidRPr="00490D3B">
        <w:rPr>
          <w:rFonts w:eastAsia="Calibri"/>
          <w:bCs/>
          <w:sz w:val="20"/>
          <w:szCs w:val="20"/>
          <w:lang w:eastAsia="en-US"/>
        </w:rPr>
        <w:t>Los resultados del análisis permiten determinar si la desviación requiere seguimiento, ajuste de las proyecciones o modificación de otros elementos de la nota técnica. De esta manera, la comparación entre lo proyectado y lo observado se convierte en un insumo para la toma de acciones y la actualización de la información durante la ejecución del acuerdo.</w:t>
      </w:r>
    </w:p>
    <w:p w14:paraId="5840DCC4" w14:textId="77777777" w:rsidR="00E4420B" w:rsidRPr="00490D3B" w:rsidRDefault="00E4420B" w:rsidP="00E4420B">
      <w:pPr>
        <w:pStyle w:val="Normal0"/>
        <w:rPr>
          <w:rFonts w:eastAsia="Calibri"/>
          <w:bCs/>
          <w:sz w:val="20"/>
          <w:szCs w:val="20"/>
          <w:lang w:eastAsia="en-US"/>
        </w:rPr>
      </w:pPr>
    </w:p>
    <w:p w14:paraId="624C8005" w14:textId="7BAD024D" w:rsidR="00D743F1" w:rsidRPr="00490D3B" w:rsidRDefault="00D743F1" w:rsidP="00D743F1">
      <w:pPr>
        <w:pStyle w:val="Normal0"/>
        <w:numPr>
          <w:ilvl w:val="1"/>
          <w:numId w:val="30"/>
        </w:numPr>
        <w:rPr>
          <w:rFonts w:eastAsia="Calibri"/>
          <w:b/>
          <w:bCs/>
          <w:sz w:val="20"/>
          <w:szCs w:val="20"/>
          <w:lang w:eastAsia="en-US"/>
        </w:rPr>
      </w:pPr>
      <w:r w:rsidRPr="00490D3B">
        <w:rPr>
          <w:rFonts w:eastAsia="Calibri"/>
          <w:b/>
          <w:bCs/>
          <w:sz w:val="20"/>
          <w:szCs w:val="20"/>
          <w:lang w:eastAsia="en-US"/>
        </w:rPr>
        <w:t>Ajustes de tarifas y planificación de servicios</w:t>
      </w:r>
    </w:p>
    <w:p w14:paraId="373E3172" w14:textId="67FBA46C" w:rsidR="007A51CA" w:rsidRPr="00490D3B" w:rsidRDefault="007A51CA" w:rsidP="007A51CA">
      <w:pPr>
        <w:pStyle w:val="Normal0"/>
        <w:rPr>
          <w:rFonts w:eastAsia="Calibri"/>
          <w:bCs/>
          <w:sz w:val="20"/>
          <w:szCs w:val="20"/>
          <w:lang w:eastAsia="en-US"/>
        </w:rPr>
      </w:pPr>
    </w:p>
    <w:p w14:paraId="2D006408" w14:textId="77777777" w:rsidR="007A51CA" w:rsidRPr="00490D3B" w:rsidRDefault="007A51CA" w:rsidP="007A51CA">
      <w:pPr>
        <w:pStyle w:val="Normal0"/>
        <w:rPr>
          <w:rFonts w:eastAsia="Calibri"/>
          <w:bCs/>
          <w:sz w:val="20"/>
          <w:szCs w:val="20"/>
          <w:lang w:eastAsia="en-US"/>
        </w:rPr>
      </w:pPr>
      <w:r w:rsidRPr="00490D3B">
        <w:rPr>
          <w:rFonts w:eastAsia="Calibri"/>
          <w:bCs/>
          <w:sz w:val="20"/>
          <w:szCs w:val="20"/>
          <w:lang w:eastAsia="en-US"/>
        </w:rPr>
        <w:t>Los ajustes de tarifas y de la planificación de servicios se realizan cuando el seguimiento de la ejecución identifica variaciones que afectan las condiciones consideradas inicialmente en la nota técnica. Estos ajustes deben sustentarse en información actualizada y en los resultados obtenidos durante el seguimiento, de manera que las proyecciones mantengan correspondencia con el comportamiento observado.</w:t>
      </w:r>
    </w:p>
    <w:p w14:paraId="030A4567" w14:textId="77777777" w:rsidR="007A51CA" w:rsidRPr="00490D3B" w:rsidRDefault="007A51CA" w:rsidP="007A51CA">
      <w:pPr>
        <w:pStyle w:val="Normal0"/>
        <w:rPr>
          <w:rFonts w:eastAsia="Calibri"/>
          <w:bCs/>
          <w:sz w:val="20"/>
          <w:szCs w:val="20"/>
          <w:lang w:eastAsia="en-US"/>
        </w:rPr>
      </w:pPr>
    </w:p>
    <w:p w14:paraId="3C152043" w14:textId="77777777" w:rsidR="007A51CA" w:rsidRPr="00490D3B" w:rsidRDefault="007A51CA" w:rsidP="007A51CA">
      <w:pPr>
        <w:pStyle w:val="Normal0"/>
        <w:rPr>
          <w:rFonts w:eastAsia="Calibri"/>
          <w:bCs/>
          <w:sz w:val="20"/>
          <w:szCs w:val="20"/>
          <w:lang w:eastAsia="en-US"/>
        </w:rPr>
      </w:pPr>
      <w:r w:rsidRPr="00490D3B">
        <w:rPr>
          <w:rFonts w:eastAsia="Calibri"/>
          <w:bCs/>
          <w:sz w:val="20"/>
          <w:szCs w:val="20"/>
          <w:lang w:eastAsia="en-US"/>
        </w:rPr>
        <w:t>En relación con las tarifas, la revisión puede considerar cambios en los valores de referencia, en los costos asociados a la prestación o en las condiciones económicas establecidas en el acuerdo. Cuando se identifica una diferencia entre los valores proyectados y los resultados observados, es necesario analizar su causa y determinar si corresponde actualizar los valores utilizados en la nota técnica.</w:t>
      </w:r>
    </w:p>
    <w:p w14:paraId="11838BC1" w14:textId="77777777" w:rsidR="007A51CA" w:rsidRPr="00490D3B" w:rsidRDefault="007A51CA" w:rsidP="007A51CA">
      <w:pPr>
        <w:pStyle w:val="Normal0"/>
        <w:rPr>
          <w:rFonts w:eastAsia="Calibri"/>
          <w:bCs/>
          <w:sz w:val="20"/>
          <w:szCs w:val="20"/>
          <w:lang w:eastAsia="en-US"/>
        </w:rPr>
      </w:pPr>
    </w:p>
    <w:p w14:paraId="7E951452" w14:textId="77777777" w:rsidR="007A51CA" w:rsidRPr="00490D3B" w:rsidRDefault="007A51CA" w:rsidP="007A51CA">
      <w:pPr>
        <w:pStyle w:val="Normal0"/>
        <w:rPr>
          <w:rFonts w:eastAsia="Calibri"/>
          <w:bCs/>
          <w:sz w:val="20"/>
          <w:szCs w:val="20"/>
          <w:lang w:eastAsia="en-US"/>
        </w:rPr>
      </w:pPr>
      <w:r w:rsidRPr="00490D3B">
        <w:rPr>
          <w:rFonts w:eastAsia="Calibri"/>
          <w:bCs/>
          <w:sz w:val="20"/>
          <w:szCs w:val="20"/>
          <w:lang w:eastAsia="en-US"/>
        </w:rPr>
        <w:t>La planificación de servicios, por su parte, puede requerir ajustes cuando se presentan modificaciones en variables como:</w:t>
      </w:r>
    </w:p>
    <w:p w14:paraId="38398A3F" w14:textId="77777777" w:rsidR="007A51CA" w:rsidRPr="00490D3B" w:rsidRDefault="007A51CA" w:rsidP="007A51CA">
      <w:pPr>
        <w:pStyle w:val="Normal0"/>
        <w:rPr>
          <w:rFonts w:eastAsia="Calibri"/>
          <w:bCs/>
          <w:sz w:val="20"/>
          <w:szCs w:val="20"/>
          <w:lang w:eastAsia="en-US"/>
        </w:rPr>
      </w:pPr>
    </w:p>
    <w:p w14:paraId="1279617D" w14:textId="77777777" w:rsidR="007A51CA" w:rsidRPr="00490D3B" w:rsidRDefault="007A51CA" w:rsidP="00EE5C75">
      <w:pPr>
        <w:pStyle w:val="Normal0"/>
        <w:numPr>
          <w:ilvl w:val="0"/>
          <w:numId w:val="33"/>
        </w:numPr>
        <w:rPr>
          <w:rFonts w:eastAsia="Calibri"/>
          <w:bCs/>
          <w:sz w:val="20"/>
          <w:szCs w:val="20"/>
          <w:lang w:eastAsia="en-US"/>
        </w:rPr>
      </w:pPr>
      <w:r w:rsidRPr="00490D3B">
        <w:rPr>
          <w:rFonts w:eastAsia="Calibri"/>
          <w:bCs/>
          <w:sz w:val="20"/>
          <w:szCs w:val="20"/>
          <w:lang w:eastAsia="en-US"/>
        </w:rPr>
        <w:t>La población objeto o población susceptible.</w:t>
      </w:r>
    </w:p>
    <w:p w14:paraId="559DC0A4" w14:textId="77777777" w:rsidR="007A51CA" w:rsidRPr="00490D3B" w:rsidRDefault="007A51CA" w:rsidP="00EE5C75">
      <w:pPr>
        <w:pStyle w:val="Normal0"/>
        <w:numPr>
          <w:ilvl w:val="0"/>
          <w:numId w:val="33"/>
        </w:numPr>
        <w:rPr>
          <w:rFonts w:eastAsia="Calibri"/>
          <w:bCs/>
          <w:sz w:val="20"/>
          <w:szCs w:val="20"/>
          <w:lang w:eastAsia="en-US"/>
        </w:rPr>
      </w:pPr>
      <w:r w:rsidRPr="00490D3B">
        <w:rPr>
          <w:rFonts w:eastAsia="Calibri"/>
          <w:bCs/>
          <w:sz w:val="20"/>
          <w:szCs w:val="20"/>
          <w:lang w:eastAsia="en-US"/>
        </w:rPr>
        <w:t>Las frecuencias de utilización.</w:t>
      </w:r>
    </w:p>
    <w:p w14:paraId="1FF43151" w14:textId="77777777" w:rsidR="007A51CA" w:rsidRPr="00490D3B" w:rsidRDefault="007A51CA" w:rsidP="00EE5C75">
      <w:pPr>
        <w:pStyle w:val="Normal0"/>
        <w:numPr>
          <w:ilvl w:val="0"/>
          <w:numId w:val="33"/>
        </w:numPr>
        <w:rPr>
          <w:rFonts w:eastAsia="Calibri"/>
          <w:bCs/>
          <w:sz w:val="20"/>
          <w:szCs w:val="20"/>
          <w:lang w:eastAsia="en-US"/>
        </w:rPr>
      </w:pPr>
      <w:r w:rsidRPr="00490D3B">
        <w:rPr>
          <w:rFonts w:eastAsia="Calibri"/>
          <w:bCs/>
          <w:sz w:val="20"/>
          <w:szCs w:val="20"/>
          <w:lang w:eastAsia="en-US"/>
        </w:rPr>
        <w:t>La cantidad de servicios y tecnologías requeridos.</w:t>
      </w:r>
    </w:p>
    <w:p w14:paraId="7614ACD1" w14:textId="77777777" w:rsidR="007A51CA" w:rsidRPr="00490D3B" w:rsidRDefault="007A51CA" w:rsidP="00EE5C75">
      <w:pPr>
        <w:pStyle w:val="Normal0"/>
        <w:numPr>
          <w:ilvl w:val="0"/>
          <w:numId w:val="33"/>
        </w:numPr>
        <w:rPr>
          <w:rFonts w:eastAsia="Calibri"/>
          <w:bCs/>
          <w:sz w:val="20"/>
          <w:szCs w:val="20"/>
          <w:lang w:eastAsia="en-US"/>
        </w:rPr>
      </w:pPr>
      <w:r w:rsidRPr="00490D3B">
        <w:rPr>
          <w:rFonts w:eastAsia="Calibri"/>
          <w:bCs/>
          <w:sz w:val="20"/>
          <w:szCs w:val="20"/>
          <w:lang w:eastAsia="en-US"/>
        </w:rPr>
        <w:t>La red de prestadores disponible.</w:t>
      </w:r>
    </w:p>
    <w:p w14:paraId="1236B734" w14:textId="77777777" w:rsidR="007A51CA" w:rsidRPr="00490D3B" w:rsidRDefault="007A51CA" w:rsidP="00EE5C75">
      <w:pPr>
        <w:pStyle w:val="Normal0"/>
        <w:numPr>
          <w:ilvl w:val="0"/>
          <w:numId w:val="33"/>
        </w:numPr>
        <w:rPr>
          <w:rFonts w:eastAsia="Calibri"/>
          <w:bCs/>
          <w:sz w:val="20"/>
          <w:szCs w:val="20"/>
          <w:lang w:eastAsia="en-US"/>
        </w:rPr>
      </w:pPr>
      <w:r w:rsidRPr="00490D3B">
        <w:rPr>
          <w:rFonts w:eastAsia="Calibri"/>
          <w:bCs/>
          <w:sz w:val="20"/>
          <w:szCs w:val="20"/>
          <w:lang w:eastAsia="en-US"/>
        </w:rPr>
        <w:t>La cobertura de los servicios.</w:t>
      </w:r>
    </w:p>
    <w:p w14:paraId="581F014F" w14:textId="77777777" w:rsidR="007A51CA" w:rsidRPr="00490D3B" w:rsidRDefault="007A51CA" w:rsidP="00EE5C75">
      <w:pPr>
        <w:pStyle w:val="Normal0"/>
        <w:numPr>
          <w:ilvl w:val="0"/>
          <w:numId w:val="33"/>
        </w:numPr>
        <w:rPr>
          <w:rFonts w:eastAsia="Calibri"/>
          <w:bCs/>
          <w:sz w:val="20"/>
          <w:szCs w:val="20"/>
          <w:lang w:eastAsia="en-US"/>
        </w:rPr>
      </w:pPr>
      <w:r w:rsidRPr="00490D3B">
        <w:rPr>
          <w:rFonts w:eastAsia="Calibri"/>
          <w:bCs/>
          <w:sz w:val="20"/>
          <w:szCs w:val="20"/>
          <w:lang w:eastAsia="en-US"/>
        </w:rPr>
        <w:t>El comportamiento de las condiciones de salud de la población.</w:t>
      </w:r>
    </w:p>
    <w:p w14:paraId="38820F1D" w14:textId="77777777" w:rsidR="007A51CA" w:rsidRPr="00490D3B" w:rsidRDefault="007A51CA" w:rsidP="007A51CA">
      <w:pPr>
        <w:pStyle w:val="Normal0"/>
        <w:rPr>
          <w:rFonts w:eastAsia="Calibri"/>
          <w:bCs/>
          <w:sz w:val="20"/>
          <w:szCs w:val="20"/>
          <w:lang w:eastAsia="en-US"/>
        </w:rPr>
      </w:pPr>
    </w:p>
    <w:p w14:paraId="708A9616" w14:textId="77777777" w:rsidR="007A51CA" w:rsidRPr="00490D3B" w:rsidRDefault="007A51CA" w:rsidP="007A51CA">
      <w:pPr>
        <w:pStyle w:val="Normal0"/>
        <w:rPr>
          <w:rFonts w:eastAsia="Calibri"/>
          <w:bCs/>
          <w:sz w:val="20"/>
          <w:szCs w:val="20"/>
          <w:lang w:eastAsia="en-US"/>
        </w:rPr>
      </w:pPr>
      <w:r w:rsidRPr="00490D3B">
        <w:rPr>
          <w:rFonts w:eastAsia="Calibri"/>
          <w:bCs/>
          <w:sz w:val="20"/>
          <w:szCs w:val="20"/>
          <w:lang w:eastAsia="en-US"/>
        </w:rPr>
        <w:t>El ajuste debe mantener la relación entre población, servicios, frecuencias, cantidades, tarifas y valores proyectados. De esta manera, cualquier modificación realizada en uno de estos elementos debe analizarse frente a los demás componentes para conservar la coherencia de la nota técnica.</w:t>
      </w:r>
    </w:p>
    <w:p w14:paraId="0FACBFEF" w14:textId="77777777" w:rsidR="007A51CA" w:rsidRPr="00490D3B" w:rsidRDefault="007A51CA" w:rsidP="007A51CA">
      <w:pPr>
        <w:pStyle w:val="Normal0"/>
        <w:rPr>
          <w:rFonts w:eastAsia="Calibri"/>
          <w:bCs/>
          <w:sz w:val="20"/>
          <w:szCs w:val="20"/>
          <w:lang w:eastAsia="en-US"/>
        </w:rPr>
      </w:pPr>
    </w:p>
    <w:p w14:paraId="3BDFC469" w14:textId="5CCC75BF" w:rsidR="007A51CA" w:rsidRPr="00490D3B" w:rsidRDefault="007A51CA" w:rsidP="007A51CA">
      <w:pPr>
        <w:pStyle w:val="Normal0"/>
        <w:rPr>
          <w:rFonts w:eastAsia="Calibri"/>
          <w:bCs/>
          <w:sz w:val="20"/>
          <w:szCs w:val="20"/>
          <w:lang w:eastAsia="en-US"/>
        </w:rPr>
      </w:pPr>
      <w:r w:rsidRPr="00490D3B">
        <w:rPr>
          <w:rFonts w:eastAsia="Calibri"/>
          <w:bCs/>
          <w:sz w:val="20"/>
          <w:szCs w:val="20"/>
          <w:lang w:eastAsia="en-US"/>
        </w:rPr>
        <w:t xml:space="preserve">Los cambios identificados durante el seguimiento deben quedar documentados, indicando la situación que los originó, el elemento modificado y el soporte utilizado. Esta trazabilidad facilita la revisión posterior y permite actualizar la nota técnica cuando las condiciones del acuerdo </w:t>
      </w:r>
      <w:r w:rsidR="00EE5C75" w:rsidRPr="00490D3B">
        <w:rPr>
          <w:rFonts w:eastAsia="Calibri"/>
          <w:bCs/>
          <w:sz w:val="20"/>
          <w:szCs w:val="20"/>
          <w:lang w:eastAsia="en-US"/>
        </w:rPr>
        <w:t>de voluntades así lo requieran.</w:t>
      </w:r>
    </w:p>
    <w:p w14:paraId="05CFDCF0" w14:textId="69E8488A" w:rsidR="007A51CA" w:rsidRPr="00490D3B" w:rsidRDefault="007A51CA" w:rsidP="007A51CA">
      <w:pPr>
        <w:pStyle w:val="Normal0"/>
        <w:rPr>
          <w:rFonts w:eastAsia="Calibri"/>
          <w:bCs/>
          <w:sz w:val="20"/>
          <w:szCs w:val="20"/>
          <w:lang w:eastAsia="en-US"/>
        </w:rPr>
      </w:pPr>
    </w:p>
    <w:p w14:paraId="2BD81A08" w14:textId="18051023" w:rsidR="00D743F1" w:rsidRPr="00490D3B" w:rsidRDefault="00D743F1" w:rsidP="00D743F1">
      <w:pPr>
        <w:pStyle w:val="Normal0"/>
        <w:numPr>
          <w:ilvl w:val="1"/>
          <w:numId w:val="30"/>
        </w:numPr>
        <w:rPr>
          <w:rFonts w:eastAsia="Calibri"/>
          <w:b/>
          <w:bCs/>
          <w:sz w:val="20"/>
          <w:szCs w:val="20"/>
          <w:lang w:eastAsia="en-US"/>
        </w:rPr>
      </w:pPr>
      <w:r w:rsidRPr="00490D3B">
        <w:rPr>
          <w:rFonts w:eastAsia="Calibri"/>
          <w:b/>
          <w:bCs/>
          <w:sz w:val="20"/>
          <w:szCs w:val="20"/>
          <w:lang w:eastAsia="en-US"/>
        </w:rPr>
        <w:t>Ajustes relacionados con el riesgo</w:t>
      </w:r>
    </w:p>
    <w:p w14:paraId="1548DBAB" w14:textId="271FF781" w:rsidR="00BD72BA" w:rsidRPr="00490D3B" w:rsidRDefault="00BD72BA" w:rsidP="00BD72BA">
      <w:pPr>
        <w:pStyle w:val="Normal0"/>
        <w:rPr>
          <w:rFonts w:eastAsia="Calibri"/>
          <w:bCs/>
          <w:sz w:val="20"/>
          <w:szCs w:val="20"/>
          <w:lang w:eastAsia="en-US"/>
        </w:rPr>
      </w:pPr>
    </w:p>
    <w:p w14:paraId="6465CFBB" w14:textId="77777777" w:rsidR="00BD72BA" w:rsidRPr="00490D3B" w:rsidRDefault="00BD72BA" w:rsidP="00BD72BA">
      <w:pPr>
        <w:pStyle w:val="Normal0"/>
        <w:rPr>
          <w:rFonts w:eastAsia="Calibri"/>
          <w:bCs/>
          <w:sz w:val="20"/>
          <w:szCs w:val="20"/>
          <w:lang w:eastAsia="en-US"/>
        </w:rPr>
      </w:pPr>
      <w:r w:rsidRPr="00490D3B">
        <w:rPr>
          <w:rFonts w:eastAsia="Calibri"/>
          <w:bCs/>
          <w:sz w:val="20"/>
          <w:szCs w:val="20"/>
          <w:lang w:eastAsia="en-US"/>
        </w:rPr>
        <w:t>Los ajustes relacionados con el riesgo se realizan cuando el seguimiento de la ejecución permite identificar variaciones que pueden afectar las condiciones inicialmente consideradas en la nota técnica. Estos ajustes buscan mantener correspondencia entre el comportamiento observado de la población, la utilización de los servicios y tecnologías y las proyecciones establecidas.</w:t>
      </w:r>
    </w:p>
    <w:p w14:paraId="30DF1818" w14:textId="77777777" w:rsidR="00BD72BA" w:rsidRPr="00490D3B" w:rsidRDefault="00BD72BA" w:rsidP="00BD72BA">
      <w:pPr>
        <w:pStyle w:val="Normal0"/>
        <w:rPr>
          <w:rFonts w:eastAsia="Calibri"/>
          <w:bCs/>
          <w:sz w:val="20"/>
          <w:szCs w:val="20"/>
          <w:lang w:eastAsia="en-US"/>
        </w:rPr>
      </w:pPr>
    </w:p>
    <w:p w14:paraId="79AC1E6B" w14:textId="77777777" w:rsidR="00BD72BA" w:rsidRPr="00490D3B" w:rsidRDefault="00BD72BA" w:rsidP="00BD72BA">
      <w:pPr>
        <w:pStyle w:val="Normal0"/>
        <w:rPr>
          <w:rFonts w:eastAsia="Calibri"/>
          <w:bCs/>
          <w:sz w:val="20"/>
          <w:szCs w:val="20"/>
          <w:lang w:eastAsia="en-US"/>
        </w:rPr>
      </w:pPr>
      <w:r w:rsidRPr="00490D3B">
        <w:rPr>
          <w:rFonts w:eastAsia="Calibri"/>
          <w:bCs/>
          <w:sz w:val="20"/>
          <w:szCs w:val="20"/>
          <w:lang w:eastAsia="en-US"/>
        </w:rPr>
        <w:t>El análisis puede considerar cambios relacionados con:</w:t>
      </w:r>
    </w:p>
    <w:p w14:paraId="5B17D692" w14:textId="77777777" w:rsidR="00BD72BA" w:rsidRPr="00490D3B" w:rsidRDefault="00BD72BA" w:rsidP="00BD72BA">
      <w:pPr>
        <w:pStyle w:val="Normal0"/>
        <w:rPr>
          <w:rFonts w:eastAsia="Calibri"/>
          <w:bCs/>
          <w:sz w:val="20"/>
          <w:szCs w:val="20"/>
          <w:lang w:eastAsia="en-US"/>
        </w:rPr>
      </w:pPr>
    </w:p>
    <w:p w14:paraId="6927C51C" w14:textId="1AEE20E8" w:rsidR="00BD72BA" w:rsidRPr="00490D3B" w:rsidRDefault="00BD72BA" w:rsidP="00BD72BA">
      <w:pPr>
        <w:pStyle w:val="Normal0"/>
        <w:rPr>
          <w:rFonts w:eastAsia="Calibri"/>
          <w:bCs/>
          <w:sz w:val="20"/>
          <w:szCs w:val="20"/>
          <w:lang w:eastAsia="en-US"/>
        </w:rPr>
      </w:pPr>
      <w:r w:rsidRPr="00490D3B">
        <w:rPr>
          <w:rFonts w:eastAsia="Calibri"/>
          <w:bCs/>
          <w:noProof/>
          <w:sz w:val="20"/>
          <w:szCs w:val="20"/>
          <w:lang w:val="en-US" w:eastAsia="en-US"/>
        </w:rPr>
        <w:drawing>
          <wp:inline distT="0" distB="0" distL="0" distR="0" wp14:anchorId="5FF34941" wp14:editId="13A604D3">
            <wp:extent cx="6245225" cy="3935896"/>
            <wp:effectExtent l="0" t="0" r="0" b="0"/>
            <wp:docPr id="9" name="Diagrama 9"/>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49" r:lo="rId50" r:qs="rId51" r:cs="rId52"/>
              </a:graphicData>
            </a:graphic>
          </wp:inline>
        </w:drawing>
      </w:r>
    </w:p>
    <w:p w14:paraId="3C7136A1" w14:textId="77777777" w:rsidR="00BD72BA" w:rsidRPr="00490D3B" w:rsidRDefault="00BD72BA" w:rsidP="00BD72BA">
      <w:pPr>
        <w:pStyle w:val="Normal0"/>
        <w:rPr>
          <w:rFonts w:eastAsia="Calibri"/>
          <w:bCs/>
          <w:sz w:val="20"/>
          <w:szCs w:val="20"/>
          <w:lang w:eastAsia="en-US"/>
        </w:rPr>
      </w:pPr>
    </w:p>
    <w:p w14:paraId="35C19F7C" w14:textId="77777777" w:rsidR="00BD72BA" w:rsidRPr="00490D3B" w:rsidRDefault="00BD72BA" w:rsidP="00BD72BA">
      <w:pPr>
        <w:pStyle w:val="Normal0"/>
        <w:rPr>
          <w:rFonts w:eastAsia="Calibri"/>
          <w:bCs/>
          <w:sz w:val="20"/>
          <w:szCs w:val="20"/>
          <w:lang w:eastAsia="en-US"/>
        </w:rPr>
      </w:pPr>
      <w:r w:rsidRPr="00490D3B">
        <w:rPr>
          <w:rFonts w:eastAsia="Calibri"/>
          <w:bCs/>
          <w:sz w:val="20"/>
          <w:szCs w:val="20"/>
          <w:lang w:eastAsia="en-US"/>
        </w:rPr>
        <w:t>A partir de estas variaciones, se puede revisar la estimación del riesgo primario y del riesgo técnico, así como los elementos de la nota técnica relacionados con las frecuencias, cantidades, costos y valores proyectados. Los ajustes deben sustentarse en información verificable y conservar la trazabilidad de las modificaciones realizadas.</w:t>
      </w:r>
    </w:p>
    <w:p w14:paraId="6010297E" w14:textId="77777777" w:rsidR="00BD72BA" w:rsidRPr="00490D3B" w:rsidRDefault="00BD72BA" w:rsidP="00BD72BA">
      <w:pPr>
        <w:pStyle w:val="Normal0"/>
        <w:rPr>
          <w:rFonts w:eastAsia="Calibri"/>
          <w:bCs/>
          <w:sz w:val="20"/>
          <w:szCs w:val="20"/>
          <w:lang w:eastAsia="en-US"/>
        </w:rPr>
      </w:pPr>
    </w:p>
    <w:p w14:paraId="1066D52D" w14:textId="6714B19E" w:rsidR="00BD72BA" w:rsidRPr="00490D3B" w:rsidRDefault="00BD72BA" w:rsidP="00BD72BA">
      <w:pPr>
        <w:pStyle w:val="Normal0"/>
        <w:rPr>
          <w:rFonts w:eastAsia="Calibri"/>
          <w:bCs/>
          <w:sz w:val="20"/>
          <w:szCs w:val="20"/>
          <w:lang w:eastAsia="en-US"/>
        </w:rPr>
      </w:pPr>
      <w:r w:rsidRPr="00490D3B">
        <w:rPr>
          <w:rFonts w:eastAsia="Calibri"/>
          <w:bCs/>
          <w:sz w:val="20"/>
          <w:szCs w:val="20"/>
          <w:lang w:eastAsia="en-US"/>
        </w:rPr>
        <w:t>El seguimiento de estos elementos permite determinar si las condiciones inicialmente consideradas continúan siendo pertinentes o si requieren actualización. De esta manera, la gestión del riesgo se articula con el seguimiento de la nota técnica y con las acciones de mejora que puedan derivarse de los resultados obtenidos.</w:t>
      </w:r>
    </w:p>
    <w:p w14:paraId="0B1A992A" w14:textId="77777777" w:rsidR="00BD72BA" w:rsidRPr="00490D3B" w:rsidRDefault="00BD72BA" w:rsidP="00BD72BA">
      <w:pPr>
        <w:pStyle w:val="Normal0"/>
        <w:rPr>
          <w:rFonts w:eastAsia="Calibri"/>
          <w:bCs/>
          <w:sz w:val="20"/>
          <w:szCs w:val="20"/>
          <w:lang w:eastAsia="en-US"/>
        </w:rPr>
      </w:pPr>
    </w:p>
    <w:p w14:paraId="1C6B730F" w14:textId="267BCDB3" w:rsidR="00D743F1" w:rsidRPr="00490D3B" w:rsidRDefault="00D743F1" w:rsidP="00D743F1">
      <w:pPr>
        <w:pStyle w:val="Normal0"/>
        <w:numPr>
          <w:ilvl w:val="1"/>
          <w:numId w:val="30"/>
        </w:numPr>
        <w:rPr>
          <w:rFonts w:eastAsia="Calibri"/>
          <w:b/>
          <w:bCs/>
          <w:sz w:val="20"/>
          <w:szCs w:val="20"/>
          <w:lang w:eastAsia="en-US"/>
        </w:rPr>
      </w:pPr>
      <w:r w:rsidRPr="00490D3B">
        <w:rPr>
          <w:rFonts w:eastAsia="Calibri"/>
          <w:b/>
          <w:bCs/>
          <w:sz w:val="20"/>
          <w:szCs w:val="20"/>
          <w:lang w:eastAsia="en-US"/>
        </w:rPr>
        <w:t>Seguimiento e indicadores de ejecución</w:t>
      </w:r>
    </w:p>
    <w:p w14:paraId="768F20B1" w14:textId="6BE6303E" w:rsidR="00AF609D" w:rsidRPr="00490D3B" w:rsidRDefault="00AF609D" w:rsidP="00AF609D">
      <w:pPr>
        <w:pStyle w:val="Normal0"/>
        <w:rPr>
          <w:rFonts w:eastAsia="Calibri"/>
          <w:bCs/>
          <w:sz w:val="20"/>
          <w:szCs w:val="20"/>
          <w:lang w:eastAsia="en-US"/>
        </w:rPr>
      </w:pPr>
    </w:p>
    <w:p w14:paraId="2B29D648" w14:textId="77777777" w:rsidR="00AF609D" w:rsidRPr="00490D3B" w:rsidRDefault="00AF609D" w:rsidP="00AF609D">
      <w:pPr>
        <w:pStyle w:val="Normal0"/>
        <w:rPr>
          <w:rFonts w:eastAsia="Calibri"/>
          <w:bCs/>
          <w:sz w:val="20"/>
          <w:szCs w:val="20"/>
          <w:lang w:eastAsia="en-US"/>
        </w:rPr>
      </w:pPr>
      <w:r w:rsidRPr="00490D3B">
        <w:rPr>
          <w:rFonts w:eastAsia="Calibri"/>
          <w:bCs/>
          <w:sz w:val="20"/>
          <w:szCs w:val="20"/>
          <w:lang w:eastAsia="en-US"/>
        </w:rPr>
        <w:t>El seguimiento de la nota técnica permite analizar el comportamiento de los servicios y tecnologías durante la ejecución del acuerdo de voluntades y compararlo con las proyecciones establecidas. Este proceso facilita la identificación oportuna de variaciones en la población, las frecuencias de uso, las cantidades de servicios, los costos y los valores económicos.</w:t>
      </w:r>
    </w:p>
    <w:p w14:paraId="7F0E5BEC" w14:textId="77777777" w:rsidR="00AF609D" w:rsidRPr="00490D3B" w:rsidRDefault="00AF609D" w:rsidP="00AF609D">
      <w:pPr>
        <w:pStyle w:val="Normal0"/>
        <w:rPr>
          <w:rFonts w:eastAsia="Calibri"/>
          <w:bCs/>
          <w:sz w:val="20"/>
          <w:szCs w:val="20"/>
          <w:lang w:eastAsia="en-US"/>
        </w:rPr>
      </w:pPr>
    </w:p>
    <w:p w14:paraId="64E96FC8" w14:textId="77777777" w:rsidR="00AF609D" w:rsidRPr="00490D3B" w:rsidRDefault="00AF609D" w:rsidP="00AF609D">
      <w:pPr>
        <w:pStyle w:val="Normal0"/>
        <w:rPr>
          <w:rFonts w:eastAsia="Calibri"/>
          <w:bCs/>
          <w:sz w:val="20"/>
          <w:szCs w:val="20"/>
          <w:lang w:eastAsia="en-US"/>
        </w:rPr>
      </w:pPr>
      <w:r w:rsidRPr="00490D3B">
        <w:rPr>
          <w:rFonts w:eastAsia="Calibri"/>
          <w:bCs/>
          <w:sz w:val="20"/>
          <w:szCs w:val="20"/>
          <w:lang w:eastAsia="en-US"/>
        </w:rPr>
        <w:t>Para realizar el seguimiento se pueden establecer indicadores de ejecución que permitan medir el comportamiento de las principales variables de la nota técnica. Estos indicadores deben relacionarse con los objetivos del seguimiento y utilizar información periódica y verificable.</w:t>
      </w:r>
    </w:p>
    <w:p w14:paraId="6A724005" w14:textId="77777777" w:rsidR="00AF609D" w:rsidRPr="00490D3B" w:rsidRDefault="00AF609D" w:rsidP="00AF609D">
      <w:pPr>
        <w:pStyle w:val="Normal0"/>
        <w:rPr>
          <w:rFonts w:eastAsia="Calibri"/>
          <w:bCs/>
          <w:sz w:val="20"/>
          <w:szCs w:val="20"/>
          <w:lang w:eastAsia="en-US"/>
        </w:rPr>
      </w:pPr>
    </w:p>
    <w:p w14:paraId="78D5A3CB" w14:textId="27B2EFC8" w:rsidR="00AF609D" w:rsidRPr="00490D3B" w:rsidRDefault="00AF609D" w:rsidP="00AF609D">
      <w:pPr>
        <w:pStyle w:val="Normal0"/>
        <w:rPr>
          <w:rFonts w:eastAsia="Calibri"/>
          <w:bCs/>
          <w:sz w:val="20"/>
          <w:szCs w:val="20"/>
          <w:lang w:eastAsia="en-US"/>
        </w:rPr>
      </w:pPr>
      <w:r w:rsidRPr="00490D3B">
        <w:rPr>
          <w:rFonts w:eastAsia="Calibri"/>
          <w:bCs/>
          <w:sz w:val="20"/>
          <w:szCs w:val="20"/>
          <w:lang w:eastAsia="en-US"/>
        </w:rPr>
        <w:t>Algunos indicadores que pueden utilizarse son:</w:t>
      </w:r>
    </w:p>
    <w:p w14:paraId="16A59E4E" w14:textId="6AB6D739" w:rsidR="00BC5594" w:rsidRPr="00490D3B" w:rsidRDefault="00BC5594" w:rsidP="00AF609D">
      <w:pPr>
        <w:pStyle w:val="Normal0"/>
        <w:rPr>
          <w:rFonts w:eastAsia="Calibri"/>
          <w:bCs/>
          <w:sz w:val="20"/>
          <w:szCs w:val="20"/>
          <w:lang w:eastAsia="en-US"/>
        </w:rPr>
      </w:pPr>
    </w:p>
    <w:p w14:paraId="02E716DD" w14:textId="31D00A35" w:rsidR="00AF609D" w:rsidRPr="00490D3B" w:rsidRDefault="00BC5594" w:rsidP="00AF609D">
      <w:pPr>
        <w:pStyle w:val="Normal0"/>
        <w:rPr>
          <w:rFonts w:eastAsia="Calibri"/>
          <w:bCs/>
          <w:sz w:val="20"/>
          <w:szCs w:val="20"/>
          <w:lang w:eastAsia="en-US"/>
        </w:rPr>
      </w:pPr>
      <w:r w:rsidRPr="00490D3B">
        <w:rPr>
          <w:rFonts w:eastAsia="Calibri"/>
          <w:b/>
          <w:bCs/>
          <w:sz w:val="20"/>
          <w:szCs w:val="20"/>
          <w:lang w:eastAsia="en-US"/>
        </w:rPr>
        <w:t>Tabla 6.</w:t>
      </w:r>
      <w:r w:rsidRPr="00490D3B">
        <w:rPr>
          <w:rFonts w:eastAsia="Calibri"/>
          <w:bCs/>
          <w:sz w:val="20"/>
          <w:szCs w:val="20"/>
          <w:lang w:eastAsia="en-US"/>
        </w:rPr>
        <w:t xml:space="preserve"> Indicadores para el seguimiento de la ejecución de la nota técnica</w:t>
      </w:r>
    </w:p>
    <w:tbl>
      <w:tblPr>
        <w:tblStyle w:val="Tablaconcuadrcula"/>
        <w:tblW w:w="0" w:type="auto"/>
        <w:tblInd w:w="0" w:type="dxa"/>
        <w:tblLook w:val="04A0" w:firstRow="1" w:lastRow="0" w:firstColumn="1" w:lastColumn="0" w:noHBand="0" w:noVBand="1"/>
      </w:tblPr>
      <w:tblGrid>
        <w:gridCol w:w="2317"/>
        <w:gridCol w:w="5398"/>
        <w:gridCol w:w="2247"/>
      </w:tblGrid>
      <w:tr w:rsidR="00AF609D" w:rsidRPr="00490D3B" w14:paraId="3D29131E" w14:textId="77777777" w:rsidTr="00AF609D">
        <w:tc>
          <w:tcPr>
            <w:tcW w:w="3320" w:type="dxa"/>
          </w:tcPr>
          <w:p w14:paraId="61A123BB" w14:textId="4F889E9D" w:rsidR="00AF609D" w:rsidRPr="00490D3B" w:rsidRDefault="00AF609D" w:rsidP="00AF609D">
            <w:pPr>
              <w:pStyle w:val="Normal0"/>
              <w:rPr>
                <w:rFonts w:eastAsia="Calibri"/>
                <w:b/>
                <w:bCs/>
                <w:sz w:val="20"/>
                <w:szCs w:val="20"/>
                <w:lang w:eastAsia="en-US"/>
              </w:rPr>
            </w:pPr>
            <w:r w:rsidRPr="00490D3B">
              <w:rPr>
                <w:b/>
                <w:sz w:val="20"/>
                <w:szCs w:val="20"/>
              </w:rPr>
              <w:t>Indicador</w:t>
            </w:r>
          </w:p>
        </w:tc>
        <w:tc>
          <w:tcPr>
            <w:tcW w:w="3321" w:type="dxa"/>
          </w:tcPr>
          <w:p w14:paraId="7DE4A827" w14:textId="4739D1AA" w:rsidR="00AF609D" w:rsidRPr="00490D3B" w:rsidRDefault="00AF609D" w:rsidP="00BC5594">
            <w:pPr>
              <w:pStyle w:val="Normal0"/>
              <w:jc w:val="center"/>
              <w:rPr>
                <w:rFonts w:eastAsia="Calibri"/>
                <w:b/>
                <w:bCs/>
                <w:sz w:val="20"/>
                <w:szCs w:val="20"/>
                <w:lang w:eastAsia="en-US"/>
              </w:rPr>
            </w:pPr>
            <w:r w:rsidRPr="00490D3B">
              <w:rPr>
                <w:b/>
                <w:sz w:val="20"/>
                <w:szCs w:val="20"/>
              </w:rPr>
              <w:t>Fórmula</w:t>
            </w:r>
          </w:p>
        </w:tc>
        <w:tc>
          <w:tcPr>
            <w:tcW w:w="3321" w:type="dxa"/>
          </w:tcPr>
          <w:p w14:paraId="4813DD99" w14:textId="102D3E6D" w:rsidR="00AF609D" w:rsidRPr="00490D3B" w:rsidRDefault="00AF609D" w:rsidP="00AF609D">
            <w:pPr>
              <w:pStyle w:val="Normal0"/>
              <w:rPr>
                <w:rFonts w:eastAsia="Calibri"/>
                <w:b/>
                <w:bCs/>
                <w:sz w:val="20"/>
                <w:szCs w:val="20"/>
                <w:lang w:eastAsia="en-US"/>
              </w:rPr>
            </w:pPr>
            <w:r w:rsidRPr="00490D3B">
              <w:rPr>
                <w:b/>
                <w:sz w:val="20"/>
                <w:szCs w:val="20"/>
              </w:rPr>
              <w:t>Finalidad</w:t>
            </w:r>
          </w:p>
        </w:tc>
      </w:tr>
      <w:tr w:rsidR="00AF609D" w:rsidRPr="00490D3B" w14:paraId="66975406" w14:textId="77777777" w:rsidTr="00AF609D">
        <w:tc>
          <w:tcPr>
            <w:tcW w:w="3320" w:type="dxa"/>
          </w:tcPr>
          <w:p w14:paraId="6BCF4C40" w14:textId="32C0A301" w:rsidR="00AF609D" w:rsidRPr="00490D3B" w:rsidRDefault="00AF609D" w:rsidP="00AF609D">
            <w:pPr>
              <w:pStyle w:val="Normal0"/>
              <w:rPr>
                <w:rFonts w:eastAsia="Calibri"/>
                <w:bCs/>
                <w:sz w:val="20"/>
                <w:szCs w:val="20"/>
                <w:lang w:eastAsia="en-US"/>
              </w:rPr>
            </w:pPr>
            <w:r w:rsidRPr="00490D3B">
              <w:rPr>
                <w:sz w:val="20"/>
                <w:szCs w:val="20"/>
              </w:rPr>
              <w:t>Cumplimiento de servicios proyectados</w:t>
            </w:r>
          </w:p>
        </w:tc>
        <w:tc>
          <w:tcPr>
            <w:tcW w:w="3321" w:type="dxa"/>
          </w:tcPr>
          <w:p w14:paraId="0AAD11BD" w14:textId="6AECEC83" w:rsidR="00AF609D" w:rsidRPr="00490D3B" w:rsidRDefault="000B3F8C" w:rsidP="00BC5594">
            <w:pPr>
              <w:pStyle w:val="Normal0"/>
              <w:jc w:val="center"/>
              <w:rPr>
                <w:rFonts w:eastAsia="Calibri"/>
                <w:b/>
                <w:bCs/>
                <w:sz w:val="20"/>
                <w:szCs w:val="20"/>
                <w:lang w:eastAsia="en-US"/>
              </w:rPr>
            </w:pPr>
            <m:oMathPara>
              <m:oMathParaPr>
                <m:jc m:val="center"/>
              </m:oMathParaPr>
              <m:oMath>
                <m:f>
                  <m:fPr>
                    <m:ctrlPr>
                      <w:rPr>
                        <w:rFonts w:ascii="Cambria Math" w:eastAsia="Calibri" w:hAnsi="Cambria Math"/>
                        <w:b/>
                        <w:bCs/>
                        <w:sz w:val="20"/>
                        <w:szCs w:val="20"/>
                        <w:lang w:eastAsia="en-US"/>
                      </w:rPr>
                    </m:ctrlPr>
                  </m:fPr>
                  <m:num>
                    <m:r>
                      <m:rPr>
                        <m:sty m:val="b"/>
                      </m:rPr>
                      <w:rPr>
                        <w:rFonts w:ascii="Cambria Math" w:hAnsi="Cambria Math"/>
                        <w:sz w:val="20"/>
                        <w:szCs w:val="20"/>
                      </w:rPr>
                      <m:t>Servicios ejecutados</m:t>
                    </m:r>
                    <m:r>
                      <m:rPr>
                        <m:sty m:val="b"/>
                      </m:rPr>
                      <w:rPr>
                        <w:rFonts w:ascii="Cambria Math" w:eastAsia="Calibri" w:hAnsi="Cambria Math"/>
                        <w:sz w:val="20"/>
                        <w:szCs w:val="20"/>
                        <w:lang w:eastAsia="en-US"/>
                      </w:rPr>
                      <m:t xml:space="preserve"> </m:t>
                    </m:r>
                  </m:num>
                  <m:den>
                    <m:r>
                      <m:rPr>
                        <m:sty m:val="b"/>
                      </m:rPr>
                      <w:rPr>
                        <w:rFonts w:ascii="Cambria Math" w:hAnsi="Cambria Math"/>
                        <w:sz w:val="20"/>
                        <w:szCs w:val="20"/>
                      </w:rPr>
                      <m:t>Servicios proyectados</m:t>
                    </m:r>
                  </m:den>
                </m:f>
                <m:r>
                  <m:rPr>
                    <m:sty m:val="b"/>
                  </m:rPr>
                  <w:rPr>
                    <w:rFonts w:ascii="Cambria Math" w:eastAsia="Calibri" w:hAnsi="Cambria Math"/>
                    <w:sz w:val="20"/>
                    <w:szCs w:val="20"/>
                    <w:lang w:eastAsia="en-US"/>
                  </w:rPr>
                  <m:t xml:space="preserve"> x 100</m:t>
                </m:r>
              </m:oMath>
            </m:oMathPara>
          </w:p>
        </w:tc>
        <w:tc>
          <w:tcPr>
            <w:tcW w:w="3321" w:type="dxa"/>
          </w:tcPr>
          <w:p w14:paraId="2C8E3516" w14:textId="0BFCF0B6" w:rsidR="00AF609D" w:rsidRPr="00490D3B" w:rsidRDefault="00AF609D" w:rsidP="00AF609D">
            <w:pPr>
              <w:pStyle w:val="Normal0"/>
              <w:rPr>
                <w:rFonts w:eastAsia="Calibri"/>
                <w:bCs/>
                <w:sz w:val="20"/>
                <w:szCs w:val="20"/>
                <w:lang w:eastAsia="en-US"/>
              </w:rPr>
            </w:pPr>
            <w:r w:rsidRPr="00490D3B">
              <w:rPr>
                <w:sz w:val="20"/>
                <w:szCs w:val="20"/>
              </w:rPr>
              <w:t>Determinar el porcentaje de servicios ejecutados frente a lo proyectado.</w:t>
            </w:r>
          </w:p>
        </w:tc>
      </w:tr>
      <w:tr w:rsidR="00AF609D" w:rsidRPr="00490D3B" w14:paraId="09BBCC0E" w14:textId="77777777" w:rsidTr="00AF609D">
        <w:tc>
          <w:tcPr>
            <w:tcW w:w="3320" w:type="dxa"/>
          </w:tcPr>
          <w:p w14:paraId="567F4B83" w14:textId="01AB34E9" w:rsidR="00AF609D" w:rsidRPr="00490D3B" w:rsidRDefault="00AF609D" w:rsidP="00AF609D">
            <w:pPr>
              <w:pStyle w:val="Normal0"/>
              <w:rPr>
                <w:rFonts w:eastAsia="Calibri"/>
                <w:bCs/>
                <w:sz w:val="20"/>
                <w:szCs w:val="20"/>
                <w:lang w:eastAsia="en-US"/>
              </w:rPr>
            </w:pPr>
            <w:r w:rsidRPr="00490D3B">
              <w:rPr>
                <w:sz w:val="20"/>
                <w:szCs w:val="20"/>
              </w:rPr>
              <w:t>Variación de frecuencia de uso</w:t>
            </w:r>
          </w:p>
        </w:tc>
        <w:tc>
          <w:tcPr>
            <w:tcW w:w="3321" w:type="dxa"/>
          </w:tcPr>
          <w:p w14:paraId="6C80B88E" w14:textId="2B677DE3" w:rsidR="00AF609D" w:rsidRPr="00490D3B" w:rsidRDefault="000B3F8C" w:rsidP="00BC5594">
            <w:pPr>
              <w:pStyle w:val="Normal0"/>
              <w:jc w:val="center"/>
              <w:rPr>
                <w:rFonts w:eastAsia="Calibri"/>
                <w:b/>
                <w:bCs/>
                <w:sz w:val="20"/>
                <w:szCs w:val="20"/>
                <w:lang w:eastAsia="en-US"/>
              </w:rPr>
            </w:pPr>
            <m:oMathPara>
              <m:oMathParaPr>
                <m:jc m:val="center"/>
              </m:oMathParaPr>
              <m:oMath>
                <m:f>
                  <m:fPr>
                    <m:ctrlPr>
                      <w:rPr>
                        <w:rFonts w:ascii="Cambria Math" w:eastAsia="Calibri" w:hAnsi="Cambria Math"/>
                        <w:b/>
                        <w:bCs/>
                        <w:sz w:val="20"/>
                        <w:szCs w:val="20"/>
                        <w:lang w:eastAsia="en-US"/>
                      </w:rPr>
                    </m:ctrlPr>
                  </m:fPr>
                  <m:num>
                    <m:r>
                      <m:rPr>
                        <m:sty m:val="b"/>
                      </m:rPr>
                      <w:rPr>
                        <w:rFonts w:ascii="Cambria Math" w:hAnsi="Cambria Math"/>
                        <w:sz w:val="20"/>
                        <w:szCs w:val="20"/>
                      </w:rPr>
                      <m:t>Frecuencia observada</m:t>
                    </m:r>
                    <m:r>
                      <m:rPr>
                        <m:sty m:val="b"/>
                      </m:rPr>
                      <w:rPr>
                        <w:rFonts w:ascii="Cambria Math" w:eastAsia="Calibri" w:hAnsi="Cambria Math"/>
                        <w:sz w:val="20"/>
                        <w:szCs w:val="20"/>
                        <w:lang w:eastAsia="en-US"/>
                      </w:rPr>
                      <m:t xml:space="preserve"> - </m:t>
                    </m:r>
                    <m:r>
                      <m:rPr>
                        <m:sty m:val="b"/>
                      </m:rPr>
                      <w:rPr>
                        <w:rFonts w:ascii="Cambria Math" w:hAnsi="Cambria Math"/>
                        <w:sz w:val="20"/>
                        <w:szCs w:val="20"/>
                      </w:rPr>
                      <m:t>Frecuencia proyectada</m:t>
                    </m:r>
                    <m:r>
                      <m:rPr>
                        <m:sty m:val="b"/>
                      </m:rPr>
                      <w:rPr>
                        <w:rFonts w:ascii="Cambria Math" w:eastAsia="Calibri" w:hAnsi="Cambria Math"/>
                        <w:sz w:val="20"/>
                        <w:szCs w:val="20"/>
                        <w:lang w:eastAsia="en-US"/>
                      </w:rPr>
                      <m:t xml:space="preserve"> </m:t>
                    </m:r>
                  </m:num>
                  <m:den>
                    <m:r>
                      <m:rPr>
                        <m:sty m:val="b"/>
                      </m:rPr>
                      <w:rPr>
                        <w:rFonts w:ascii="Cambria Math" w:hAnsi="Cambria Math"/>
                        <w:sz w:val="20"/>
                        <w:szCs w:val="20"/>
                      </w:rPr>
                      <m:t>Frecuencia proyectada</m:t>
                    </m:r>
                  </m:den>
                </m:f>
                <m:r>
                  <m:rPr>
                    <m:sty m:val="b"/>
                  </m:rPr>
                  <w:rPr>
                    <w:rFonts w:ascii="Cambria Math" w:eastAsia="Calibri" w:hAnsi="Cambria Math"/>
                    <w:sz w:val="20"/>
                    <w:szCs w:val="20"/>
                    <w:lang w:eastAsia="en-US"/>
                  </w:rPr>
                  <m:t xml:space="preserve"> x 100</m:t>
                </m:r>
              </m:oMath>
            </m:oMathPara>
          </w:p>
        </w:tc>
        <w:tc>
          <w:tcPr>
            <w:tcW w:w="3321" w:type="dxa"/>
          </w:tcPr>
          <w:p w14:paraId="213502DE" w14:textId="0EDDE2B7" w:rsidR="00AF609D" w:rsidRPr="00490D3B" w:rsidRDefault="00AF609D" w:rsidP="00AF609D">
            <w:pPr>
              <w:pStyle w:val="Normal0"/>
              <w:rPr>
                <w:rFonts w:eastAsia="Calibri"/>
                <w:bCs/>
                <w:sz w:val="20"/>
                <w:szCs w:val="20"/>
                <w:lang w:eastAsia="en-US"/>
              </w:rPr>
            </w:pPr>
            <w:r w:rsidRPr="00490D3B">
              <w:rPr>
                <w:sz w:val="20"/>
                <w:szCs w:val="20"/>
              </w:rPr>
              <w:t>Identificar cambios en la utilización de los servicios.</w:t>
            </w:r>
          </w:p>
        </w:tc>
      </w:tr>
      <w:tr w:rsidR="00AF609D" w:rsidRPr="00490D3B" w14:paraId="609EB07E" w14:textId="77777777" w:rsidTr="00AF609D">
        <w:tc>
          <w:tcPr>
            <w:tcW w:w="3320" w:type="dxa"/>
          </w:tcPr>
          <w:p w14:paraId="048FDA8E" w14:textId="714F3130" w:rsidR="00AF609D" w:rsidRPr="00490D3B" w:rsidRDefault="00AF609D" w:rsidP="00AF609D">
            <w:pPr>
              <w:pStyle w:val="Normal0"/>
              <w:rPr>
                <w:rFonts w:eastAsia="Calibri"/>
                <w:bCs/>
                <w:sz w:val="20"/>
                <w:szCs w:val="20"/>
                <w:lang w:eastAsia="en-US"/>
              </w:rPr>
            </w:pPr>
            <w:r w:rsidRPr="00490D3B">
              <w:rPr>
                <w:sz w:val="20"/>
                <w:szCs w:val="20"/>
              </w:rPr>
              <w:t>Ejecución del valor proyectado</w:t>
            </w:r>
          </w:p>
        </w:tc>
        <w:tc>
          <w:tcPr>
            <w:tcW w:w="3321" w:type="dxa"/>
          </w:tcPr>
          <w:p w14:paraId="1DC0262C" w14:textId="6DA17B9F" w:rsidR="00AF609D" w:rsidRPr="00490D3B" w:rsidRDefault="000B3F8C" w:rsidP="00BC5594">
            <w:pPr>
              <w:pStyle w:val="Normal0"/>
              <w:jc w:val="center"/>
              <w:rPr>
                <w:rFonts w:eastAsia="Calibri"/>
                <w:b/>
                <w:bCs/>
                <w:sz w:val="20"/>
                <w:szCs w:val="20"/>
                <w:lang w:eastAsia="en-US"/>
              </w:rPr>
            </w:pPr>
            <m:oMathPara>
              <m:oMathParaPr>
                <m:jc m:val="center"/>
              </m:oMathParaPr>
              <m:oMath>
                <m:f>
                  <m:fPr>
                    <m:ctrlPr>
                      <w:rPr>
                        <w:rFonts w:ascii="Cambria Math" w:eastAsia="Calibri" w:hAnsi="Cambria Math"/>
                        <w:b/>
                        <w:bCs/>
                        <w:sz w:val="20"/>
                        <w:szCs w:val="20"/>
                        <w:lang w:eastAsia="en-US"/>
                      </w:rPr>
                    </m:ctrlPr>
                  </m:fPr>
                  <m:num>
                    <m:r>
                      <m:rPr>
                        <m:sty m:val="b"/>
                      </m:rPr>
                      <w:rPr>
                        <w:rFonts w:ascii="Cambria Math" w:hAnsi="Cambria Math"/>
                        <w:sz w:val="20"/>
                        <w:szCs w:val="20"/>
                      </w:rPr>
                      <m:t>Valor ejecutado</m:t>
                    </m:r>
                    <m:r>
                      <m:rPr>
                        <m:sty m:val="b"/>
                      </m:rPr>
                      <w:rPr>
                        <w:rFonts w:ascii="Cambria Math" w:eastAsia="Calibri" w:hAnsi="Cambria Math"/>
                        <w:sz w:val="20"/>
                        <w:szCs w:val="20"/>
                        <w:lang w:eastAsia="en-US"/>
                      </w:rPr>
                      <m:t xml:space="preserve"> </m:t>
                    </m:r>
                  </m:num>
                  <m:den>
                    <m:r>
                      <m:rPr>
                        <m:sty m:val="b"/>
                      </m:rPr>
                      <w:rPr>
                        <w:rFonts w:ascii="Cambria Math" w:hAnsi="Cambria Math"/>
                        <w:sz w:val="20"/>
                        <w:szCs w:val="20"/>
                      </w:rPr>
                      <m:t>Valor proyectado</m:t>
                    </m:r>
                  </m:den>
                </m:f>
                <m:r>
                  <m:rPr>
                    <m:sty m:val="b"/>
                  </m:rPr>
                  <w:rPr>
                    <w:rFonts w:ascii="Cambria Math" w:eastAsia="Calibri" w:hAnsi="Cambria Math"/>
                    <w:sz w:val="20"/>
                    <w:szCs w:val="20"/>
                    <w:lang w:eastAsia="en-US"/>
                  </w:rPr>
                  <m:t xml:space="preserve"> x 100</m:t>
                </m:r>
              </m:oMath>
            </m:oMathPara>
          </w:p>
        </w:tc>
        <w:tc>
          <w:tcPr>
            <w:tcW w:w="3321" w:type="dxa"/>
          </w:tcPr>
          <w:p w14:paraId="6F851C61" w14:textId="6B6F8A1A" w:rsidR="00AF609D" w:rsidRPr="00490D3B" w:rsidRDefault="00AF609D" w:rsidP="00AF609D">
            <w:pPr>
              <w:pStyle w:val="Normal0"/>
              <w:rPr>
                <w:rFonts w:eastAsia="Calibri"/>
                <w:bCs/>
                <w:sz w:val="20"/>
                <w:szCs w:val="20"/>
                <w:lang w:eastAsia="en-US"/>
              </w:rPr>
            </w:pPr>
            <w:r w:rsidRPr="00490D3B">
              <w:rPr>
                <w:sz w:val="20"/>
                <w:szCs w:val="20"/>
              </w:rPr>
              <w:t>Comparar el valor económico ejecutado con el valor estimado.</w:t>
            </w:r>
          </w:p>
        </w:tc>
      </w:tr>
      <w:tr w:rsidR="00AF609D" w:rsidRPr="00490D3B" w14:paraId="295BB0CD" w14:textId="77777777" w:rsidTr="00AF609D">
        <w:tc>
          <w:tcPr>
            <w:tcW w:w="3320" w:type="dxa"/>
          </w:tcPr>
          <w:p w14:paraId="42E5CA55" w14:textId="3111FD89" w:rsidR="00AF609D" w:rsidRPr="00490D3B" w:rsidRDefault="00AF609D" w:rsidP="00AF609D">
            <w:pPr>
              <w:pStyle w:val="Normal0"/>
              <w:rPr>
                <w:rFonts w:eastAsia="Calibri"/>
                <w:bCs/>
                <w:sz w:val="20"/>
                <w:szCs w:val="20"/>
                <w:lang w:eastAsia="en-US"/>
              </w:rPr>
            </w:pPr>
            <w:r w:rsidRPr="00490D3B">
              <w:rPr>
                <w:sz w:val="20"/>
                <w:szCs w:val="20"/>
              </w:rPr>
              <w:t>Variación de población</w:t>
            </w:r>
          </w:p>
        </w:tc>
        <w:tc>
          <w:tcPr>
            <w:tcW w:w="3321" w:type="dxa"/>
          </w:tcPr>
          <w:p w14:paraId="049002B0" w14:textId="6BAD3531" w:rsidR="00AF609D" w:rsidRPr="00490D3B" w:rsidRDefault="000B3F8C" w:rsidP="00BC5594">
            <w:pPr>
              <w:pStyle w:val="Normal0"/>
              <w:jc w:val="center"/>
              <w:rPr>
                <w:rFonts w:eastAsia="Calibri"/>
                <w:b/>
                <w:bCs/>
                <w:sz w:val="20"/>
                <w:szCs w:val="20"/>
                <w:lang w:eastAsia="en-US"/>
              </w:rPr>
            </w:pPr>
            <m:oMathPara>
              <m:oMathParaPr>
                <m:jc m:val="center"/>
              </m:oMathParaPr>
              <m:oMath>
                <m:f>
                  <m:fPr>
                    <m:ctrlPr>
                      <w:rPr>
                        <w:rFonts w:ascii="Cambria Math" w:eastAsia="Calibri" w:hAnsi="Cambria Math"/>
                        <w:b/>
                        <w:bCs/>
                        <w:sz w:val="20"/>
                        <w:szCs w:val="20"/>
                        <w:lang w:eastAsia="en-US"/>
                      </w:rPr>
                    </m:ctrlPr>
                  </m:fPr>
                  <m:num>
                    <m:r>
                      <m:rPr>
                        <m:sty m:val="b"/>
                      </m:rPr>
                      <w:rPr>
                        <w:rFonts w:ascii="Cambria Math" w:hAnsi="Cambria Math"/>
                        <w:sz w:val="20"/>
                        <w:szCs w:val="20"/>
                      </w:rPr>
                      <m:t>Población observada</m:t>
                    </m:r>
                    <m:r>
                      <m:rPr>
                        <m:sty m:val="b"/>
                      </m:rPr>
                      <w:rPr>
                        <w:rFonts w:ascii="Cambria Math" w:eastAsia="Calibri" w:hAnsi="Cambria Math"/>
                        <w:sz w:val="20"/>
                        <w:szCs w:val="20"/>
                        <w:lang w:eastAsia="en-US"/>
                      </w:rPr>
                      <m:t xml:space="preserve"> - </m:t>
                    </m:r>
                    <m:r>
                      <m:rPr>
                        <m:sty m:val="b"/>
                      </m:rPr>
                      <w:rPr>
                        <w:rFonts w:ascii="Cambria Math" w:hAnsi="Cambria Math"/>
                        <w:sz w:val="20"/>
                        <w:szCs w:val="20"/>
                      </w:rPr>
                      <m:t>Población proyectada</m:t>
                    </m:r>
                  </m:num>
                  <m:den>
                    <m:r>
                      <m:rPr>
                        <m:sty m:val="b"/>
                      </m:rPr>
                      <w:rPr>
                        <w:rFonts w:ascii="Cambria Math" w:hAnsi="Cambria Math"/>
                        <w:sz w:val="20"/>
                        <w:szCs w:val="20"/>
                      </w:rPr>
                      <m:t>Población proyectada</m:t>
                    </m:r>
                  </m:den>
                </m:f>
                <m:r>
                  <m:rPr>
                    <m:sty m:val="b"/>
                  </m:rPr>
                  <w:rPr>
                    <w:rFonts w:ascii="Cambria Math" w:eastAsia="Calibri" w:hAnsi="Cambria Math"/>
                    <w:sz w:val="20"/>
                    <w:szCs w:val="20"/>
                    <w:lang w:eastAsia="en-US"/>
                  </w:rPr>
                  <m:t xml:space="preserve"> x 100</m:t>
                </m:r>
              </m:oMath>
            </m:oMathPara>
          </w:p>
        </w:tc>
        <w:tc>
          <w:tcPr>
            <w:tcW w:w="3321" w:type="dxa"/>
          </w:tcPr>
          <w:p w14:paraId="23C3CB51" w14:textId="785A44F8" w:rsidR="00AF609D" w:rsidRPr="00490D3B" w:rsidRDefault="00AF609D" w:rsidP="00AF609D">
            <w:pPr>
              <w:pStyle w:val="Normal0"/>
              <w:rPr>
                <w:rFonts w:eastAsia="Calibri"/>
                <w:bCs/>
                <w:sz w:val="20"/>
                <w:szCs w:val="20"/>
                <w:lang w:eastAsia="en-US"/>
              </w:rPr>
            </w:pPr>
            <w:r w:rsidRPr="00490D3B">
              <w:rPr>
                <w:sz w:val="20"/>
                <w:szCs w:val="20"/>
              </w:rPr>
              <w:t>Identificar cambios en la población considerada para la proyección.</w:t>
            </w:r>
          </w:p>
        </w:tc>
      </w:tr>
    </w:tbl>
    <w:p w14:paraId="154C7477" w14:textId="77777777" w:rsidR="00AF609D" w:rsidRPr="00490D3B" w:rsidRDefault="00AF609D" w:rsidP="00AF609D">
      <w:pPr>
        <w:pStyle w:val="Normal0"/>
        <w:rPr>
          <w:rFonts w:eastAsia="Calibri"/>
          <w:bCs/>
          <w:sz w:val="20"/>
          <w:szCs w:val="20"/>
          <w:lang w:eastAsia="en-US"/>
        </w:rPr>
      </w:pPr>
    </w:p>
    <w:p w14:paraId="2F465233" w14:textId="77777777" w:rsidR="00BC5594" w:rsidRPr="00490D3B" w:rsidRDefault="00BC5594" w:rsidP="00BC5594">
      <w:pPr>
        <w:pStyle w:val="Normal0"/>
        <w:rPr>
          <w:rFonts w:eastAsia="Calibri"/>
          <w:bCs/>
          <w:sz w:val="20"/>
          <w:szCs w:val="20"/>
          <w:lang w:eastAsia="en-US"/>
        </w:rPr>
      </w:pPr>
      <w:r w:rsidRPr="00490D3B">
        <w:rPr>
          <w:rFonts w:eastAsia="Calibri"/>
          <w:bCs/>
          <w:sz w:val="20"/>
          <w:szCs w:val="20"/>
          <w:lang w:eastAsia="en-US"/>
        </w:rPr>
        <w:t>El seguimiento debe realizarse con una periodicidad definida de acuerdo con las condiciones del acuerdo de voluntades y las variables que se requieran controlar. Los resultados deben documentarse y compararse con los valores de referencia establecidos en la nota técnica.</w:t>
      </w:r>
    </w:p>
    <w:p w14:paraId="37CC39E8" w14:textId="77777777" w:rsidR="00BC5594" w:rsidRPr="00490D3B" w:rsidRDefault="00BC5594" w:rsidP="00BC5594">
      <w:pPr>
        <w:pStyle w:val="Normal0"/>
        <w:rPr>
          <w:rFonts w:eastAsia="Calibri"/>
          <w:bCs/>
          <w:sz w:val="20"/>
          <w:szCs w:val="20"/>
          <w:lang w:eastAsia="en-US"/>
        </w:rPr>
      </w:pPr>
    </w:p>
    <w:p w14:paraId="231DC851" w14:textId="30D648C8" w:rsidR="00AF609D" w:rsidRPr="00490D3B" w:rsidRDefault="00BC5594" w:rsidP="00BC5594">
      <w:pPr>
        <w:pStyle w:val="Normal0"/>
        <w:rPr>
          <w:rFonts w:eastAsia="Calibri"/>
          <w:bCs/>
          <w:sz w:val="20"/>
          <w:szCs w:val="20"/>
          <w:lang w:eastAsia="en-US"/>
        </w:rPr>
      </w:pPr>
      <w:r w:rsidRPr="00490D3B">
        <w:rPr>
          <w:rFonts w:eastAsia="Calibri"/>
          <w:bCs/>
          <w:sz w:val="20"/>
          <w:szCs w:val="20"/>
          <w:lang w:eastAsia="en-US"/>
        </w:rPr>
        <w:t>Cuando los indicadores evidencien desviaciones relevantes, se debe analizar su causa y determinar si es necesario realizar ajustes en las proyecciones, tarifas, planificación de servicios o elementos relacionados con la gestión del riesgo. Los resultados también pueden constituir un insumo para formular acciones de mejora y actualizar la nota técnica cuando las condiciones lo requieran.</w:t>
      </w:r>
    </w:p>
    <w:p w14:paraId="6E83E1BA" w14:textId="6E57564E" w:rsidR="00AF609D" w:rsidRDefault="00AF609D" w:rsidP="00AF609D">
      <w:pPr>
        <w:pStyle w:val="Normal0"/>
        <w:rPr>
          <w:rFonts w:eastAsia="Calibri"/>
          <w:bCs/>
          <w:sz w:val="20"/>
          <w:szCs w:val="20"/>
          <w:lang w:eastAsia="en-US"/>
        </w:rPr>
      </w:pPr>
    </w:p>
    <w:p w14:paraId="2796CF12" w14:textId="77777777" w:rsidR="002D7616" w:rsidRPr="00490D3B" w:rsidRDefault="002D7616" w:rsidP="00AF609D">
      <w:pPr>
        <w:pStyle w:val="Normal0"/>
        <w:rPr>
          <w:rFonts w:eastAsia="Calibri"/>
          <w:bCs/>
          <w:sz w:val="20"/>
          <w:szCs w:val="20"/>
          <w:lang w:eastAsia="en-US"/>
        </w:rPr>
      </w:pPr>
    </w:p>
    <w:p w14:paraId="6129CB3B" w14:textId="42163604" w:rsidR="00D743F1" w:rsidRPr="00490D3B" w:rsidRDefault="00D743F1" w:rsidP="00D743F1">
      <w:pPr>
        <w:pStyle w:val="Normal0"/>
        <w:numPr>
          <w:ilvl w:val="0"/>
          <w:numId w:val="30"/>
        </w:numPr>
        <w:rPr>
          <w:rFonts w:eastAsia="Calibri"/>
          <w:b/>
          <w:bCs/>
          <w:sz w:val="20"/>
          <w:szCs w:val="20"/>
          <w:lang w:eastAsia="en-US"/>
        </w:rPr>
      </w:pPr>
      <w:r w:rsidRPr="00490D3B">
        <w:rPr>
          <w:rFonts w:eastAsia="Calibri"/>
          <w:b/>
          <w:bCs/>
          <w:sz w:val="20"/>
          <w:szCs w:val="20"/>
          <w:lang w:eastAsia="en-US"/>
        </w:rPr>
        <w:t>Evaluación y mejoramiento de la nota técnica</w:t>
      </w:r>
    </w:p>
    <w:p w14:paraId="6923097F" w14:textId="0030495F" w:rsidR="00AC7491" w:rsidRPr="00490D3B" w:rsidRDefault="00AC7491" w:rsidP="00AC7491">
      <w:pPr>
        <w:pStyle w:val="Normal0"/>
        <w:rPr>
          <w:rFonts w:eastAsia="Calibri"/>
          <w:b/>
          <w:bCs/>
          <w:sz w:val="20"/>
          <w:szCs w:val="20"/>
          <w:lang w:eastAsia="en-US"/>
        </w:rPr>
      </w:pPr>
    </w:p>
    <w:p w14:paraId="77AE6149" w14:textId="77777777" w:rsidR="00AC7491" w:rsidRPr="00490D3B" w:rsidRDefault="00AC7491" w:rsidP="00AC7491">
      <w:pPr>
        <w:pStyle w:val="Normal0"/>
        <w:rPr>
          <w:rFonts w:eastAsia="Calibri"/>
          <w:bCs/>
          <w:sz w:val="20"/>
          <w:szCs w:val="20"/>
          <w:lang w:eastAsia="en-US"/>
        </w:rPr>
      </w:pPr>
      <w:r w:rsidRPr="00490D3B">
        <w:rPr>
          <w:rFonts w:eastAsia="Calibri"/>
          <w:bCs/>
          <w:sz w:val="20"/>
          <w:szCs w:val="20"/>
          <w:lang w:eastAsia="en-US"/>
        </w:rPr>
        <w:t>La evaluación de la nota técnica permite determinar el comportamiento de las proyecciones realizadas frente a los resultados obtenidos durante la ejecución del acuerdo de voluntades. Este proceso considera la información recopilada mediante el seguimiento y los indicadores de ejecución, con el propósito de identificar hallazgos, desviaciones y situaciones que requieran intervención o ajuste.</w:t>
      </w:r>
    </w:p>
    <w:p w14:paraId="77D71C09" w14:textId="77777777" w:rsidR="00AC7491" w:rsidRPr="00490D3B" w:rsidRDefault="00AC7491" w:rsidP="00AC7491">
      <w:pPr>
        <w:pStyle w:val="Normal0"/>
        <w:rPr>
          <w:rFonts w:eastAsia="Calibri"/>
          <w:bCs/>
          <w:sz w:val="20"/>
          <w:szCs w:val="20"/>
          <w:lang w:eastAsia="en-US"/>
        </w:rPr>
      </w:pPr>
    </w:p>
    <w:p w14:paraId="125B827A" w14:textId="77777777" w:rsidR="00AC7491" w:rsidRPr="00490D3B" w:rsidRDefault="00AC7491" w:rsidP="00AC7491">
      <w:pPr>
        <w:pStyle w:val="Normal0"/>
        <w:rPr>
          <w:rFonts w:eastAsia="Calibri"/>
          <w:bCs/>
          <w:sz w:val="20"/>
          <w:szCs w:val="20"/>
          <w:lang w:eastAsia="en-US"/>
        </w:rPr>
      </w:pPr>
      <w:r w:rsidRPr="00490D3B">
        <w:rPr>
          <w:rFonts w:eastAsia="Calibri"/>
          <w:bCs/>
          <w:sz w:val="20"/>
          <w:szCs w:val="20"/>
          <w:lang w:eastAsia="en-US"/>
        </w:rPr>
        <w:t>A partir de los resultados de la evaluación se pueden establecer acciones orientadas a corregir las situaciones identificadas y fortalecer los procesos relacionados con la planeación, ejecución y seguimiento de los servicios y tecnologías en salud. Las acciones deben quedar documentadas, con la definición de responsables y fechas para su cumplimiento.</w:t>
      </w:r>
    </w:p>
    <w:p w14:paraId="5BA949E0" w14:textId="77777777" w:rsidR="00AC7491" w:rsidRPr="00490D3B" w:rsidRDefault="00AC7491" w:rsidP="00AC7491">
      <w:pPr>
        <w:pStyle w:val="Normal0"/>
        <w:rPr>
          <w:rFonts w:eastAsia="Calibri"/>
          <w:bCs/>
          <w:sz w:val="20"/>
          <w:szCs w:val="20"/>
          <w:lang w:eastAsia="en-US"/>
        </w:rPr>
      </w:pPr>
    </w:p>
    <w:p w14:paraId="08840220" w14:textId="77777777" w:rsidR="00AC7491" w:rsidRPr="00490D3B" w:rsidRDefault="00AC7491" w:rsidP="00AC7491">
      <w:pPr>
        <w:pStyle w:val="Normal0"/>
        <w:rPr>
          <w:rFonts w:eastAsia="Calibri"/>
          <w:bCs/>
          <w:sz w:val="20"/>
          <w:szCs w:val="20"/>
          <w:lang w:eastAsia="en-US"/>
        </w:rPr>
      </w:pPr>
      <w:r w:rsidRPr="00490D3B">
        <w:rPr>
          <w:rFonts w:eastAsia="Calibri"/>
          <w:bCs/>
          <w:sz w:val="20"/>
          <w:szCs w:val="20"/>
          <w:lang w:eastAsia="en-US"/>
        </w:rPr>
        <w:t>El mejoramiento también implica realizar seguimiento a las acciones formuladas y verificar sus resultados. Cuando las condiciones que dieron origen a los hallazgos cambian o se presentan nuevas situaciones que afectan las proyecciones, la nota técnica puede requerir actualización para mantener su correspondencia con las condiciones de la población, los servicios, los costos y los riesgos identificados.</w:t>
      </w:r>
    </w:p>
    <w:p w14:paraId="4B5240BE" w14:textId="77777777" w:rsidR="00AC7491" w:rsidRPr="00490D3B" w:rsidRDefault="00AC7491" w:rsidP="00AC7491">
      <w:pPr>
        <w:pStyle w:val="Normal0"/>
        <w:rPr>
          <w:rFonts w:eastAsia="Calibri"/>
          <w:bCs/>
          <w:sz w:val="20"/>
          <w:szCs w:val="20"/>
          <w:lang w:eastAsia="en-US"/>
        </w:rPr>
      </w:pPr>
    </w:p>
    <w:p w14:paraId="577B7B21" w14:textId="2D8A9EED" w:rsidR="00AC7491" w:rsidRPr="00490D3B" w:rsidRDefault="00AC7491" w:rsidP="00AC7491">
      <w:pPr>
        <w:pStyle w:val="Normal0"/>
        <w:rPr>
          <w:rFonts w:eastAsia="Calibri"/>
          <w:bCs/>
          <w:sz w:val="20"/>
          <w:szCs w:val="20"/>
          <w:lang w:eastAsia="en-US"/>
        </w:rPr>
      </w:pPr>
      <w:r w:rsidRPr="00490D3B">
        <w:rPr>
          <w:rFonts w:eastAsia="Calibri"/>
          <w:bCs/>
          <w:sz w:val="20"/>
          <w:szCs w:val="20"/>
          <w:lang w:eastAsia="en-US"/>
        </w:rPr>
        <w:t>De esta manera, la evaluación y el mejoramiento constituyen un proceso continuo que permite utilizar los resultados de la ejecución como insumo para fortalecer la nota técnica, orientar las acciones de mejora y mantener actualizada la información que sustenta las proyecciones.</w:t>
      </w:r>
    </w:p>
    <w:p w14:paraId="377329F1" w14:textId="77777777" w:rsidR="00AC7491" w:rsidRPr="00490D3B" w:rsidRDefault="00AC7491" w:rsidP="00AC7491">
      <w:pPr>
        <w:pStyle w:val="Normal0"/>
        <w:rPr>
          <w:rFonts w:eastAsia="Calibri"/>
          <w:b/>
          <w:bCs/>
          <w:sz w:val="20"/>
          <w:szCs w:val="20"/>
          <w:lang w:eastAsia="en-US"/>
        </w:rPr>
      </w:pPr>
    </w:p>
    <w:p w14:paraId="1B668CE6" w14:textId="1D91DD92" w:rsidR="00D743F1" w:rsidRPr="00490D3B" w:rsidRDefault="00D743F1" w:rsidP="00D743F1">
      <w:pPr>
        <w:pStyle w:val="Normal0"/>
        <w:numPr>
          <w:ilvl w:val="1"/>
          <w:numId w:val="30"/>
        </w:numPr>
        <w:rPr>
          <w:rFonts w:eastAsia="Calibri"/>
          <w:b/>
          <w:bCs/>
          <w:sz w:val="20"/>
          <w:szCs w:val="20"/>
          <w:lang w:eastAsia="en-US"/>
        </w:rPr>
      </w:pPr>
      <w:r w:rsidRPr="00490D3B">
        <w:rPr>
          <w:rFonts w:eastAsia="Calibri"/>
          <w:b/>
          <w:bCs/>
          <w:sz w:val="20"/>
          <w:szCs w:val="20"/>
          <w:lang w:eastAsia="en-US"/>
        </w:rPr>
        <w:t>Identificación y análisis de hallazgos</w:t>
      </w:r>
    </w:p>
    <w:p w14:paraId="7FEDFB8F" w14:textId="67D88EC3" w:rsidR="000F5F8B" w:rsidRPr="00490D3B" w:rsidRDefault="000F5F8B" w:rsidP="000F5F8B">
      <w:pPr>
        <w:pStyle w:val="Normal0"/>
        <w:rPr>
          <w:rFonts w:eastAsia="Calibri"/>
          <w:bCs/>
          <w:sz w:val="20"/>
          <w:szCs w:val="20"/>
          <w:lang w:eastAsia="en-US"/>
        </w:rPr>
      </w:pPr>
    </w:p>
    <w:p w14:paraId="2E1BBE7B" w14:textId="77777777" w:rsidR="000F5F8B" w:rsidRPr="00490D3B" w:rsidRDefault="000F5F8B" w:rsidP="000F5F8B">
      <w:pPr>
        <w:pStyle w:val="Normal0"/>
        <w:rPr>
          <w:rFonts w:eastAsia="Calibri"/>
          <w:bCs/>
          <w:sz w:val="20"/>
          <w:szCs w:val="20"/>
          <w:lang w:eastAsia="en-US"/>
        </w:rPr>
      </w:pPr>
      <w:r w:rsidRPr="00490D3B">
        <w:rPr>
          <w:rFonts w:eastAsia="Calibri"/>
          <w:bCs/>
          <w:sz w:val="20"/>
          <w:szCs w:val="20"/>
          <w:lang w:eastAsia="en-US"/>
        </w:rPr>
        <w:t>La identificación y el análisis de hallazgos permiten reconocer situaciones que pueden afectar la coherencia, consistencia o cumplimiento de las condiciones establecidas en la nota técnica. Los hallazgos pueden surgir de la comparación entre la información proyectada y los resultados de la ejecución, así como de las revisiones realizadas durante los procesos de seguimiento y validación.</w:t>
      </w:r>
    </w:p>
    <w:p w14:paraId="796732A5" w14:textId="77777777" w:rsidR="000F5F8B" w:rsidRPr="00490D3B" w:rsidRDefault="000F5F8B" w:rsidP="000F5F8B">
      <w:pPr>
        <w:pStyle w:val="Normal0"/>
        <w:rPr>
          <w:rFonts w:eastAsia="Calibri"/>
          <w:bCs/>
          <w:sz w:val="20"/>
          <w:szCs w:val="20"/>
          <w:lang w:eastAsia="en-US"/>
        </w:rPr>
      </w:pPr>
    </w:p>
    <w:p w14:paraId="070EEC77" w14:textId="77777777" w:rsidR="000F5F8B" w:rsidRPr="00490D3B" w:rsidRDefault="000F5F8B" w:rsidP="000F5F8B">
      <w:pPr>
        <w:pStyle w:val="Normal0"/>
        <w:rPr>
          <w:rFonts w:eastAsia="Calibri"/>
          <w:bCs/>
          <w:sz w:val="20"/>
          <w:szCs w:val="20"/>
          <w:lang w:eastAsia="en-US"/>
        </w:rPr>
      </w:pPr>
      <w:r w:rsidRPr="00490D3B">
        <w:rPr>
          <w:rFonts w:eastAsia="Calibri"/>
          <w:bCs/>
          <w:sz w:val="20"/>
          <w:szCs w:val="20"/>
          <w:lang w:eastAsia="en-US"/>
        </w:rPr>
        <w:t>Un hallazgo debe analizarse considerando qué situación fue identificada, cuál es su posible causa, qué efecto puede generar y qué acción requiere. Este análisis permite determinar si se trata de una situación que debe corregirse, realizarse seguimiento o incorporarse como insumo para actualizar la nota técnica.</w:t>
      </w:r>
    </w:p>
    <w:p w14:paraId="629242E8" w14:textId="77777777" w:rsidR="000F5F8B" w:rsidRPr="00490D3B" w:rsidRDefault="000F5F8B" w:rsidP="000F5F8B">
      <w:pPr>
        <w:pStyle w:val="Normal0"/>
        <w:rPr>
          <w:rFonts w:eastAsia="Calibri"/>
          <w:bCs/>
          <w:sz w:val="20"/>
          <w:szCs w:val="20"/>
          <w:lang w:eastAsia="en-US"/>
        </w:rPr>
      </w:pPr>
    </w:p>
    <w:p w14:paraId="201DA888" w14:textId="77777777" w:rsidR="000F5F8B" w:rsidRPr="00490D3B" w:rsidRDefault="000F5F8B" w:rsidP="000F5F8B">
      <w:pPr>
        <w:pStyle w:val="Normal0"/>
        <w:rPr>
          <w:rFonts w:eastAsia="Calibri"/>
          <w:bCs/>
          <w:sz w:val="20"/>
          <w:szCs w:val="20"/>
          <w:lang w:eastAsia="en-US"/>
        </w:rPr>
      </w:pPr>
      <w:r w:rsidRPr="00490D3B">
        <w:rPr>
          <w:rFonts w:eastAsia="Calibri"/>
          <w:bCs/>
          <w:sz w:val="20"/>
          <w:szCs w:val="20"/>
          <w:lang w:eastAsia="en-US"/>
        </w:rPr>
        <w:t>Algunos ejemplos de hallazgos que pueden identificarse son:</w:t>
      </w:r>
    </w:p>
    <w:p w14:paraId="2CD7329D" w14:textId="77777777" w:rsidR="000F5F8B" w:rsidRPr="00490D3B" w:rsidRDefault="000F5F8B" w:rsidP="000F5F8B">
      <w:pPr>
        <w:pStyle w:val="Normal0"/>
        <w:rPr>
          <w:rFonts w:eastAsia="Calibri"/>
          <w:bCs/>
          <w:sz w:val="20"/>
          <w:szCs w:val="20"/>
          <w:lang w:eastAsia="en-US"/>
        </w:rPr>
      </w:pPr>
    </w:p>
    <w:p w14:paraId="56BD7645" w14:textId="77777777" w:rsidR="000F5F8B" w:rsidRPr="00490D3B" w:rsidRDefault="000F5F8B" w:rsidP="00C071CE">
      <w:pPr>
        <w:pStyle w:val="Normal0"/>
        <w:numPr>
          <w:ilvl w:val="0"/>
          <w:numId w:val="34"/>
        </w:numPr>
        <w:rPr>
          <w:rFonts w:eastAsia="Calibri"/>
          <w:bCs/>
          <w:sz w:val="20"/>
          <w:szCs w:val="20"/>
          <w:lang w:eastAsia="en-US"/>
        </w:rPr>
      </w:pPr>
      <w:r w:rsidRPr="00490D3B">
        <w:rPr>
          <w:rFonts w:eastAsia="Calibri"/>
          <w:bCs/>
          <w:sz w:val="20"/>
          <w:szCs w:val="20"/>
          <w:lang w:eastAsia="en-US"/>
        </w:rPr>
        <w:t>Diferencias entre la población proyectada y la población registrada durante la ejecución.</w:t>
      </w:r>
    </w:p>
    <w:p w14:paraId="3D6F089D" w14:textId="77777777" w:rsidR="000F5F8B" w:rsidRPr="00490D3B" w:rsidRDefault="000F5F8B" w:rsidP="00C071CE">
      <w:pPr>
        <w:pStyle w:val="Normal0"/>
        <w:numPr>
          <w:ilvl w:val="0"/>
          <w:numId w:val="34"/>
        </w:numPr>
        <w:rPr>
          <w:rFonts w:eastAsia="Calibri"/>
          <w:bCs/>
          <w:sz w:val="20"/>
          <w:szCs w:val="20"/>
          <w:lang w:eastAsia="en-US"/>
        </w:rPr>
      </w:pPr>
      <w:r w:rsidRPr="00490D3B">
        <w:rPr>
          <w:rFonts w:eastAsia="Calibri"/>
          <w:bCs/>
          <w:sz w:val="20"/>
          <w:szCs w:val="20"/>
          <w:lang w:eastAsia="en-US"/>
        </w:rPr>
        <w:t>Frecuencias de utilización superiores o inferiores a las consideradas inicialmente.</w:t>
      </w:r>
    </w:p>
    <w:p w14:paraId="67AA36D0" w14:textId="77777777" w:rsidR="000F5F8B" w:rsidRPr="00490D3B" w:rsidRDefault="000F5F8B" w:rsidP="00C071CE">
      <w:pPr>
        <w:pStyle w:val="Normal0"/>
        <w:numPr>
          <w:ilvl w:val="0"/>
          <w:numId w:val="34"/>
        </w:numPr>
        <w:rPr>
          <w:rFonts w:eastAsia="Calibri"/>
          <w:bCs/>
          <w:sz w:val="20"/>
          <w:szCs w:val="20"/>
          <w:lang w:eastAsia="en-US"/>
        </w:rPr>
      </w:pPr>
      <w:r w:rsidRPr="00490D3B">
        <w:rPr>
          <w:rFonts w:eastAsia="Calibri"/>
          <w:bCs/>
          <w:sz w:val="20"/>
          <w:szCs w:val="20"/>
          <w:lang w:eastAsia="en-US"/>
        </w:rPr>
        <w:t>Códigos de servicios o tecnologías que requieren verificación o actualización.</w:t>
      </w:r>
    </w:p>
    <w:p w14:paraId="0805CA38" w14:textId="77777777" w:rsidR="000F5F8B" w:rsidRPr="00490D3B" w:rsidRDefault="000F5F8B" w:rsidP="00C071CE">
      <w:pPr>
        <w:pStyle w:val="Normal0"/>
        <w:numPr>
          <w:ilvl w:val="0"/>
          <w:numId w:val="34"/>
        </w:numPr>
        <w:rPr>
          <w:rFonts w:eastAsia="Calibri"/>
          <w:bCs/>
          <w:sz w:val="20"/>
          <w:szCs w:val="20"/>
          <w:lang w:eastAsia="en-US"/>
        </w:rPr>
      </w:pPr>
      <w:r w:rsidRPr="00490D3B">
        <w:rPr>
          <w:rFonts w:eastAsia="Calibri"/>
          <w:bCs/>
          <w:sz w:val="20"/>
          <w:szCs w:val="20"/>
          <w:lang w:eastAsia="en-US"/>
        </w:rPr>
        <w:t>Diferencias entre las cantidades de servicios proyectadas y las efectivamente ejecutadas.</w:t>
      </w:r>
    </w:p>
    <w:p w14:paraId="612B7519" w14:textId="77777777" w:rsidR="000F5F8B" w:rsidRPr="00490D3B" w:rsidRDefault="000F5F8B" w:rsidP="00C071CE">
      <w:pPr>
        <w:pStyle w:val="Normal0"/>
        <w:numPr>
          <w:ilvl w:val="0"/>
          <w:numId w:val="34"/>
        </w:numPr>
        <w:rPr>
          <w:rFonts w:eastAsia="Calibri"/>
          <w:bCs/>
          <w:sz w:val="20"/>
          <w:szCs w:val="20"/>
          <w:lang w:eastAsia="en-US"/>
        </w:rPr>
      </w:pPr>
      <w:r w:rsidRPr="00490D3B">
        <w:rPr>
          <w:rFonts w:eastAsia="Calibri"/>
          <w:bCs/>
          <w:sz w:val="20"/>
          <w:szCs w:val="20"/>
          <w:lang w:eastAsia="en-US"/>
        </w:rPr>
        <w:t>Tarifas o costos que no corresponden con los valores utilizados en la proyección.</w:t>
      </w:r>
    </w:p>
    <w:p w14:paraId="5B38271B" w14:textId="77777777" w:rsidR="000F5F8B" w:rsidRPr="00490D3B" w:rsidRDefault="000F5F8B" w:rsidP="00C071CE">
      <w:pPr>
        <w:pStyle w:val="Normal0"/>
        <w:numPr>
          <w:ilvl w:val="0"/>
          <w:numId w:val="34"/>
        </w:numPr>
        <w:rPr>
          <w:rFonts w:eastAsia="Calibri"/>
          <w:bCs/>
          <w:sz w:val="20"/>
          <w:szCs w:val="20"/>
          <w:lang w:eastAsia="en-US"/>
        </w:rPr>
      </w:pPr>
      <w:r w:rsidRPr="00490D3B">
        <w:rPr>
          <w:rFonts w:eastAsia="Calibri"/>
          <w:bCs/>
          <w:sz w:val="20"/>
          <w:szCs w:val="20"/>
          <w:lang w:eastAsia="en-US"/>
        </w:rPr>
        <w:t>Inconsistencias entre los cálculos de cantidades, valores unitarios y valores totales.</w:t>
      </w:r>
    </w:p>
    <w:p w14:paraId="14412DA6" w14:textId="77777777" w:rsidR="000F5F8B" w:rsidRPr="00490D3B" w:rsidRDefault="000F5F8B" w:rsidP="00C071CE">
      <w:pPr>
        <w:pStyle w:val="Normal0"/>
        <w:numPr>
          <w:ilvl w:val="0"/>
          <w:numId w:val="34"/>
        </w:numPr>
        <w:rPr>
          <w:rFonts w:eastAsia="Calibri"/>
          <w:bCs/>
          <w:sz w:val="20"/>
          <w:szCs w:val="20"/>
          <w:lang w:eastAsia="en-US"/>
        </w:rPr>
      </w:pPr>
      <w:r w:rsidRPr="00490D3B">
        <w:rPr>
          <w:rFonts w:eastAsia="Calibri"/>
          <w:bCs/>
          <w:sz w:val="20"/>
          <w:szCs w:val="20"/>
          <w:lang w:eastAsia="en-US"/>
        </w:rPr>
        <w:t>Información de soporte insuficiente para sustentar determinados datos o cálculos.</w:t>
      </w:r>
    </w:p>
    <w:p w14:paraId="2380EFEE" w14:textId="77777777" w:rsidR="000F5F8B" w:rsidRPr="00490D3B" w:rsidRDefault="000F5F8B" w:rsidP="00C071CE">
      <w:pPr>
        <w:pStyle w:val="Normal0"/>
        <w:numPr>
          <w:ilvl w:val="0"/>
          <w:numId w:val="34"/>
        </w:numPr>
        <w:rPr>
          <w:rFonts w:eastAsia="Calibri"/>
          <w:bCs/>
          <w:sz w:val="20"/>
          <w:szCs w:val="20"/>
          <w:lang w:eastAsia="en-US"/>
        </w:rPr>
      </w:pPr>
      <w:r w:rsidRPr="00490D3B">
        <w:rPr>
          <w:rFonts w:eastAsia="Calibri"/>
          <w:bCs/>
          <w:sz w:val="20"/>
          <w:szCs w:val="20"/>
          <w:lang w:eastAsia="en-US"/>
        </w:rPr>
        <w:t>Variaciones en la red de prestadores o en la cobertura que afectan la planificación de los servicios.</w:t>
      </w:r>
    </w:p>
    <w:p w14:paraId="248140E6" w14:textId="77777777" w:rsidR="000F5F8B" w:rsidRPr="00490D3B" w:rsidRDefault="000F5F8B" w:rsidP="00C071CE">
      <w:pPr>
        <w:pStyle w:val="Normal0"/>
        <w:numPr>
          <w:ilvl w:val="0"/>
          <w:numId w:val="34"/>
        </w:numPr>
        <w:rPr>
          <w:rFonts w:eastAsia="Calibri"/>
          <w:bCs/>
          <w:sz w:val="20"/>
          <w:szCs w:val="20"/>
          <w:lang w:eastAsia="en-US"/>
        </w:rPr>
      </w:pPr>
      <w:r w:rsidRPr="00490D3B">
        <w:rPr>
          <w:rFonts w:eastAsia="Calibri"/>
          <w:bCs/>
          <w:sz w:val="20"/>
          <w:szCs w:val="20"/>
          <w:lang w:eastAsia="en-US"/>
        </w:rPr>
        <w:t>Cambios en las condiciones de salud de la población que generan variaciones en la utilización de los servicios.</w:t>
      </w:r>
    </w:p>
    <w:p w14:paraId="0DA37D51" w14:textId="77777777" w:rsidR="000F5F8B" w:rsidRPr="00490D3B" w:rsidRDefault="000F5F8B" w:rsidP="000F5F8B">
      <w:pPr>
        <w:pStyle w:val="Normal0"/>
        <w:rPr>
          <w:rFonts w:eastAsia="Calibri"/>
          <w:bCs/>
          <w:sz w:val="20"/>
          <w:szCs w:val="20"/>
          <w:lang w:eastAsia="en-US"/>
        </w:rPr>
      </w:pPr>
    </w:p>
    <w:p w14:paraId="79E9CBBE" w14:textId="540B4406" w:rsidR="000F5F8B" w:rsidRPr="00490D3B" w:rsidRDefault="000F5F8B" w:rsidP="000F5F8B">
      <w:pPr>
        <w:pStyle w:val="Normal0"/>
        <w:rPr>
          <w:rFonts w:eastAsia="Calibri"/>
          <w:bCs/>
          <w:sz w:val="20"/>
          <w:szCs w:val="20"/>
          <w:lang w:eastAsia="en-US"/>
        </w:rPr>
      </w:pPr>
      <w:r w:rsidRPr="00490D3B">
        <w:rPr>
          <w:rFonts w:eastAsia="Calibri"/>
          <w:bCs/>
          <w:sz w:val="20"/>
          <w:szCs w:val="20"/>
          <w:lang w:eastAsia="en-US"/>
        </w:rPr>
        <w:t>Para facilitar el análisis, los hallazgos pueden clasificarse según el componente al que se encuentren relacionados:</w:t>
      </w:r>
    </w:p>
    <w:p w14:paraId="685E0878" w14:textId="668A257A" w:rsidR="000F5F8B" w:rsidRPr="00490D3B" w:rsidRDefault="000F5F8B" w:rsidP="000F5F8B">
      <w:pPr>
        <w:pStyle w:val="Normal0"/>
        <w:rPr>
          <w:rFonts w:eastAsia="Calibri"/>
          <w:bCs/>
          <w:sz w:val="20"/>
          <w:szCs w:val="20"/>
          <w:lang w:eastAsia="en-US"/>
        </w:rPr>
      </w:pPr>
    </w:p>
    <w:p w14:paraId="5CCCA032" w14:textId="2DEB59CA" w:rsidR="00C071CE" w:rsidRPr="00490D3B" w:rsidRDefault="00C071CE" w:rsidP="000F5F8B">
      <w:pPr>
        <w:pStyle w:val="Normal0"/>
        <w:rPr>
          <w:rFonts w:eastAsia="Calibri"/>
          <w:bCs/>
          <w:sz w:val="20"/>
          <w:szCs w:val="20"/>
          <w:lang w:eastAsia="en-US"/>
        </w:rPr>
      </w:pPr>
      <w:r w:rsidRPr="00490D3B">
        <w:rPr>
          <w:rFonts w:eastAsia="Calibri"/>
          <w:b/>
          <w:bCs/>
          <w:sz w:val="20"/>
          <w:szCs w:val="20"/>
          <w:lang w:eastAsia="en-US"/>
        </w:rPr>
        <w:t>Tabla 7.</w:t>
      </w:r>
      <w:r w:rsidRPr="00490D3B">
        <w:rPr>
          <w:rFonts w:eastAsia="Calibri"/>
          <w:bCs/>
          <w:sz w:val="20"/>
          <w:szCs w:val="20"/>
          <w:lang w:eastAsia="en-US"/>
        </w:rPr>
        <w:t xml:space="preserve"> Ejemplos de hallazgos en la evaluación de la nota técnica</w:t>
      </w:r>
    </w:p>
    <w:tbl>
      <w:tblPr>
        <w:tblStyle w:val="Tablaconcuadrcula"/>
        <w:tblW w:w="0" w:type="auto"/>
        <w:tblInd w:w="0" w:type="dxa"/>
        <w:tblLook w:val="04A0" w:firstRow="1" w:lastRow="0" w:firstColumn="1" w:lastColumn="0" w:noHBand="0" w:noVBand="1"/>
      </w:tblPr>
      <w:tblGrid>
        <w:gridCol w:w="2689"/>
        <w:gridCol w:w="3543"/>
        <w:gridCol w:w="3730"/>
      </w:tblGrid>
      <w:tr w:rsidR="00C071CE" w:rsidRPr="00490D3B" w14:paraId="63650083" w14:textId="77777777" w:rsidTr="00C071CE">
        <w:tc>
          <w:tcPr>
            <w:tcW w:w="2689" w:type="dxa"/>
          </w:tcPr>
          <w:p w14:paraId="0D831957" w14:textId="57C8511D" w:rsidR="00C071CE" w:rsidRPr="00490D3B" w:rsidRDefault="00C071CE" w:rsidP="00C071CE">
            <w:pPr>
              <w:pStyle w:val="Normal0"/>
              <w:rPr>
                <w:rFonts w:eastAsia="Calibri"/>
                <w:b/>
                <w:bCs/>
                <w:sz w:val="20"/>
                <w:szCs w:val="20"/>
                <w:lang w:eastAsia="en-US"/>
              </w:rPr>
            </w:pPr>
            <w:r w:rsidRPr="00490D3B">
              <w:rPr>
                <w:b/>
                <w:sz w:val="20"/>
                <w:szCs w:val="20"/>
              </w:rPr>
              <w:t>Componente</w:t>
            </w:r>
          </w:p>
        </w:tc>
        <w:tc>
          <w:tcPr>
            <w:tcW w:w="3543" w:type="dxa"/>
          </w:tcPr>
          <w:p w14:paraId="796FD214" w14:textId="3ADCAB37" w:rsidR="00C071CE" w:rsidRPr="00490D3B" w:rsidRDefault="00C071CE" w:rsidP="00C071CE">
            <w:pPr>
              <w:pStyle w:val="Normal0"/>
              <w:rPr>
                <w:rFonts w:eastAsia="Calibri"/>
                <w:b/>
                <w:bCs/>
                <w:sz w:val="20"/>
                <w:szCs w:val="20"/>
                <w:lang w:eastAsia="en-US"/>
              </w:rPr>
            </w:pPr>
            <w:r w:rsidRPr="00490D3B">
              <w:rPr>
                <w:b/>
                <w:sz w:val="20"/>
                <w:szCs w:val="20"/>
              </w:rPr>
              <w:t>Ejemplo de hallazgo</w:t>
            </w:r>
          </w:p>
        </w:tc>
        <w:tc>
          <w:tcPr>
            <w:tcW w:w="3730" w:type="dxa"/>
          </w:tcPr>
          <w:p w14:paraId="51DB414D" w14:textId="3EA1231D" w:rsidR="00C071CE" w:rsidRPr="00490D3B" w:rsidRDefault="00C071CE" w:rsidP="00C071CE">
            <w:pPr>
              <w:pStyle w:val="Normal0"/>
              <w:rPr>
                <w:rFonts w:eastAsia="Calibri"/>
                <w:b/>
                <w:bCs/>
                <w:sz w:val="20"/>
                <w:szCs w:val="20"/>
                <w:lang w:eastAsia="en-US"/>
              </w:rPr>
            </w:pPr>
            <w:r w:rsidRPr="00490D3B">
              <w:rPr>
                <w:b/>
                <w:sz w:val="20"/>
                <w:szCs w:val="20"/>
              </w:rPr>
              <w:t>Posible efecto</w:t>
            </w:r>
          </w:p>
        </w:tc>
      </w:tr>
      <w:tr w:rsidR="00C071CE" w:rsidRPr="00490D3B" w14:paraId="509A4B09" w14:textId="77777777" w:rsidTr="00C071CE">
        <w:tc>
          <w:tcPr>
            <w:tcW w:w="2689" w:type="dxa"/>
          </w:tcPr>
          <w:p w14:paraId="34D17DC1" w14:textId="46CCE9F9" w:rsidR="00C071CE" w:rsidRPr="00490D3B" w:rsidRDefault="00C071CE" w:rsidP="00C071CE">
            <w:pPr>
              <w:pStyle w:val="Normal0"/>
              <w:rPr>
                <w:rFonts w:eastAsia="Calibri"/>
                <w:bCs/>
                <w:sz w:val="20"/>
                <w:szCs w:val="20"/>
                <w:lang w:eastAsia="en-US"/>
              </w:rPr>
            </w:pPr>
            <w:r w:rsidRPr="00490D3B">
              <w:rPr>
                <w:sz w:val="20"/>
                <w:szCs w:val="20"/>
              </w:rPr>
              <w:t>Población</w:t>
            </w:r>
          </w:p>
        </w:tc>
        <w:tc>
          <w:tcPr>
            <w:tcW w:w="3543" w:type="dxa"/>
          </w:tcPr>
          <w:p w14:paraId="63D2189F" w14:textId="3E38D883" w:rsidR="00C071CE" w:rsidRPr="00490D3B" w:rsidRDefault="00C071CE" w:rsidP="00C071CE">
            <w:pPr>
              <w:pStyle w:val="Normal0"/>
              <w:rPr>
                <w:rFonts w:eastAsia="Calibri"/>
                <w:bCs/>
                <w:sz w:val="20"/>
                <w:szCs w:val="20"/>
                <w:lang w:eastAsia="en-US"/>
              </w:rPr>
            </w:pPr>
            <w:r w:rsidRPr="00490D3B">
              <w:rPr>
                <w:sz w:val="20"/>
                <w:szCs w:val="20"/>
              </w:rPr>
              <w:t>La población observada presenta una variación frente a la proyectada.</w:t>
            </w:r>
          </w:p>
        </w:tc>
        <w:tc>
          <w:tcPr>
            <w:tcW w:w="3730" w:type="dxa"/>
          </w:tcPr>
          <w:p w14:paraId="0E077EDB" w14:textId="25D6F860" w:rsidR="00C071CE" w:rsidRPr="00490D3B" w:rsidRDefault="00C071CE" w:rsidP="00C071CE">
            <w:pPr>
              <w:pStyle w:val="Normal0"/>
              <w:rPr>
                <w:rFonts w:eastAsia="Calibri"/>
                <w:bCs/>
                <w:sz w:val="20"/>
                <w:szCs w:val="20"/>
                <w:lang w:eastAsia="en-US"/>
              </w:rPr>
            </w:pPr>
            <w:r w:rsidRPr="00490D3B">
              <w:rPr>
                <w:sz w:val="20"/>
                <w:szCs w:val="20"/>
              </w:rPr>
              <w:t>Modificación de las cantidades estimadas.</w:t>
            </w:r>
          </w:p>
        </w:tc>
      </w:tr>
      <w:tr w:rsidR="00C071CE" w:rsidRPr="00490D3B" w14:paraId="401C300C" w14:textId="77777777" w:rsidTr="00C071CE">
        <w:tc>
          <w:tcPr>
            <w:tcW w:w="2689" w:type="dxa"/>
          </w:tcPr>
          <w:p w14:paraId="4A3D69F1" w14:textId="43034C19" w:rsidR="00C071CE" w:rsidRPr="00490D3B" w:rsidRDefault="00C071CE" w:rsidP="00C071CE">
            <w:pPr>
              <w:pStyle w:val="Normal0"/>
              <w:rPr>
                <w:rFonts w:eastAsia="Calibri"/>
                <w:bCs/>
                <w:sz w:val="20"/>
                <w:szCs w:val="20"/>
                <w:lang w:eastAsia="en-US"/>
              </w:rPr>
            </w:pPr>
            <w:r w:rsidRPr="00490D3B">
              <w:rPr>
                <w:sz w:val="20"/>
                <w:szCs w:val="20"/>
              </w:rPr>
              <w:t>Frecuencia</w:t>
            </w:r>
          </w:p>
        </w:tc>
        <w:tc>
          <w:tcPr>
            <w:tcW w:w="3543" w:type="dxa"/>
          </w:tcPr>
          <w:p w14:paraId="31161BF1" w14:textId="708B3106" w:rsidR="00C071CE" w:rsidRPr="00490D3B" w:rsidRDefault="00C071CE" w:rsidP="00C071CE">
            <w:pPr>
              <w:pStyle w:val="Normal0"/>
              <w:rPr>
                <w:rFonts w:eastAsia="Calibri"/>
                <w:bCs/>
                <w:sz w:val="20"/>
                <w:szCs w:val="20"/>
                <w:lang w:eastAsia="en-US"/>
              </w:rPr>
            </w:pPr>
            <w:r w:rsidRPr="00490D3B">
              <w:rPr>
                <w:sz w:val="20"/>
                <w:szCs w:val="20"/>
              </w:rPr>
              <w:t>La utilización de un servicio supera la frecuencia proyectada.</w:t>
            </w:r>
          </w:p>
        </w:tc>
        <w:tc>
          <w:tcPr>
            <w:tcW w:w="3730" w:type="dxa"/>
          </w:tcPr>
          <w:p w14:paraId="383ABAC7" w14:textId="26E49A22" w:rsidR="00C071CE" w:rsidRPr="00490D3B" w:rsidRDefault="00C071CE" w:rsidP="00C071CE">
            <w:pPr>
              <w:pStyle w:val="Normal0"/>
              <w:rPr>
                <w:rFonts w:eastAsia="Calibri"/>
                <w:bCs/>
                <w:sz w:val="20"/>
                <w:szCs w:val="20"/>
                <w:lang w:eastAsia="en-US"/>
              </w:rPr>
            </w:pPr>
            <w:r w:rsidRPr="00490D3B">
              <w:rPr>
                <w:sz w:val="20"/>
                <w:szCs w:val="20"/>
              </w:rPr>
              <w:t>Incremento de los servicios requeridos.</w:t>
            </w:r>
          </w:p>
        </w:tc>
      </w:tr>
      <w:tr w:rsidR="00C071CE" w:rsidRPr="00490D3B" w14:paraId="7B848D15" w14:textId="77777777" w:rsidTr="00C071CE">
        <w:tc>
          <w:tcPr>
            <w:tcW w:w="2689" w:type="dxa"/>
          </w:tcPr>
          <w:p w14:paraId="146C0857" w14:textId="2AF9D402" w:rsidR="00C071CE" w:rsidRPr="00490D3B" w:rsidRDefault="00C071CE" w:rsidP="00C071CE">
            <w:pPr>
              <w:pStyle w:val="Normal0"/>
              <w:rPr>
                <w:rFonts w:eastAsia="Calibri"/>
                <w:bCs/>
                <w:sz w:val="20"/>
                <w:szCs w:val="20"/>
                <w:lang w:eastAsia="en-US"/>
              </w:rPr>
            </w:pPr>
            <w:r w:rsidRPr="00490D3B">
              <w:rPr>
                <w:sz w:val="20"/>
                <w:szCs w:val="20"/>
              </w:rPr>
              <w:t>Servicios y tecnologías</w:t>
            </w:r>
          </w:p>
        </w:tc>
        <w:tc>
          <w:tcPr>
            <w:tcW w:w="3543" w:type="dxa"/>
          </w:tcPr>
          <w:p w14:paraId="0F88AC21" w14:textId="4D471968" w:rsidR="00C071CE" w:rsidRPr="00490D3B" w:rsidRDefault="00C071CE" w:rsidP="00C071CE">
            <w:pPr>
              <w:pStyle w:val="Normal0"/>
              <w:rPr>
                <w:rFonts w:eastAsia="Calibri"/>
                <w:bCs/>
                <w:sz w:val="20"/>
                <w:szCs w:val="20"/>
                <w:lang w:eastAsia="en-US"/>
              </w:rPr>
            </w:pPr>
            <w:r w:rsidRPr="00490D3B">
              <w:rPr>
                <w:sz w:val="20"/>
                <w:szCs w:val="20"/>
              </w:rPr>
              <w:t>Se identifica un código que requiere actualización.</w:t>
            </w:r>
          </w:p>
        </w:tc>
        <w:tc>
          <w:tcPr>
            <w:tcW w:w="3730" w:type="dxa"/>
          </w:tcPr>
          <w:p w14:paraId="09401C26" w14:textId="3BA68BF7" w:rsidR="00C071CE" w:rsidRPr="00490D3B" w:rsidRDefault="00C071CE" w:rsidP="00C071CE">
            <w:pPr>
              <w:pStyle w:val="Normal0"/>
              <w:rPr>
                <w:rFonts w:eastAsia="Calibri"/>
                <w:bCs/>
                <w:sz w:val="20"/>
                <w:szCs w:val="20"/>
                <w:lang w:eastAsia="en-US"/>
              </w:rPr>
            </w:pPr>
            <w:r w:rsidRPr="00490D3B">
              <w:rPr>
                <w:sz w:val="20"/>
                <w:szCs w:val="20"/>
              </w:rPr>
              <w:t>Inconsistencia en la identificación del servicio.</w:t>
            </w:r>
          </w:p>
        </w:tc>
      </w:tr>
      <w:tr w:rsidR="00C071CE" w:rsidRPr="00490D3B" w14:paraId="44609999" w14:textId="77777777" w:rsidTr="00C071CE">
        <w:tc>
          <w:tcPr>
            <w:tcW w:w="2689" w:type="dxa"/>
          </w:tcPr>
          <w:p w14:paraId="27255012" w14:textId="7F544CC2" w:rsidR="00C071CE" w:rsidRPr="00490D3B" w:rsidRDefault="00C071CE" w:rsidP="00C071CE">
            <w:pPr>
              <w:pStyle w:val="Normal0"/>
              <w:rPr>
                <w:rFonts w:eastAsia="Calibri"/>
                <w:bCs/>
                <w:sz w:val="20"/>
                <w:szCs w:val="20"/>
                <w:lang w:eastAsia="en-US"/>
              </w:rPr>
            </w:pPr>
            <w:r w:rsidRPr="00490D3B">
              <w:rPr>
                <w:sz w:val="20"/>
                <w:szCs w:val="20"/>
              </w:rPr>
              <w:t>Costos y tarifas</w:t>
            </w:r>
          </w:p>
        </w:tc>
        <w:tc>
          <w:tcPr>
            <w:tcW w:w="3543" w:type="dxa"/>
          </w:tcPr>
          <w:p w14:paraId="5D7D9CAD" w14:textId="601199FF" w:rsidR="00C071CE" w:rsidRPr="00490D3B" w:rsidRDefault="00C071CE" w:rsidP="00C071CE">
            <w:pPr>
              <w:pStyle w:val="Normal0"/>
              <w:rPr>
                <w:rFonts w:eastAsia="Calibri"/>
                <w:bCs/>
                <w:sz w:val="20"/>
                <w:szCs w:val="20"/>
                <w:lang w:eastAsia="en-US"/>
              </w:rPr>
            </w:pPr>
            <w:r w:rsidRPr="00490D3B">
              <w:rPr>
                <w:sz w:val="20"/>
                <w:szCs w:val="20"/>
              </w:rPr>
              <w:t>El valor utilizado difiere del valor de referencia o del establecido.</w:t>
            </w:r>
          </w:p>
        </w:tc>
        <w:tc>
          <w:tcPr>
            <w:tcW w:w="3730" w:type="dxa"/>
          </w:tcPr>
          <w:p w14:paraId="36F08665" w14:textId="1E4DBEA7" w:rsidR="00C071CE" w:rsidRPr="00490D3B" w:rsidRDefault="00C071CE" w:rsidP="00C071CE">
            <w:pPr>
              <w:pStyle w:val="Normal0"/>
              <w:rPr>
                <w:rFonts w:eastAsia="Calibri"/>
                <w:bCs/>
                <w:sz w:val="20"/>
                <w:szCs w:val="20"/>
                <w:lang w:eastAsia="en-US"/>
              </w:rPr>
            </w:pPr>
            <w:r w:rsidRPr="00490D3B">
              <w:rPr>
                <w:sz w:val="20"/>
                <w:szCs w:val="20"/>
              </w:rPr>
              <w:t>Variación del valor económico proyectado.</w:t>
            </w:r>
          </w:p>
        </w:tc>
      </w:tr>
      <w:tr w:rsidR="00C071CE" w:rsidRPr="00490D3B" w14:paraId="52DE1E7C" w14:textId="77777777" w:rsidTr="00C071CE">
        <w:tc>
          <w:tcPr>
            <w:tcW w:w="2689" w:type="dxa"/>
          </w:tcPr>
          <w:p w14:paraId="48F1524E" w14:textId="2797DF8A" w:rsidR="00C071CE" w:rsidRPr="00490D3B" w:rsidRDefault="00C071CE" w:rsidP="00C071CE">
            <w:pPr>
              <w:pStyle w:val="Normal0"/>
              <w:rPr>
                <w:rFonts w:eastAsia="Calibri"/>
                <w:bCs/>
                <w:sz w:val="20"/>
                <w:szCs w:val="20"/>
                <w:lang w:eastAsia="en-US"/>
              </w:rPr>
            </w:pPr>
            <w:r w:rsidRPr="00490D3B">
              <w:rPr>
                <w:sz w:val="20"/>
                <w:szCs w:val="20"/>
              </w:rPr>
              <w:t>Soportes</w:t>
            </w:r>
          </w:p>
        </w:tc>
        <w:tc>
          <w:tcPr>
            <w:tcW w:w="3543" w:type="dxa"/>
          </w:tcPr>
          <w:p w14:paraId="6CEF5E5D" w14:textId="086786EE" w:rsidR="00C071CE" w:rsidRPr="00490D3B" w:rsidRDefault="00C071CE" w:rsidP="00C071CE">
            <w:pPr>
              <w:pStyle w:val="Normal0"/>
              <w:rPr>
                <w:rFonts w:eastAsia="Calibri"/>
                <w:bCs/>
                <w:sz w:val="20"/>
                <w:szCs w:val="20"/>
                <w:lang w:eastAsia="en-US"/>
              </w:rPr>
            </w:pPr>
            <w:r w:rsidRPr="00490D3B">
              <w:rPr>
                <w:sz w:val="20"/>
                <w:szCs w:val="20"/>
              </w:rPr>
              <w:t>Los datos utilizados no cuentan con documentación suficiente.</w:t>
            </w:r>
          </w:p>
        </w:tc>
        <w:tc>
          <w:tcPr>
            <w:tcW w:w="3730" w:type="dxa"/>
          </w:tcPr>
          <w:p w14:paraId="3604026F" w14:textId="06B00B1E" w:rsidR="00C071CE" w:rsidRPr="00490D3B" w:rsidRDefault="00C071CE" w:rsidP="00C071CE">
            <w:pPr>
              <w:pStyle w:val="Normal0"/>
              <w:rPr>
                <w:rFonts w:eastAsia="Calibri"/>
                <w:bCs/>
                <w:sz w:val="20"/>
                <w:szCs w:val="20"/>
                <w:lang w:eastAsia="en-US"/>
              </w:rPr>
            </w:pPr>
            <w:r w:rsidRPr="00490D3B">
              <w:rPr>
                <w:sz w:val="20"/>
                <w:szCs w:val="20"/>
              </w:rPr>
              <w:t>Dificultad para sustentar o validar la información.</w:t>
            </w:r>
          </w:p>
        </w:tc>
      </w:tr>
      <w:tr w:rsidR="00C071CE" w:rsidRPr="00490D3B" w14:paraId="4B3F9462" w14:textId="77777777" w:rsidTr="00C071CE">
        <w:tc>
          <w:tcPr>
            <w:tcW w:w="2689" w:type="dxa"/>
          </w:tcPr>
          <w:p w14:paraId="2E4463CC" w14:textId="2AA72949" w:rsidR="00C071CE" w:rsidRPr="00490D3B" w:rsidRDefault="00C071CE" w:rsidP="00C071CE">
            <w:pPr>
              <w:pStyle w:val="Normal0"/>
              <w:rPr>
                <w:rFonts w:eastAsia="Calibri"/>
                <w:bCs/>
                <w:sz w:val="20"/>
                <w:szCs w:val="20"/>
                <w:lang w:eastAsia="en-US"/>
              </w:rPr>
            </w:pPr>
            <w:r w:rsidRPr="00490D3B">
              <w:rPr>
                <w:sz w:val="20"/>
                <w:szCs w:val="20"/>
              </w:rPr>
              <w:t>Riesgo</w:t>
            </w:r>
          </w:p>
        </w:tc>
        <w:tc>
          <w:tcPr>
            <w:tcW w:w="3543" w:type="dxa"/>
          </w:tcPr>
          <w:p w14:paraId="10B56067" w14:textId="69E78F83" w:rsidR="00C071CE" w:rsidRPr="00490D3B" w:rsidRDefault="00C071CE" w:rsidP="00C071CE">
            <w:pPr>
              <w:pStyle w:val="Normal0"/>
              <w:rPr>
                <w:rFonts w:eastAsia="Calibri"/>
                <w:bCs/>
                <w:sz w:val="20"/>
                <w:szCs w:val="20"/>
                <w:lang w:eastAsia="en-US"/>
              </w:rPr>
            </w:pPr>
            <w:r w:rsidRPr="00490D3B">
              <w:rPr>
                <w:sz w:val="20"/>
                <w:szCs w:val="20"/>
              </w:rPr>
              <w:t>Se presentan variaciones en las condiciones inicialmente consideradas.</w:t>
            </w:r>
          </w:p>
        </w:tc>
        <w:tc>
          <w:tcPr>
            <w:tcW w:w="3730" w:type="dxa"/>
          </w:tcPr>
          <w:p w14:paraId="19401A59" w14:textId="7379850E" w:rsidR="00C071CE" w:rsidRPr="00490D3B" w:rsidRDefault="00C071CE" w:rsidP="00C071CE">
            <w:pPr>
              <w:pStyle w:val="Normal0"/>
              <w:rPr>
                <w:rFonts w:eastAsia="Calibri"/>
                <w:bCs/>
                <w:sz w:val="20"/>
                <w:szCs w:val="20"/>
                <w:lang w:eastAsia="en-US"/>
              </w:rPr>
            </w:pPr>
            <w:r w:rsidRPr="00490D3B">
              <w:rPr>
                <w:sz w:val="20"/>
                <w:szCs w:val="20"/>
              </w:rPr>
              <w:t>Necesidad de revisar las proyecciones y medidas de gestión.</w:t>
            </w:r>
          </w:p>
        </w:tc>
      </w:tr>
    </w:tbl>
    <w:p w14:paraId="38E053A1" w14:textId="10F518A4" w:rsidR="00C071CE" w:rsidRPr="00490D3B" w:rsidRDefault="00C071CE" w:rsidP="000F5F8B">
      <w:pPr>
        <w:pStyle w:val="Normal0"/>
        <w:rPr>
          <w:rFonts w:eastAsia="Calibri"/>
          <w:bCs/>
          <w:sz w:val="20"/>
          <w:szCs w:val="20"/>
          <w:lang w:eastAsia="en-US"/>
        </w:rPr>
      </w:pPr>
    </w:p>
    <w:p w14:paraId="25BEF431" w14:textId="76410D38" w:rsidR="00C071CE" w:rsidRPr="00490D3B" w:rsidRDefault="00C071CE" w:rsidP="000F5F8B">
      <w:pPr>
        <w:pStyle w:val="Normal0"/>
        <w:rPr>
          <w:rFonts w:eastAsia="Calibri"/>
          <w:bCs/>
          <w:sz w:val="20"/>
          <w:szCs w:val="20"/>
          <w:lang w:eastAsia="en-US"/>
        </w:rPr>
      </w:pPr>
      <w:r w:rsidRPr="00490D3B">
        <w:rPr>
          <w:rFonts w:eastAsia="Calibri"/>
          <w:bCs/>
          <w:sz w:val="20"/>
          <w:szCs w:val="20"/>
          <w:lang w:eastAsia="en-US"/>
        </w:rPr>
        <w:t>El análisis de los hallazgos constituye la base para formular acciones de mejora, establecer responsables y realizar seguimiento a las situaciones identificadas. De esta manera, los resultados de la evaluación pueden utilizarse para fortalecer la planificación y mantener actualizada la nota técnica.</w:t>
      </w:r>
    </w:p>
    <w:p w14:paraId="16A82AB9" w14:textId="77777777" w:rsidR="00C071CE" w:rsidRPr="00490D3B" w:rsidRDefault="00C071CE" w:rsidP="000F5F8B">
      <w:pPr>
        <w:pStyle w:val="Normal0"/>
        <w:rPr>
          <w:rFonts w:eastAsia="Calibri"/>
          <w:bCs/>
          <w:sz w:val="20"/>
          <w:szCs w:val="20"/>
          <w:lang w:eastAsia="en-US"/>
        </w:rPr>
      </w:pPr>
    </w:p>
    <w:p w14:paraId="48380DB3" w14:textId="22F76527" w:rsidR="00D743F1" w:rsidRPr="00490D3B" w:rsidRDefault="00D743F1" w:rsidP="00D743F1">
      <w:pPr>
        <w:pStyle w:val="Normal0"/>
        <w:numPr>
          <w:ilvl w:val="1"/>
          <w:numId w:val="30"/>
        </w:numPr>
        <w:rPr>
          <w:rFonts w:eastAsia="Calibri"/>
          <w:b/>
          <w:bCs/>
          <w:sz w:val="20"/>
          <w:szCs w:val="20"/>
          <w:lang w:eastAsia="en-US"/>
        </w:rPr>
      </w:pPr>
      <w:r w:rsidRPr="00490D3B">
        <w:rPr>
          <w:rFonts w:eastAsia="Calibri"/>
          <w:b/>
          <w:bCs/>
          <w:sz w:val="20"/>
          <w:szCs w:val="20"/>
          <w:lang w:eastAsia="en-US"/>
        </w:rPr>
        <w:t>Formulación de acciones de mejora</w:t>
      </w:r>
    </w:p>
    <w:p w14:paraId="07F05D2B" w14:textId="2B32DF7D" w:rsidR="00B10020" w:rsidRPr="00490D3B" w:rsidRDefault="00B10020" w:rsidP="00B10020">
      <w:pPr>
        <w:pStyle w:val="Normal0"/>
        <w:rPr>
          <w:rFonts w:eastAsia="Calibri"/>
          <w:bCs/>
          <w:sz w:val="20"/>
          <w:szCs w:val="20"/>
          <w:lang w:eastAsia="en-US"/>
        </w:rPr>
      </w:pPr>
    </w:p>
    <w:p w14:paraId="5BE57278" w14:textId="77777777" w:rsidR="00B10020" w:rsidRPr="00490D3B" w:rsidRDefault="00B10020" w:rsidP="00B10020">
      <w:pPr>
        <w:pStyle w:val="Normal0"/>
        <w:rPr>
          <w:rFonts w:eastAsia="Calibri"/>
          <w:bCs/>
          <w:sz w:val="20"/>
          <w:szCs w:val="20"/>
          <w:lang w:eastAsia="en-US"/>
        </w:rPr>
      </w:pPr>
      <w:r w:rsidRPr="00490D3B">
        <w:rPr>
          <w:rFonts w:eastAsia="Calibri"/>
          <w:bCs/>
          <w:sz w:val="20"/>
          <w:szCs w:val="20"/>
          <w:lang w:eastAsia="en-US"/>
        </w:rPr>
        <w:t>La formulación de acciones de mejora permite establecer las medidas necesarias para atender los hallazgos identificados durante la evaluación y el seguimiento de la nota técnica. Estas acciones deben orientarse a corregir las situaciones encontradas, prevenir su recurrencia y fortalecer los procesos relacionados con la planeación y ejecución de los servicios y tecnologías en salud.</w:t>
      </w:r>
    </w:p>
    <w:p w14:paraId="0C6545E1" w14:textId="77777777" w:rsidR="00B10020" w:rsidRPr="00490D3B" w:rsidRDefault="00B10020" w:rsidP="00B10020">
      <w:pPr>
        <w:pStyle w:val="Normal0"/>
        <w:rPr>
          <w:rFonts w:eastAsia="Calibri"/>
          <w:bCs/>
          <w:sz w:val="20"/>
          <w:szCs w:val="20"/>
          <w:lang w:eastAsia="en-US"/>
        </w:rPr>
      </w:pPr>
    </w:p>
    <w:p w14:paraId="24368BE0" w14:textId="77777777" w:rsidR="00B10020" w:rsidRPr="00490D3B" w:rsidRDefault="00B10020" w:rsidP="00B10020">
      <w:pPr>
        <w:pStyle w:val="Normal0"/>
        <w:rPr>
          <w:rFonts w:eastAsia="Calibri"/>
          <w:bCs/>
          <w:sz w:val="20"/>
          <w:szCs w:val="20"/>
          <w:lang w:eastAsia="en-US"/>
        </w:rPr>
      </w:pPr>
      <w:r w:rsidRPr="00490D3B">
        <w:rPr>
          <w:rFonts w:eastAsia="Calibri"/>
          <w:bCs/>
          <w:sz w:val="20"/>
          <w:szCs w:val="20"/>
          <w:lang w:eastAsia="en-US"/>
        </w:rPr>
        <w:t>Para formular una acción de mejora es necesario establecer con claridad:</w:t>
      </w:r>
    </w:p>
    <w:p w14:paraId="5BA0E09F" w14:textId="77777777" w:rsidR="00B10020" w:rsidRPr="00490D3B" w:rsidRDefault="00B10020" w:rsidP="00B10020">
      <w:pPr>
        <w:pStyle w:val="Normal0"/>
        <w:rPr>
          <w:rFonts w:eastAsia="Calibri"/>
          <w:bCs/>
          <w:sz w:val="20"/>
          <w:szCs w:val="20"/>
          <w:lang w:eastAsia="en-US"/>
        </w:rPr>
      </w:pPr>
    </w:p>
    <w:p w14:paraId="6913E6C2" w14:textId="480E85E4" w:rsidR="00B10020" w:rsidRPr="00490D3B" w:rsidRDefault="00B10020" w:rsidP="00B10020">
      <w:pPr>
        <w:pStyle w:val="Normal0"/>
        <w:rPr>
          <w:rFonts w:eastAsia="Calibri"/>
          <w:bCs/>
          <w:sz w:val="20"/>
          <w:szCs w:val="20"/>
          <w:lang w:eastAsia="en-US"/>
        </w:rPr>
      </w:pPr>
      <w:r w:rsidRPr="00490D3B">
        <w:rPr>
          <w:rFonts w:eastAsia="Calibri"/>
          <w:bCs/>
          <w:noProof/>
          <w:sz w:val="20"/>
          <w:szCs w:val="20"/>
          <w:lang w:val="en-US" w:eastAsia="en-US"/>
        </w:rPr>
        <w:drawing>
          <wp:inline distT="0" distB="0" distL="0" distR="0" wp14:anchorId="4D084738" wp14:editId="414E1AE4">
            <wp:extent cx="6400800" cy="2809875"/>
            <wp:effectExtent l="0" t="0" r="0" b="9525"/>
            <wp:docPr id="10" name="Diagrama 10"/>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54" r:lo="rId55" r:qs="rId56" r:cs="rId57"/>
              </a:graphicData>
            </a:graphic>
          </wp:inline>
        </w:drawing>
      </w:r>
    </w:p>
    <w:p w14:paraId="080D55CA" w14:textId="77777777" w:rsidR="00B10020" w:rsidRPr="00490D3B" w:rsidRDefault="00B10020" w:rsidP="00B10020">
      <w:pPr>
        <w:pStyle w:val="Normal0"/>
        <w:rPr>
          <w:rFonts w:eastAsia="Calibri"/>
          <w:bCs/>
          <w:sz w:val="20"/>
          <w:szCs w:val="20"/>
          <w:lang w:eastAsia="en-US"/>
        </w:rPr>
      </w:pPr>
    </w:p>
    <w:p w14:paraId="3B8892E5" w14:textId="77777777" w:rsidR="00B10020" w:rsidRPr="00490D3B" w:rsidRDefault="00B10020" w:rsidP="00B10020">
      <w:pPr>
        <w:pStyle w:val="Normal0"/>
        <w:rPr>
          <w:rFonts w:eastAsia="Calibri"/>
          <w:bCs/>
          <w:sz w:val="20"/>
          <w:szCs w:val="20"/>
          <w:lang w:eastAsia="en-US"/>
        </w:rPr>
      </w:pPr>
      <w:r w:rsidRPr="00490D3B">
        <w:rPr>
          <w:rFonts w:eastAsia="Calibri"/>
          <w:bCs/>
          <w:sz w:val="20"/>
          <w:szCs w:val="20"/>
          <w:lang w:eastAsia="en-US"/>
        </w:rPr>
        <w:lastRenderedPageBreak/>
        <w:t>Por ejemplo, si durante la evaluación se identifica que la frecuencia observada de un servicio presenta una diferencia significativa frente a la proyectada, una acción de mejora puede consistir en revisar la información histórica, analizar las causas de la variación y actualizar la proyección cuando corresponda.</w:t>
      </w:r>
    </w:p>
    <w:p w14:paraId="01781CAF" w14:textId="77777777" w:rsidR="00B10020" w:rsidRPr="00490D3B" w:rsidRDefault="00B10020" w:rsidP="00B10020">
      <w:pPr>
        <w:pStyle w:val="Normal0"/>
        <w:rPr>
          <w:rFonts w:eastAsia="Calibri"/>
          <w:bCs/>
          <w:sz w:val="20"/>
          <w:szCs w:val="20"/>
          <w:lang w:eastAsia="en-US"/>
        </w:rPr>
      </w:pPr>
    </w:p>
    <w:p w14:paraId="77F10F9B" w14:textId="77777777" w:rsidR="00B10020" w:rsidRPr="00490D3B" w:rsidRDefault="00B10020" w:rsidP="00B10020">
      <w:pPr>
        <w:pStyle w:val="Normal0"/>
        <w:rPr>
          <w:rFonts w:eastAsia="Calibri"/>
          <w:bCs/>
          <w:sz w:val="20"/>
          <w:szCs w:val="20"/>
          <w:lang w:eastAsia="en-US"/>
        </w:rPr>
      </w:pPr>
      <w:r w:rsidRPr="00490D3B">
        <w:rPr>
          <w:rFonts w:eastAsia="Calibri"/>
          <w:bCs/>
          <w:sz w:val="20"/>
          <w:szCs w:val="20"/>
          <w:lang w:eastAsia="en-US"/>
        </w:rPr>
        <w:t>Las acciones formuladas deben guardar relación directa con los hallazgos y contar con los soportes que permitan comprobar su ejecución. El seguimiento de estas acciones facilita determinar si las medidas implementadas permitieron atender la situación identificada y si es necesario establecer nuevas acciones.</w:t>
      </w:r>
    </w:p>
    <w:p w14:paraId="75F0A9B0" w14:textId="77777777" w:rsidR="00B10020" w:rsidRPr="00490D3B" w:rsidRDefault="00B10020" w:rsidP="00B10020">
      <w:pPr>
        <w:pStyle w:val="Normal0"/>
        <w:rPr>
          <w:rFonts w:eastAsia="Calibri"/>
          <w:bCs/>
          <w:sz w:val="20"/>
          <w:szCs w:val="20"/>
          <w:lang w:eastAsia="en-US"/>
        </w:rPr>
      </w:pPr>
    </w:p>
    <w:p w14:paraId="59B47FF9" w14:textId="2CAABE66" w:rsidR="00B10020" w:rsidRPr="00490D3B" w:rsidRDefault="00B10020" w:rsidP="00B10020">
      <w:pPr>
        <w:pStyle w:val="Normal0"/>
        <w:rPr>
          <w:rFonts w:eastAsia="Calibri"/>
          <w:bCs/>
          <w:sz w:val="20"/>
          <w:szCs w:val="20"/>
          <w:lang w:eastAsia="en-US"/>
        </w:rPr>
      </w:pPr>
      <w:r w:rsidRPr="00490D3B">
        <w:rPr>
          <w:rFonts w:eastAsia="Calibri"/>
          <w:bCs/>
          <w:sz w:val="20"/>
          <w:szCs w:val="20"/>
          <w:lang w:eastAsia="en-US"/>
        </w:rPr>
        <w:t>Como herramienta de organización, puede utilizarse una matriz de plan de mejoramiento:</w:t>
      </w:r>
    </w:p>
    <w:p w14:paraId="5FA9528C" w14:textId="7DD0B33A" w:rsidR="00B10020" w:rsidRPr="00490D3B" w:rsidRDefault="00B10020" w:rsidP="00B10020">
      <w:pPr>
        <w:pStyle w:val="Normal0"/>
        <w:rPr>
          <w:rFonts w:eastAsia="Calibri"/>
          <w:bCs/>
          <w:sz w:val="20"/>
          <w:szCs w:val="20"/>
          <w:lang w:eastAsia="en-US"/>
        </w:rPr>
      </w:pPr>
    </w:p>
    <w:p w14:paraId="4A78A743" w14:textId="2A758BD9" w:rsidR="00B10020" w:rsidRPr="00490D3B" w:rsidRDefault="00B10020" w:rsidP="00B10020">
      <w:pPr>
        <w:pStyle w:val="Normal0"/>
        <w:rPr>
          <w:rFonts w:eastAsia="Calibri"/>
          <w:bCs/>
          <w:sz w:val="20"/>
          <w:szCs w:val="20"/>
          <w:lang w:eastAsia="en-US"/>
        </w:rPr>
      </w:pPr>
      <w:r w:rsidRPr="00490D3B">
        <w:rPr>
          <w:rFonts w:eastAsia="Calibri"/>
          <w:b/>
          <w:bCs/>
          <w:sz w:val="20"/>
          <w:szCs w:val="20"/>
          <w:lang w:eastAsia="en-US"/>
        </w:rPr>
        <w:t>Tabla 8.</w:t>
      </w:r>
      <w:r w:rsidRPr="00490D3B">
        <w:rPr>
          <w:rFonts w:eastAsia="Calibri"/>
          <w:bCs/>
          <w:sz w:val="20"/>
          <w:szCs w:val="20"/>
          <w:lang w:eastAsia="en-US"/>
        </w:rPr>
        <w:t xml:space="preserve"> Plan de acciones de mejora de la nota técnica</w:t>
      </w:r>
    </w:p>
    <w:tbl>
      <w:tblPr>
        <w:tblStyle w:val="Tablaconcuadrcula"/>
        <w:tblW w:w="0" w:type="auto"/>
        <w:tblInd w:w="0" w:type="dxa"/>
        <w:tblLook w:val="04A0" w:firstRow="1" w:lastRow="0" w:firstColumn="1" w:lastColumn="0" w:noHBand="0" w:noVBand="1"/>
      </w:tblPr>
      <w:tblGrid>
        <w:gridCol w:w="1660"/>
        <w:gridCol w:w="1660"/>
        <w:gridCol w:w="1660"/>
        <w:gridCol w:w="1660"/>
        <w:gridCol w:w="1661"/>
        <w:gridCol w:w="1661"/>
      </w:tblGrid>
      <w:tr w:rsidR="00B10020" w:rsidRPr="002D7616" w14:paraId="2C363EFB" w14:textId="77777777" w:rsidTr="00B10020">
        <w:tc>
          <w:tcPr>
            <w:tcW w:w="1660" w:type="dxa"/>
          </w:tcPr>
          <w:p w14:paraId="4F4EC225" w14:textId="58834BB0" w:rsidR="00B10020" w:rsidRPr="002D7616" w:rsidRDefault="00B10020" w:rsidP="00B10020">
            <w:pPr>
              <w:pStyle w:val="Normal0"/>
              <w:rPr>
                <w:rFonts w:eastAsia="Calibri"/>
                <w:b/>
                <w:bCs/>
                <w:sz w:val="20"/>
                <w:szCs w:val="20"/>
                <w:lang w:eastAsia="en-US"/>
              </w:rPr>
            </w:pPr>
            <w:r w:rsidRPr="002D7616">
              <w:rPr>
                <w:b/>
                <w:sz w:val="20"/>
                <w:szCs w:val="20"/>
              </w:rPr>
              <w:t>Hallazgo</w:t>
            </w:r>
          </w:p>
        </w:tc>
        <w:tc>
          <w:tcPr>
            <w:tcW w:w="1660" w:type="dxa"/>
          </w:tcPr>
          <w:p w14:paraId="1B7AE0A2" w14:textId="3FFB7C60" w:rsidR="00B10020" w:rsidRPr="002D7616" w:rsidRDefault="00B10020" w:rsidP="00B10020">
            <w:pPr>
              <w:pStyle w:val="Normal0"/>
              <w:rPr>
                <w:rFonts w:eastAsia="Calibri"/>
                <w:b/>
                <w:bCs/>
                <w:sz w:val="20"/>
                <w:szCs w:val="20"/>
                <w:lang w:eastAsia="en-US"/>
              </w:rPr>
            </w:pPr>
            <w:r w:rsidRPr="002D7616">
              <w:rPr>
                <w:b/>
                <w:sz w:val="20"/>
                <w:szCs w:val="20"/>
              </w:rPr>
              <w:t>Acción de mejora</w:t>
            </w:r>
          </w:p>
        </w:tc>
        <w:tc>
          <w:tcPr>
            <w:tcW w:w="1660" w:type="dxa"/>
          </w:tcPr>
          <w:p w14:paraId="54085C80" w14:textId="2DDF35C2" w:rsidR="00B10020" w:rsidRPr="002D7616" w:rsidRDefault="00B10020" w:rsidP="00B10020">
            <w:pPr>
              <w:pStyle w:val="Normal0"/>
              <w:rPr>
                <w:rFonts w:eastAsia="Calibri"/>
                <w:b/>
                <w:bCs/>
                <w:sz w:val="20"/>
                <w:szCs w:val="20"/>
                <w:lang w:eastAsia="en-US"/>
              </w:rPr>
            </w:pPr>
            <w:r w:rsidRPr="002D7616">
              <w:rPr>
                <w:b/>
                <w:sz w:val="20"/>
                <w:szCs w:val="20"/>
              </w:rPr>
              <w:t>Responsable</w:t>
            </w:r>
          </w:p>
        </w:tc>
        <w:tc>
          <w:tcPr>
            <w:tcW w:w="1660" w:type="dxa"/>
          </w:tcPr>
          <w:p w14:paraId="5FD1766F" w14:textId="671E26DF" w:rsidR="00B10020" w:rsidRPr="002D7616" w:rsidRDefault="00B10020" w:rsidP="00B10020">
            <w:pPr>
              <w:pStyle w:val="Normal0"/>
              <w:rPr>
                <w:rFonts w:eastAsia="Calibri"/>
                <w:b/>
                <w:bCs/>
                <w:sz w:val="20"/>
                <w:szCs w:val="20"/>
                <w:lang w:eastAsia="en-US"/>
              </w:rPr>
            </w:pPr>
            <w:r w:rsidRPr="002D7616">
              <w:rPr>
                <w:b/>
                <w:sz w:val="20"/>
                <w:szCs w:val="20"/>
              </w:rPr>
              <w:t>Plazo</w:t>
            </w:r>
          </w:p>
        </w:tc>
        <w:tc>
          <w:tcPr>
            <w:tcW w:w="1661" w:type="dxa"/>
          </w:tcPr>
          <w:p w14:paraId="01B97BA9" w14:textId="0AC61939" w:rsidR="00B10020" w:rsidRPr="002D7616" w:rsidRDefault="00B10020" w:rsidP="00B10020">
            <w:pPr>
              <w:pStyle w:val="Normal0"/>
              <w:rPr>
                <w:rFonts w:eastAsia="Calibri"/>
                <w:b/>
                <w:bCs/>
                <w:sz w:val="20"/>
                <w:szCs w:val="20"/>
                <w:lang w:eastAsia="en-US"/>
              </w:rPr>
            </w:pPr>
            <w:r w:rsidRPr="002D7616">
              <w:rPr>
                <w:b/>
                <w:sz w:val="20"/>
                <w:szCs w:val="20"/>
              </w:rPr>
              <w:t>Resultado esperado</w:t>
            </w:r>
          </w:p>
        </w:tc>
        <w:tc>
          <w:tcPr>
            <w:tcW w:w="1661" w:type="dxa"/>
          </w:tcPr>
          <w:p w14:paraId="43C9B51F" w14:textId="6CC25BDF" w:rsidR="00B10020" w:rsidRPr="002D7616" w:rsidRDefault="00B10020" w:rsidP="00B10020">
            <w:pPr>
              <w:pStyle w:val="Normal0"/>
              <w:rPr>
                <w:rFonts w:eastAsia="Calibri"/>
                <w:b/>
                <w:bCs/>
                <w:sz w:val="20"/>
                <w:szCs w:val="20"/>
                <w:lang w:eastAsia="en-US"/>
              </w:rPr>
            </w:pPr>
            <w:r w:rsidRPr="002D7616">
              <w:rPr>
                <w:b/>
                <w:sz w:val="20"/>
                <w:szCs w:val="20"/>
              </w:rPr>
              <w:t>Estado</w:t>
            </w:r>
          </w:p>
        </w:tc>
      </w:tr>
      <w:tr w:rsidR="00B10020" w:rsidRPr="002D7616" w14:paraId="2322C31D" w14:textId="77777777" w:rsidTr="00B10020">
        <w:tc>
          <w:tcPr>
            <w:tcW w:w="1660" w:type="dxa"/>
          </w:tcPr>
          <w:p w14:paraId="381AF010" w14:textId="5CF463BA" w:rsidR="00B10020" w:rsidRPr="002D7616" w:rsidRDefault="00B10020" w:rsidP="00B10020">
            <w:pPr>
              <w:pStyle w:val="Normal0"/>
              <w:rPr>
                <w:rFonts w:eastAsia="Calibri"/>
                <w:bCs/>
                <w:sz w:val="20"/>
                <w:szCs w:val="20"/>
                <w:lang w:eastAsia="en-US"/>
              </w:rPr>
            </w:pPr>
            <w:r w:rsidRPr="002D7616">
              <w:rPr>
                <w:sz w:val="20"/>
                <w:szCs w:val="20"/>
              </w:rPr>
              <w:t>Frecuencia de uso superior a la proyectada</w:t>
            </w:r>
            <w:r w:rsidR="000931BC" w:rsidRPr="002D7616">
              <w:rPr>
                <w:sz w:val="20"/>
                <w:szCs w:val="20"/>
              </w:rPr>
              <w:t>.</w:t>
            </w:r>
          </w:p>
        </w:tc>
        <w:tc>
          <w:tcPr>
            <w:tcW w:w="1660" w:type="dxa"/>
          </w:tcPr>
          <w:p w14:paraId="7C785739" w14:textId="49F7A215" w:rsidR="00B10020" w:rsidRPr="002D7616" w:rsidRDefault="00B10020" w:rsidP="00B10020">
            <w:pPr>
              <w:pStyle w:val="Normal0"/>
              <w:rPr>
                <w:rFonts w:eastAsia="Calibri"/>
                <w:bCs/>
                <w:sz w:val="20"/>
                <w:szCs w:val="20"/>
                <w:lang w:eastAsia="en-US"/>
              </w:rPr>
            </w:pPr>
            <w:r w:rsidRPr="002D7616">
              <w:rPr>
                <w:sz w:val="20"/>
                <w:szCs w:val="20"/>
              </w:rPr>
              <w:t>Analizar las causas de la variación y revisar la proyección</w:t>
            </w:r>
            <w:r w:rsidR="000931BC" w:rsidRPr="002D7616">
              <w:rPr>
                <w:sz w:val="20"/>
                <w:szCs w:val="20"/>
              </w:rPr>
              <w:t>.</w:t>
            </w:r>
          </w:p>
        </w:tc>
        <w:tc>
          <w:tcPr>
            <w:tcW w:w="1660" w:type="dxa"/>
          </w:tcPr>
          <w:p w14:paraId="2FB71580" w14:textId="094CAADC" w:rsidR="00B10020" w:rsidRPr="002D7616" w:rsidRDefault="00B10020" w:rsidP="00B10020">
            <w:pPr>
              <w:pStyle w:val="Normal0"/>
              <w:rPr>
                <w:rFonts w:eastAsia="Calibri"/>
                <w:bCs/>
                <w:sz w:val="20"/>
                <w:szCs w:val="20"/>
                <w:lang w:eastAsia="en-US"/>
              </w:rPr>
            </w:pPr>
            <w:r w:rsidRPr="002D7616">
              <w:rPr>
                <w:sz w:val="20"/>
                <w:szCs w:val="20"/>
              </w:rPr>
              <w:t>Área responsable</w:t>
            </w:r>
          </w:p>
        </w:tc>
        <w:tc>
          <w:tcPr>
            <w:tcW w:w="1660" w:type="dxa"/>
          </w:tcPr>
          <w:p w14:paraId="1DC0A9A4" w14:textId="5D436B86" w:rsidR="00B10020" w:rsidRPr="002D7616" w:rsidRDefault="00B10020" w:rsidP="00B10020">
            <w:pPr>
              <w:pStyle w:val="Normal0"/>
              <w:rPr>
                <w:rFonts w:eastAsia="Calibri"/>
                <w:bCs/>
                <w:sz w:val="20"/>
                <w:szCs w:val="20"/>
                <w:lang w:eastAsia="en-US"/>
              </w:rPr>
            </w:pPr>
            <w:r w:rsidRPr="002D7616">
              <w:rPr>
                <w:sz w:val="20"/>
                <w:szCs w:val="20"/>
              </w:rPr>
              <w:t>Fecha definida</w:t>
            </w:r>
          </w:p>
        </w:tc>
        <w:tc>
          <w:tcPr>
            <w:tcW w:w="1661" w:type="dxa"/>
          </w:tcPr>
          <w:p w14:paraId="0338BFC4" w14:textId="16E15EF6" w:rsidR="00B10020" w:rsidRPr="002D7616" w:rsidRDefault="00B10020" w:rsidP="00B10020">
            <w:pPr>
              <w:pStyle w:val="Normal0"/>
              <w:rPr>
                <w:rFonts w:eastAsia="Calibri"/>
                <w:bCs/>
                <w:sz w:val="20"/>
                <w:szCs w:val="20"/>
                <w:lang w:eastAsia="en-US"/>
              </w:rPr>
            </w:pPr>
            <w:r w:rsidRPr="002D7616">
              <w:rPr>
                <w:sz w:val="20"/>
                <w:szCs w:val="20"/>
              </w:rPr>
              <w:t>Proyección ajustada y sustentada</w:t>
            </w:r>
            <w:r w:rsidR="000931BC" w:rsidRPr="002D7616">
              <w:rPr>
                <w:sz w:val="20"/>
                <w:szCs w:val="20"/>
              </w:rPr>
              <w:t>.</w:t>
            </w:r>
          </w:p>
        </w:tc>
        <w:tc>
          <w:tcPr>
            <w:tcW w:w="1661" w:type="dxa"/>
          </w:tcPr>
          <w:p w14:paraId="332164BF" w14:textId="2FC368B2" w:rsidR="00B10020" w:rsidRPr="002D7616" w:rsidRDefault="00B10020" w:rsidP="00B10020">
            <w:pPr>
              <w:pStyle w:val="Normal0"/>
              <w:rPr>
                <w:rFonts w:eastAsia="Calibri"/>
                <w:bCs/>
                <w:sz w:val="20"/>
                <w:szCs w:val="20"/>
                <w:lang w:eastAsia="en-US"/>
              </w:rPr>
            </w:pPr>
            <w:r w:rsidRPr="002D7616">
              <w:rPr>
                <w:sz w:val="20"/>
                <w:szCs w:val="20"/>
              </w:rPr>
              <w:t>En proceso</w:t>
            </w:r>
          </w:p>
        </w:tc>
      </w:tr>
      <w:tr w:rsidR="00B10020" w:rsidRPr="002D7616" w14:paraId="64C3E7C7" w14:textId="77777777" w:rsidTr="00B10020">
        <w:tc>
          <w:tcPr>
            <w:tcW w:w="1660" w:type="dxa"/>
          </w:tcPr>
          <w:p w14:paraId="07A40435" w14:textId="26A2ADF0" w:rsidR="00B10020" w:rsidRPr="002D7616" w:rsidRDefault="00B10020" w:rsidP="00B10020">
            <w:pPr>
              <w:pStyle w:val="Normal0"/>
              <w:rPr>
                <w:rFonts w:eastAsia="Calibri"/>
                <w:bCs/>
                <w:sz w:val="20"/>
                <w:szCs w:val="20"/>
                <w:lang w:eastAsia="en-US"/>
              </w:rPr>
            </w:pPr>
            <w:r w:rsidRPr="002D7616">
              <w:rPr>
                <w:sz w:val="20"/>
                <w:szCs w:val="20"/>
              </w:rPr>
              <w:t>Diferencia en una tarifa utilizada</w:t>
            </w:r>
            <w:r w:rsidR="000931BC" w:rsidRPr="002D7616">
              <w:rPr>
                <w:sz w:val="20"/>
                <w:szCs w:val="20"/>
              </w:rPr>
              <w:t>.</w:t>
            </w:r>
          </w:p>
        </w:tc>
        <w:tc>
          <w:tcPr>
            <w:tcW w:w="1660" w:type="dxa"/>
          </w:tcPr>
          <w:p w14:paraId="3A422279" w14:textId="3C11EDED" w:rsidR="00B10020" w:rsidRPr="002D7616" w:rsidRDefault="00B10020" w:rsidP="00B10020">
            <w:pPr>
              <w:pStyle w:val="Normal0"/>
              <w:rPr>
                <w:rFonts w:eastAsia="Calibri"/>
                <w:bCs/>
                <w:sz w:val="20"/>
                <w:szCs w:val="20"/>
                <w:lang w:eastAsia="en-US"/>
              </w:rPr>
            </w:pPr>
            <w:r w:rsidRPr="002D7616">
              <w:rPr>
                <w:sz w:val="20"/>
                <w:szCs w:val="20"/>
              </w:rPr>
              <w:t>Verificar la fuente tarifaria y actualizar el valor cuando corresponda</w:t>
            </w:r>
            <w:r w:rsidR="000931BC" w:rsidRPr="002D7616">
              <w:rPr>
                <w:sz w:val="20"/>
                <w:szCs w:val="20"/>
              </w:rPr>
              <w:t>.</w:t>
            </w:r>
          </w:p>
        </w:tc>
        <w:tc>
          <w:tcPr>
            <w:tcW w:w="1660" w:type="dxa"/>
          </w:tcPr>
          <w:p w14:paraId="16313ECC" w14:textId="68769BEC" w:rsidR="00B10020" w:rsidRPr="002D7616" w:rsidRDefault="00B10020" w:rsidP="00B10020">
            <w:pPr>
              <w:pStyle w:val="Normal0"/>
              <w:rPr>
                <w:rFonts w:eastAsia="Calibri"/>
                <w:bCs/>
                <w:sz w:val="20"/>
                <w:szCs w:val="20"/>
                <w:lang w:eastAsia="en-US"/>
              </w:rPr>
            </w:pPr>
            <w:r w:rsidRPr="002D7616">
              <w:rPr>
                <w:sz w:val="20"/>
                <w:szCs w:val="20"/>
              </w:rPr>
              <w:t>Área responsable</w:t>
            </w:r>
          </w:p>
        </w:tc>
        <w:tc>
          <w:tcPr>
            <w:tcW w:w="1660" w:type="dxa"/>
          </w:tcPr>
          <w:p w14:paraId="7A42CC7B" w14:textId="29489317" w:rsidR="00B10020" w:rsidRPr="002D7616" w:rsidRDefault="00B10020" w:rsidP="00B10020">
            <w:pPr>
              <w:pStyle w:val="Normal0"/>
              <w:rPr>
                <w:rFonts w:eastAsia="Calibri"/>
                <w:bCs/>
                <w:sz w:val="20"/>
                <w:szCs w:val="20"/>
                <w:lang w:eastAsia="en-US"/>
              </w:rPr>
            </w:pPr>
            <w:r w:rsidRPr="002D7616">
              <w:rPr>
                <w:sz w:val="20"/>
                <w:szCs w:val="20"/>
              </w:rPr>
              <w:t>Fecha definida</w:t>
            </w:r>
          </w:p>
        </w:tc>
        <w:tc>
          <w:tcPr>
            <w:tcW w:w="1661" w:type="dxa"/>
          </w:tcPr>
          <w:p w14:paraId="6FAB899C" w14:textId="5F04D03E" w:rsidR="00B10020" w:rsidRPr="002D7616" w:rsidRDefault="00B10020" w:rsidP="00B10020">
            <w:pPr>
              <w:pStyle w:val="Normal0"/>
              <w:rPr>
                <w:rFonts w:eastAsia="Calibri"/>
                <w:bCs/>
                <w:sz w:val="20"/>
                <w:szCs w:val="20"/>
                <w:lang w:eastAsia="en-US"/>
              </w:rPr>
            </w:pPr>
            <w:r w:rsidRPr="002D7616">
              <w:rPr>
                <w:sz w:val="20"/>
                <w:szCs w:val="20"/>
              </w:rPr>
              <w:t>Valor actualizado y soportado</w:t>
            </w:r>
            <w:r w:rsidR="000931BC" w:rsidRPr="002D7616">
              <w:rPr>
                <w:sz w:val="20"/>
                <w:szCs w:val="20"/>
              </w:rPr>
              <w:t>.</w:t>
            </w:r>
          </w:p>
        </w:tc>
        <w:tc>
          <w:tcPr>
            <w:tcW w:w="1661" w:type="dxa"/>
          </w:tcPr>
          <w:p w14:paraId="22CB1A7D" w14:textId="01BCD109" w:rsidR="00B10020" w:rsidRPr="002D7616" w:rsidRDefault="00B10020" w:rsidP="00B10020">
            <w:pPr>
              <w:pStyle w:val="Normal0"/>
              <w:rPr>
                <w:rFonts w:eastAsia="Calibri"/>
                <w:bCs/>
                <w:sz w:val="20"/>
                <w:szCs w:val="20"/>
                <w:lang w:eastAsia="en-US"/>
              </w:rPr>
            </w:pPr>
            <w:r w:rsidRPr="002D7616">
              <w:rPr>
                <w:sz w:val="20"/>
                <w:szCs w:val="20"/>
              </w:rPr>
              <w:t>Pendiente</w:t>
            </w:r>
          </w:p>
        </w:tc>
      </w:tr>
    </w:tbl>
    <w:p w14:paraId="7A82D49A" w14:textId="082310CF" w:rsidR="00B10020" w:rsidRPr="00490D3B" w:rsidRDefault="00B10020" w:rsidP="00B10020">
      <w:pPr>
        <w:pStyle w:val="Normal0"/>
        <w:rPr>
          <w:rFonts w:eastAsia="Calibri"/>
          <w:bCs/>
          <w:sz w:val="20"/>
          <w:szCs w:val="20"/>
          <w:lang w:eastAsia="en-US"/>
        </w:rPr>
      </w:pPr>
    </w:p>
    <w:p w14:paraId="4448883A" w14:textId="7C88FE73" w:rsidR="00B10020" w:rsidRPr="00490D3B" w:rsidRDefault="000931BC" w:rsidP="00B10020">
      <w:pPr>
        <w:pStyle w:val="Normal0"/>
        <w:rPr>
          <w:rFonts w:eastAsia="Calibri"/>
          <w:bCs/>
          <w:sz w:val="20"/>
          <w:szCs w:val="20"/>
          <w:lang w:eastAsia="en-US"/>
        </w:rPr>
      </w:pPr>
      <w:r w:rsidRPr="00490D3B">
        <w:rPr>
          <w:rFonts w:eastAsia="Calibri"/>
          <w:bCs/>
          <w:sz w:val="20"/>
          <w:szCs w:val="20"/>
          <w:lang w:eastAsia="en-US"/>
        </w:rPr>
        <w:t>La formulación y seguimiento de las acciones de mejora permiten convertir los resultados de la evaluación en medidas concretas y contribuyen a mantener la coherencia, trazabilidad y actualización de la nota técnica.</w:t>
      </w:r>
    </w:p>
    <w:p w14:paraId="2E967432" w14:textId="77777777" w:rsidR="000931BC" w:rsidRPr="00490D3B" w:rsidRDefault="000931BC" w:rsidP="00B10020">
      <w:pPr>
        <w:pStyle w:val="Normal0"/>
        <w:rPr>
          <w:rFonts w:eastAsia="Calibri"/>
          <w:bCs/>
          <w:sz w:val="20"/>
          <w:szCs w:val="20"/>
          <w:lang w:eastAsia="en-US"/>
        </w:rPr>
      </w:pPr>
    </w:p>
    <w:p w14:paraId="29726412" w14:textId="2F248338" w:rsidR="00D743F1" w:rsidRPr="00490D3B" w:rsidRDefault="00D743F1" w:rsidP="00D743F1">
      <w:pPr>
        <w:pStyle w:val="Normal0"/>
        <w:numPr>
          <w:ilvl w:val="1"/>
          <w:numId w:val="30"/>
        </w:numPr>
        <w:rPr>
          <w:rFonts w:eastAsia="Calibri"/>
          <w:b/>
          <w:bCs/>
          <w:sz w:val="20"/>
          <w:szCs w:val="20"/>
          <w:lang w:eastAsia="en-US"/>
        </w:rPr>
      </w:pPr>
      <w:r w:rsidRPr="00490D3B">
        <w:rPr>
          <w:rFonts w:eastAsia="Calibri"/>
          <w:b/>
          <w:bCs/>
          <w:sz w:val="20"/>
          <w:szCs w:val="20"/>
          <w:lang w:eastAsia="en-US"/>
        </w:rPr>
        <w:t>Seguimiento al plan de mejoramiento</w:t>
      </w:r>
    </w:p>
    <w:p w14:paraId="26CAD6AF" w14:textId="4E9ABB29" w:rsidR="007106E2" w:rsidRPr="00490D3B" w:rsidRDefault="007106E2" w:rsidP="007106E2">
      <w:pPr>
        <w:pStyle w:val="Normal0"/>
        <w:rPr>
          <w:rFonts w:eastAsia="Calibri"/>
          <w:bCs/>
          <w:sz w:val="20"/>
          <w:szCs w:val="20"/>
          <w:lang w:eastAsia="en-US"/>
        </w:rPr>
      </w:pPr>
    </w:p>
    <w:p w14:paraId="47A57783" w14:textId="77777777" w:rsidR="007106E2" w:rsidRPr="00490D3B" w:rsidRDefault="007106E2" w:rsidP="007106E2">
      <w:pPr>
        <w:pStyle w:val="Normal0"/>
        <w:rPr>
          <w:rFonts w:eastAsia="Calibri"/>
          <w:bCs/>
          <w:sz w:val="20"/>
          <w:szCs w:val="20"/>
          <w:lang w:eastAsia="en-US"/>
        </w:rPr>
      </w:pPr>
      <w:r w:rsidRPr="00490D3B">
        <w:rPr>
          <w:rFonts w:eastAsia="Calibri"/>
          <w:bCs/>
          <w:sz w:val="20"/>
          <w:szCs w:val="20"/>
          <w:lang w:eastAsia="en-US"/>
        </w:rPr>
        <w:t>El seguimiento al plan de mejoramiento permite comprobar el avance de las acciones formuladas para atender los hallazgos identificados durante la evaluación de la nota técnica. Para ello, se revisa el cumplimiento de las actividades, los resultados obtenidos y las fechas establecidas, con el propósito de determinar si las acciones implementadas permiten atender las situaciones identificadas.</w:t>
      </w:r>
    </w:p>
    <w:p w14:paraId="31E6ACEA" w14:textId="77777777" w:rsidR="007106E2" w:rsidRPr="00490D3B" w:rsidRDefault="007106E2" w:rsidP="007106E2">
      <w:pPr>
        <w:pStyle w:val="Normal0"/>
        <w:rPr>
          <w:rFonts w:eastAsia="Calibri"/>
          <w:bCs/>
          <w:sz w:val="20"/>
          <w:szCs w:val="20"/>
          <w:lang w:eastAsia="en-US"/>
        </w:rPr>
      </w:pPr>
    </w:p>
    <w:p w14:paraId="79845C0E" w14:textId="77777777" w:rsidR="007106E2" w:rsidRPr="00490D3B" w:rsidRDefault="007106E2" w:rsidP="007106E2">
      <w:pPr>
        <w:pStyle w:val="Normal0"/>
        <w:rPr>
          <w:rFonts w:eastAsia="Calibri"/>
          <w:bCs/>
          <w:sz w:val="20"/>
          <w:szCs w:val="20"/>
          <w:lang w:eastAsia="en-US"/>
        </w:rPr>
      </w:pPr>
      <w:r w:rsidRPr="00490D3B">
        <w:rPr>
          <w:rFonts w:eastAsia="Calibri"/>
          <w:bCs/>
          <w:sz w:val="20"/>
          <w:szCs w:val="20"/>
          <w:lang w:eastAsia="en-US"/>
        </w:rPr>
        <w:t>Cada acción debe contar con un responsable, un plazo de ejecución y un resultado esperado. El seguimiento puede realizarse mediante cortes periódicos, de acuerdo con la naturaleza de la acción y las condiciones del acuerdo de voluntades. Cuando una acción no se cumple dentro del plazo establecido, debe analizarse la causa y determinarse si requiere una nueva fecha, una acción complementaria o una modificación de la estrategia.</w:t>
      </w:r>
    </w:p>
    <w:p w14:paraId="65CC7720" w14:textId="77777777" w:rsidR="007106E2" w:rsidRPr="00490D3B" w:rsidRDefault="007106E2" w:rsidP="007106E2">
      <w:pPr>
        <w:pStyle w:val="Normal0"/>
        <w:rPr>
          <w:rFonts w:eastAsia="Calibri"/>
          <w:bCs/>
          <w:sz w:val="20"/>
          <w:szCs w:val="20"/>
          <w:lang w:eastAsia="en-US"/>
        </w:rPr>
      </w:pPr>
    </w:p>
    <w:p w14:paraId="7002F225" w14:textId="77777777" w:rsidR="007106E2" w:rsidRPr="00490D3B" w:rsidRDefault="007106E2" w:rsidP="007106E2">
      <w:pPr>
        <w:pStyle w:val="Normal0"/>
        <w:rPr>
          <w:rFonts w:eastAsia="Calibri"/>
          <w:bCs/>
          <w:sz w:val="20"/>
          <w:szCs w:val="20"/>
          <w:lang w:eastAsia="en-US"/>
        </w:rPr>
      </w:pPr>
      <w:r w:rsidRPr="00490D3B">
        <w:rPr>
          <w:rFonts w:eastAsia="Calibri"/>
          <w:bCs/>
          <w:sz w:val="20"/>
          <w:szCs w:val="20"/>
          <w:lang w:eastAsia="en-US"/>
        </w:rPr>
        <w:t>Para facilitar este proceso, se puede utilizar una matriz de seguimiento:</w:t>
      </w:r>
    </w:p>
    <w:p w14:paraId="46B8CD65" w14:textId="4818952B" w:rsidR="009B5CEB" w:rsidRPr="00490D3B" w:rsidRDefault="009B5CEB" w:rsidP="007106E2">
      <w:pPr>
        <w:pStyle w:val="Normal0"/>
        <w:rPr>
          <w:rFonts w:eastAsia="Calibri"/>
          <w:bCs/>
          <w:sz w:val="20"/>
          <w:szCs w:val="20"/>
          <w:lang w:eastAsia="en-US"/>
        </w:rPr>
      </w:pPr>
    </w:p>
    <w:p w14:paraId="210AE797" w14:textId="5C8143A7" w:rsidR="007106E2" w:rsidRPr="00490D3B" w:rsidRDefault="007106E2" w:rsidP="007106E2">
      <w:pPr>
        <w:pStyle w:val="Normal0"/>
        <w:rPr>
          <w:rFonts w:eastAsia="Calibri"/>
          <w:bCs/>
          <w:sz w:val="20"/>
          <w:szCs w:val="20"/>
          <w:lang w:eastAsia="en-US"/>
        </w:rPr>
      </w:pPr>
      <w:r w:rsidRPr="00490D3B">
        <w:rPr>
          <w:rFonts w:eastAsia="Calibri"/>
          <w:b/>
          <w:bCs/>
          <w:sz w:val="20"/>
          <w:szCs w:val="20"/>
          <w:lang w:eastAsia="en-US"/>
        </w:rPr>
        <w:t>Tabla 9.</w:t>
      </w:r>
      <w:r w:rsidRPr="00490D3B">
        <w:rPr>
          <w:rFonts w:eastAsia="Calibri"/>
          <w:bCs/>
          <w:sz w:val="20"/>
          <w:szCs w:val="20"/>
          <w:lang w:eastAsia="en-US"/>
        </w:rPr>
        <w:t xml:space="preserve"> Seguimiento al plan de mejoramiento de la nota técnica</w:t>
      </w:r>
    </w:p>
    <w:tbl>
      <w:tblPr>
        <w:tblStyle w:val="Tablaconcuadrcula"/>
        <w:tblW w:w="0" w:type="auto"/>
        <w:tblInd w:w="0" w:type="dxa"/>
        <w:tblLook w:val="04A0" w:firstRow="1" w:lastRow="0" w:firstColumn="1" w:lastColumn="0" w:noHBand="0" w:noVBand="1"/>
      </w:tblPr>
      <w:tblGrid>
        <w:gridCol w:w="1660"/>
        <w:gridCol w:w="1879"/>
        <w:gridCol w:w="1441"/>
        <w:gridCol w:w="1660"/>
        <w:gridCol w:w="1661"/>
        <w:gridCol w:w="1661"/>
      </w:tblGrid>
      <w:tr w:rsidR="007106E2" w:rsidRPr="00490D3B" w14:paraId="53A55155" w14:textId="77777777" w:rsidTr="007106E2">
        <w:tc>
          <w:tcPr>
            <w:tcW w:w="1660" w:type="dxa"/>
          </w:tcPr>
          <w:p w14:paraId="62D805C6" w14:textId="31CBF2E6" w:rsidR="007106E2" w:rsidRPr="00490D3B" w:rsidRDefault="007106E2" w:rsidP="007106E2">
            <w:pPr>
              <w:pStyle w:val="Normal0"/>
              <w:rPr>
                <w:rFonts w:eastAsia="Calibri"/>
                <w:b/>
                <w:bCs/>
                <w:sz w:val="20"/>
                <w:szCs w:val="20"/>
                <w:lang w:eastAsia="en-US"/>
              </w:rPr>
            </w:pPr>
            <w:r w:rsidRPr="00490D3B">
              <w:rPr>
                <w:b/>
                <w:sz w:val="20"/>
                <w:szCs w:val="20"/>
              </w:rPr>
              <w:t>Acción de mejora</w:t>
            </w:r>
          </w:p>
        </w:tc>
        <w:tc>
          <w:tcPr>
            <w:tcW w:w="1879" w:type="dxa"/>
          </w:tcPr>
          <w:p w14:paraId="146271E5" w14:textId="78323300" w:rsidR="007106E2" w:rsidRPr="00490D3B" w:rsidRDefault="007106E2" w:rsidP="007106E2">
            <w:pPr>
              <w:pStyle w:val="Normal0"/>
              <w:rPr>
                <w:rFonts w:eastAsia="Calibri"/>
                <w:b/>
                <w:bCs/>
                <w:sz w:val="20"/>
                <w:szCs w:val="20"/>
                <w:lang w:eastAsia="en-US"/>
              </w:rPr>
            </w:pPr>
            <w:r w:rsidRPr="00490D3B">
              <w:rPr>
                <w:b/>
                <w:sz w:val="20"/>
                <w:szCs w:val="20"/>
              </w:rPr>
              <w:t>Meta o resultado esperado</w:t>
            </w:r>
          </w:p>
        </w:tc>
        <w:tc>
          <w:tcPr>
            <w:tcW w:w="1441" w:type="dxa"/>
          </w:tcPr>
          <w:p w14:paraId="1FB8266D" w14:textId="38DB71D9" w:rsidR="007106E2" w:rsidRPr="00490D3B" w:rsidRDefault="007106E2" w:rsidP="007106E2">
            <w:pPr>
              <w:pStyle w:val="Normal0"/>
              <w:rPr>
                <w:rFonts w:eastAsia="Calibri"/>
                <w:b/>
                <w:bCs/>
                <w:sz w:val="20"/>
                <w:szCs w:val="20"/>
                <w:lang w:eastAsia="en-US"/>
              </w:rPr>
            </w:pPr>
            <w:r w:rsidRPr="00490D3B">
              <w:rPr>
                <w:b/>
                <w:sz w:val="20"/>
                <w:szCs w:val="20"/>
              </w:rPr>
              <w:t>Plazo</w:t>
            </w:r>
          </w:p>
        </w:tc>
        <w:tc>
          <w:tcPr>
            <w:tcW w:w="1660" w:type="dxa"/>
          </w:tcPr>
          <w:p w14:paraId="76A6DAF7" w14:textId="55AB6C92" w:rsidR="007106E2" w:rsidRPr="00490D3B" w:rsidRDefault="007106E2" w:rsidP="007106E2">
            <w:pPr>
              <w:pStyle w:val="Normal0"/>
              <w:rPr>
                <w:rFonts w:eastAsia="Calibri"/>
                <w:b/>
                <w:bCs/>
                <w:sz w:val="20"/>
                <w:szCs w:val="20"/>
                <w:lang w:eastAsia="en-US"/>
              </w:rPr>
            </w:pPr>
            <w:r w:rsidRPr="00490D3B">
              <w:rPr>
                <w:b/>
                <w:sz w:val="20"/>
                <w:szCs w:val="20"/>
              </w:rPr>
              <w:t>Resultado alcanzado</w:t>
            </w:r>
          </w:p>
        </w:tc>
        <w:tc>
          <w:tcPr>
            <w:tcW w:w="1661" w:type="dxa"/>
          </w:tcPr>
          <w:p w14:paraId="7A2B3ED9" w14:textId="2C70F59B" w:rsidR="007106E2" w:rsidRPr="00490D3B" w:rsidRDefault="007106E2" w:rsidP="007106E2">
            <w:pPr>
              <w:pStyle w:val="Normal0"/>
              <w:rPr>
                <w:rFonts w:eastAsia="Calibri"/>
                <w:b/>
                <w:bCs/>
                <w:sz w:val="20"/>
                <w:szCs w:val="20"/>
                <w:lang w:eastAsia="en-US"/>
              </w:rPr>
            </w:pPr>
            <w:r w:rsidRPr="00490D3B">
              <w:rPr>
                <w:b/>
                <w:sz w:val="20"/>
                <w:szCs w:val="20"/>
              </w:rPr>
              <w:t>Porcentaje de cumplimiento</w:t>
            </w:r>
          </w:p>
        </w:tc>
        <w:tc>
          <w:tcPr>
            <w:tcW w:w="1661" w:type="dxa"/>
          </w:tcPr>
          <w:p w14:paraId="6816F441" w14:textId="048B099D" w:rsidR="007106E2" w:rsidRPr="00490D3B" w:rsidRDefault="007106E2" w:rsidP="007106E2">
            <w:pPr>
              <w:pStyle w:val="Normal0"/>
              <w:rPr>
                <w:rFonts w:eastAsia="Calibri"/>
                <w:b/>
                <w:bCs/>
                <w:sz w:val="20"/>
                <w:szCs w:val="20"/>
                <w:lang w:eastAsia="en-US"/>
              </w:rPr>
            </w:pPr>
            <w:r w:rsidRPr="00490D3B">
              <w:rPr>
                <w:b/>
                <w:sz w:val="20"/>
                <w:szCs w:val="20"/>
              </w:rPr>
              <w:t>Estado</w:t>
            </w:r>
          </w:p>
        </w:tc>
      </w:tr>
      <w:tr w:rsidR="007106E2" w:rsidRPr="00490D3B" w14:paraId="1FBDD736" w14:textId="77777777" w:rsidTr="007106E2">
        <w:tc>
          <w:tcPr>
            <w:tcW w:w="1660" w:type="dxa"/>
          </w:tcPr>
          <w:p w14:paraId="082DFD0E" w14:textId="752AF021" w:rsidR="007106E2" w:rsidRPr="00490D3B" w:rsidRDefault="007106E2" w:rsidP="007106E2">
            <w:pPr>
              <w:pStyle w:val="Normal0"/>
              <w:rPr>
                <w:rFonts w:eastAsia="Calibri"/>
                <w:bCs/>
                <w:sz w:val="20"/>
                <w:szCs w:val="20"/>
                <w:lang w:eastAsia="en-US"/>
              </w:rPr>
            </w:pPr>
            <w:r w:rsidRPr="00490D3B">
              <w:rPr>
                <w:sz w:val="20"/>
                <w:szCs w:val="20"/>
              </w:rPr>
              <w:t xml:space="preserve">Revisar las frecuencias de uso de los </w:t>
            </w:r>
            <w:r w:rsidRPr="00490D3B">
              <w:rPr>
                <w:sz w:val="20"/>
                <w:szCs w:val="20"/>
              </w:rPr>
              <w:lastRenderedPageBreak/>
              <w:t>servicios con mayor desviación.</w:t>
            </w:r>
          </w:p>
        </w:tc>
        <w:tc>
          <w:tcPr>
            <w:tcW w:w="1879" w:type="dxa"/>
          </w:tcPr>
          <w:p w14:paraId="6751A706" w14:textId="20A70598" w:rsidR="007106E2" w:rsidRPr="00490D3B" w:rsidRDefault="007106E2" w:rsidP="007106E2">
            <w:pPr>
              <w:pStyle w:val="Normal0"/>
              <w:rPr>
                <w:rFonts w:eastAsia="Calibri"/>
                <w:bCs/>
                <w:sz w:val="20"/>
                <w:szCs w:val="20"/>
                <w:lang w:eastAsia="en-US"/>
              </w:rPr>
            </w:pPr>
            <w:r w:rsidRPr="00490D3B">
              <w:rPr>
                <w:sz w:val="20"/>
                <w:szCs w:val="20"/>
              </w:rPr>
              <w:lastRenderedPageBreak/>
              <w:t>Frecuencias revisadas y sustentadas.</w:t>
            </w:r>
          </w:p>
        </w:tc>
        <w:tc>
          <w:tcPr>
            <w:tcW w:w="1441" w:type="dxa"/>
          </w:tcPr>
          <w:p w14:paraId="42818013" w14:textId="4FD4161E" w:rsidR="007106E2" w:rsidRPr="00490D3B" w:rsidRDefault="007106E2" w:rsidP="007106E2">
            <w:pPr>
              <w:pStyle w:val="Normal0"/>
              <w:rPr>
                <w:rFonts w:eastAsia="Calibri"/>
                <w:bCs/>
                <w:sz w:val="20"/>
                <w:szCs w:val="20"/>
                <w:lang w:eastAsia="en-US"/>
              </w:rPr>
            </w:pPr>
            <w:r w:rsidRPr="00490D3B">
              <w:rPr>
                <w:sz w:val="20"/>
                <w:szCs w:val="20"/>
              </w:rPr>
              <w:t>30 días</w:t>
            </w:r>
          </w:p>
        </w:tc>
        <w:tc>
          <w:tcPr>
            <w:tcW w:w="1660" w:type="dxa"/>
          </w:tcPr>
          <w:p w14:paraId="7D1B2C25" w14:textId="428E4DCB" w:rsidR="007106E2" w:rsidRPr="00490D3B" w:rsidRDefault="007106E2" w:rsidP="007106E2">
            <w:pPr>
              <w:pStyle w:val="Normal0"/>
              <w:rPr>
                <w:rFonts w:eastAsia="Calibri"/>
                <w:bCs/>
                <w:sz w:val="20"/>
                <w:szCs w:val="20"/>
                <w:lang w:eastAsia="en-US"/>
              </w:rPr>
            </w:pPr>
            <w:r w:rsidRPr="00490D3B">
              <w:rPr>
                <w:sz w:val="20"/>
                <w:szCs w:val="20"/>
              </w:rPr>
              <w:t>Frecuencias actualizadas.</w:t>
            </w:r>
          </w:p>
        </w:tc>
        <w:tc>
          <w:tcPr>
            <w:tcW w:w="1661" w:type="dxa"/>
          </w:tcPr>
          <w:p w14:paraId="16798014" w14:textId="2DF63198" w:rsidR="007106E2" w:rsidRPr="00490D3B" w:rsidRDefault="007106E2" w:rsidP="007106E2">
            <w:pPr>
              <w:pStyle w:val="Normal0"/>
              <w:rPr>
                <w:rFonts w:eastAsia="Calibri"/>
                <w:bCs/>
                <w:sz w:val="20"/>
                <w:szCs w:val="20"/>
                <w:lang w:eastAsia="en-US"/>
              </w:rPr>
            </w:pPr>
            <w:r w:rsidRPr="00490D3B">
              <w:rPr>
                <w:sz w:val="20"/>
                <w:szCs w:val="20"/>
              </w:rPr>
              <w:t>100 %</w:t>
            </w:r>
          </w:p>
        </w:tc>
        <w:tc>
          <w:tcPr>
            <w:tcW w:w="1661" w:type="dxa"/>
          </w:tcPr>
          <w:p w14:paraId="4E3343D3" w14:textId="58D9612B" w:rsidR="007106E2" w:rsidRPr="00490D3B" w:rsidRDefault="007106E2" w:rsidP="007106E2">
            <w:pPr>
              <w:pStyle w:val="Normal0"/>
              <w:rPr>
                <w:rFonts w:eastAsia="Calibri"/>
                <w:bCs/>
                <w:sz w:val="20"/>
                <w:szCs w:val="20"/>
                <w:lang w:eastAsia="en-US"/>
              </w:rPr>
            </w:pPr>
            <w:r w:rsidRPr="00490D3B">
              <w:rPr>
                <w:sz w:val="20"/>
                <w:szCs w:val="20"/>
              </w:rPr>
              <w:t>Cumplida</w:t>
            </w:r>
          </w:p>
        </w:tc>
      </w:tr>
      <w:tr w:rsidR="007106E2" w:rsidRPr="00490D3B" w14:paraId="04657B9B" w14:textId="77777777" w:rsidTr="007106E2">
        <w:tc>
          <w:tcPr>
            <w:tcW w:w="1660" w:type="dxa"/>
          </w:tcPr>
          <w:p w14:paraId="50F5F920" w14:textId="0B4B06EC" w:rsidR="007106E2" w:rsidRPr="00490D3B" w:rsidRDefault="007106E2" w:rsidP="007106E2">
            <w:pPr>
              <w:pStyle w:val="Normal0"/>
              <w:rPr>
                <w:rFonts w:eastAsia="Calibri"/>
                <w:bCs/>
                <w:sz w:val="20"/>
                <w:szCs w:val="20"/>
                <w:lang w:eastAsia="en-US"/>
              </w:rPr>
            </w:pPr>
            <w:r w:rsidRPr="00490D3B">
              <w:rPr>
                <w:sz w:val="20"/>
                <w:szCs w:val="20"/>
              </w:rPr>
              <w:lastRenderedPageBreak/>
              <w:t>Verificar las tarifas utilizadas en la proyección.</w:t>
            </w:r>
          </w:p>
        </w:tc>
        <w:tc>
          <w:tcPr>
            <w:tcW w:w="1879" w:type="dxa"/>
          </w:tcPr>
          <w:p w14:paraId="0763178C" w14:textId="79828EA3" w:rsidR="007106E2" w:rsidRPr="00490D3B" w:rsidRDefault="007106E2" w:rsidP="007106E2">
            <w:pPr>
              <w:pStyle w:val="Normal0"/>
              <w:rPr>
                <w:rFonts w:eastAsia="Calibri"/>
                <w:bCs/>
                <w:sz w:val="20"/>
                <w:szCs w:val="20"/>
                <w:lang w:eastAsia="en-US"/>
              </w:rPr>
            </w:pPr>
            <w:r w:rsidRPr="00490D3B">
              <w:rPr>
                <w:sz w:val="20"/>
                <w:szCs w:val="20"/>
              </w:rPr>
              <w:t>Tarifas verificadas y soportadas.</w:t>
            </w:r>
          </w:p>
        </w:tc>
        <w:tc>
          <w:tcPr>
            <w:tcW w:w="1441" w:type="dxa"/>
          </w:tcPr>
          <w:p w14:paraId="7F8AFDF1" w14:textId="237F3705" w:rsidR="007106E2" w:rsidRPr="00490D3B" w:rsidRDefault="007106E2" w:rsidP="007106E2">
            <w:pPr>
              <w:pStyle w:val="Normal0"/>
              <w:rPr>
                <w:rFonts w:eastAsia="Calibri"/>
                <w:bCs/>
                <w:sz w:val="20"/>
                <w:szCs w:val="20"/>
                <w:lang w:eastAsia="en-US"/>
              </w:rPr>
            </w:pPr>
            <w:r w:rsidRPr="00490D3B">
              <w:rPr>
                <w:sz w:val="20"/>
                <w:szCs w:val="20"/>
              </w:rPr>
              <w:t>15 días</w:t>
            </w:r>
          </w:p>
        </w:tc>
        <w:tc>
          <w:tcPr>
            <w:tcW w:w="1660" w:type="dxa"/>
          </w:tcPr>
          <w:p w14:paraId="123D0D93" w14:textId="684B39B6" w:rsidR="007106E2" w:rsidRPr="00490D3B" w:rsidRDefault="007106E2" w:rsidP="007106E2">
            <w:pPr>
              <w:pStyle w:val="Normal0"/>
              <w:rPr>
                <w:rFonts w:eastAsia="Calibri"/>
                <w:bCs/>
                <w:sz w:val="20"/>
                <w:szCs w:val="20"/>
                <w:lang w:eastAsia="en-US"/>
              </w:rPr>
            </w:pPr>
            <w:r w:rsidRPr="00490D3B">
              <w:rPr>
                <w:sz w:val="20"/>
                <w:szCs w:val="20"/>
              </w:rPr>
              <w:t>En proceso de revisión.</w:t>
            </w:r>
          </w:p>
        </w:tc>
        <w:tc>
          <w:tcPr>
            <w:tcW w:w="1661" w:type="dxa"/>
          </w:tcPr>
          <w:p w14:paraId="4B3E802A" w14:textId="43F6E8FC" w:rsidR="007106E2" w:rsidRPr="00490D3B" w:rsidRDefault="007106E2" w:rsidP="007106E2">
            <w:pPr>
              <w:pStyle w:val="Normal0"/>
              <w:rPr>
                <w:rFonts w:eastAsia="Calibri"/>
                <w:bCs/>
                <w:sz w:val="20"/>
                <w:szCs w:val="20"/>
                <w:lang w:eastAsia="en-US"/>
              </w:rPr>
            </w:pPr>
            <w:r w:rsidRPr="00490D3B">
              <w:rPr>
                <w:sz w:val="20"/>
                <w:szCs w:val="20"/>
              </w:rPr>
              <w:t>60 %</w:t>
            </w:r>
          </w:p>
        </w:tc>
        <w:tc>
          <w:tcPr>
            <w:tcW w:w="1661" w:type="dxa"/>
          </w:tcPr>
          <w:p w14:paraId="37C7BB34" w14:textId="7254DD24" w:rsidR="007106E2" w:rsidRPr="00490D3B" w:rsidRDefault="007106E2" w:rsidP="007106E2">
            <w:pPr>
              <w:pStyle w:val="Normal0"/>
              <w:rPr>
                <w:rFonts w:eastAsia="Calibri"/>
                <w:bCs/>
                <w:sz w:val="20"/>
                <w:szCs w:val="20"/>
                <w:lang w:eastAsia="en-US"/>
              </w:rPr>
            </w:pPr>
            <w:r w:rsidRPr="00490D3B">
              <w:rPr>
                <w:sz w:val="20"/>
                <w:szCs w:val="20"/>
              </w:rPr>
              <w:t>En proceso</w:t>
            </w:r>
          </w:p>
        </w:tc>
      </w:tr>
      <w:tr w:rsidR="007106E2" w:rsidRPr="00490D3B" w14:paraId="7C3D1FE9" w14:textId="77777777" w:rsidTr="007106E2">
        <w:tc>
          <w:tcPr>
            <w:tcW w:w="1660" w:type="dxa"/>
          </w:tcPr>
          <w:p w14:paraId="4443A840" w14:textId="5855329F" w:rsidR="007106E2" w:rsidRPr="00490D3B" w:rsidRDefault="007106E2" w:rsidP="007106E2">
            <w:pPr>
              <w:pStyle w:val="Normal0"/>
              <w:rPr>
                <w:rFonts w:eastAsia="Calibri"/>
                <w:bCs/>
                <w:sz w:val="20"/>
                <w:szCs w:val="20"/>
                <w:lang w:eastAsia="en-US"/>
              </w:rPr>
            </w:pPr>
            <w:r w:rsidRPr="00490D3B">
              <w:rPr>
                <w:sz w:val="20"/>
                <w:szCs w:val="20"/>
              </w:rPr>
              <w:t>Actualizar la proyección de servicios.</w:t>
            </w:r>
          </w:p>
        </w:tc>
        <w:tc>
          <w:tcPr>
            <w:tcW w:w="1879" w:type="dxa"/>
          </w:tcPr>
          <w:p w14:paraId="729A68E7" w14:textId="5783E204" w:rsidR="007106E2" w:rsidRPr="00490D3B" w:rsidRDefault="007106E2" w:rsidP="007106E2">
            <w:pPr>
              <w:pStyle w:val="Normal0"/>
              <w:rPr>
                <w:rFonts w:eastAsia="Calibri"/>
                <w:bCs/>
                <w:sz w:val="20"/>
                <w:szCs w:val="20"/>
                <w:lang w:eastAsia="en-US"/>
              </w:rPr>
            </w:pPr>
            <w:r w:rsidRPr="00490D3B">
              <w:rPr>
                <w:sz w:val="20"/>
                <w:szCs w:val="20"/>
              </w:rPr>
              <w:t>Proyección ajustada con información actualizada.</w:t>
            </w:r>
          </w:p>
        </w:tc>
        <w:tc>
          <w:tcPr>
            <w:tcW w:w="1441" w:type="dxa"/>
          </w:tcPr>
          <w:p w14:paraId="28B754F7" w14:textId="2ED9983B" w:rsidR="007106E2" w:rsidRPr="00490D3B" w:rsidRDefault="007106E2" w:rsidP="007106E2">
            <w:pPr>
              <w:pStyle w:val="Normal0"/>
              <w:rPr>
                <w:rFonts w:eastAsia="Calibri"/>
                <w:bCs/>
                <w:sz w:val="20"/>
                <w:szCs w:val="20"/>
                <w:lang w:eastAsia="en-US"/>
              </w:rPr>
            </w:pPr>
            <w:r w:rsidRPr="00490D3B">
              <w:rPr>
                <w:sz w:val="20"/>
                <w:szCs w:val="20"/>
              </w:rPr>
              <w:t>45 días</w:t>
            </w:r>
          </w:p>
        </w:tc>
        <w:tc>
          <w:tcPr>
            <w:tcW w:w="1660" w:type="dxa"/>
          </w:tcPr>
          <w:p w14:paraId="1C4342B4" w14:textId="28F1FA92" w:rsidR="007106E2" w:rsidRPr="00490D3B" w:rsidRDefault="007106E2" w:rsidP="007106E2">
            <w:pPr>
              <w:pStyle w:val="Normal0"/>
              <w:rPr>
                <w:rFonts w:eastAsia="Calibri"/>
                <w:bCs/>
                <w:sz w:val="20"/>
                <w:szCs w:val="20"/>
                <w:lang w:eastAsia="en-US"/>
              </w:rPr>
            </w:pPr>
            <w:r w:rsidRPr="00490D3B">
              <w:rPr>
                <w:sz w:val="20"/>
                <w:szCs w:val="20"/>
              </w:rPr>
              <w:t>Pendiente de actualización.</w:t>
            </w:r>
          </w:p>
        </w:tc>
        <w:tc>
          <w:tcPr>
            <w:tcW w:w="1661" w:type="dxa"/>
          </w:tcPr>
          <w:p w14:paraId="5B62A4FE" w14:textId="7EC805B0" w:rsidR="007106E2" w:rsidRPr="00490D3B" w:rsidRDefault="007106E2" w:rsidP="007106E2">
            <w:pPr>
              <w:pStyle w:val="Normal0"/>
              <w:rPr>
                <w:rFonts w:eastAsia="Calibri"/>
                <w:bCs/>
                <w:sz w:val="20"/>
                <w:szCs w:val="20"/>
                <w:lang w:eastAsia="en-US"/>
              </w:rPr>
            </w:pPr>
            <w:r w:rsidRPr="00490D3B">
              <w:rPr>
                <w:sz w:val="20"/>
                <w:szCs w:val="20"/>
              </w:rPr>
              <w:t>0 %</w:t>
            </w:r>
          </w:p>
        </w:tc>
        <w:tc>
          <w:tcPr>
            <w:tcW w:w="1661" w:type="dxa"/>
          </w:tcPr>
          <w:p w14:paraId="7260878D" w14:textId="5A8F21DA" w:rsidR="007106E2" w:rsidRPr="00490D3B" w:rsidRDefault="007106E2" w:rsidP="007106E2">
            <w:pPr>
              <w:pStyle w:val="Normal0"/>
              <w:rPr>
                <w:rFonts w:eastAsia="Calibri"/>
                <w:bCs/>
                <w:sz w:val="20"/>
                <w:szCs w:val="20"/>
                <w:lang w:eastAsia="en-US"/>
              </w:rPr>
            </w:pPr>
            <w:r w:rsidRPr="00490D3B">
              <w:rPr>
                <w:sz w:val="20"/>
                <w:szCs w:val="20"/>
              </w:rPr>
              <w:t>Pendiente</w:t>
            </w:r>
          </w:p>
        </w:tc>
      </w:tr>
    </w:tbl>
    <w:p w14:paraId="11A31674" w14:textId="2A7FBE41" w:rsidR="007106E2" w:rsidRPr="00490D3B" w:rsidRDefault="007106E2" w:rsidP="007106E2">
      <w:pPr>
        <w:pStyle w:val="Normal0"/>
        <w:rPr>
          <w:rFonts w:eastAsia="Calibri"/>
          <w:bCs/>
          <w:sz w:val="20"/>
          <w:szCs w:val="20"/>
          <w:lang w:eastAsia="en-US"/>
        </w:rPr>
      </w:pPr>
    </w:p>
    <w:p w14:paraId="7B6BF97E" w14:textId="2300B83B" w:rsidR="00825B19" w:rsidRPr="00490D3B" w:rsidRDefault="00825B19" w:rsidP="00825B19">
      <w:pPr>
        <w:pStyle w:val="Normal0"/>
        <w:rPr>
          <w:rFonts w:eastAsia="Calibri"/>
          <w:bCs/>
          <w:sz w:val="20"/>
          <w:szCs w:val="20"/>
          <w:lang w:eastAsia="en-US"/>
        </w:rPr>
      </w:pPr>
      <w:r w:rsidRPr="00490D3B">
        <w:rPr>
          <w:rFonts w:eastAsia="Calibri"/>
          <w:bCs/>
          <w:sz w:val="20"/>
          <w:szCs w:val="20"/>
          <w:lang w:eastAsia="en-US"/>
        </w:rPr>
        <w:t>El porcentaje de cumplimiento puede calcularse cuando la acción permita cuantificar su avance. Una forma sencilla de expresarlo es:</w:t>
      </w:r>
    </w:p>
    <w:p w14:paraId="6DA87603" w14:textId="72C45556" w:rsidR="00825B19" w:rsidRPr="00490D3B" w:rsidRDefault="00825B19" w:rsidP="00825B19">
      <w:pPr>
        <w:pStyle w:val="Normal0"/>
        <w:rPr>
          <w:rFonts w:eastAsia="Calibri"/>
          <w:bCs/>
          <w:sz w:val="20"/>
          <w:szCs w:val="20"/>
          <w:lang w:eastAsia="en-US"/>
        </w:rPr>
      </w:pPr>
    </w:p>
    <w:p w14:paraId="710AB502" w14:textId="23F9B9FC" w:rsidR="00825B19" w:rsidRPr="00490D3B" w:rsidRDefault="00825B19" w:rsidP="00825B19">
      <w:pPr>
        <w:pStyle w:val="Normal0"/>
        <w:rPr>
          <w:rFonts w:eastAsia="Calibri"/>
          <w:b/>
          <w:bCs/>
          <w:sz w:val="20"/>
          <w:szCs w:val="20"/>
          <w:lang w:eastAsia="en-US"/>
        </w:rPr>
      </w:pPr>
      <m:oMathPara>
        <m:oMath>
          <m:r>
            <m:rPr>
              <m:sty m:val="b"/>
            </m:rPr>
            <w:rPr>
              <w:rFonts w:ascii="Cambria Math" w:eastAsia="Calibri" w:hAnsi="Cambria Math"/>
              <w:sz w:val="20"/>
              <w:szCs w:val="20"/>
              <w:lang w:eastAsia="en-US"/>
            </w:rPr>
            <m:t>Porcentaje de cumplimiento=</m:t>
          </m:r>
          <m:f>
            <m:fPr>
              <m:ctrlPr>
                <w:rPr>
                  <w:rFonts w:ascii="Cambria Math" w:eastAsia="Calibri" w:hAnsi="Cambria Math"/>
                  <w:b/>
                  <w:bCs/>
                  <w:sz w:val="20"/>
                  <w:szCs w:val="20"/>
                  <w:lang w:eastAsia="en-US"/>
                </w:rPr>
              </m:ctrlPr>
            </m:fPr>
            <m:num>
              <m:r>
                <m:rPr>
                  <m:sty m:val="b"/>
                </m:rPr>
                <w:rPr>
                  <w:rFonts w:ascii="Cambria Math" w:eastAsia="Calibri" w:hAnsi="Cambria Math"/>
                  <w:sz w:val="20"/>
                  <w:szCs w:val="20"/>
                  <w:lang w:eastAsia="en-US"/>
                </w:rPr>
                <m:t xml:space="preserve">Avance alcanzado </m:t>
              </m:r>
            </m:num>
            <m:den>
              <m:r>
                <m:rPr>
                  <m:sty m:val="b"/>
                </m:rPr>
                <w:rPr>
                  <w:rFonts w:ascii="Cambria Math" w:eastAsia="Calibri" w:hAnsi="Cambria Math"/>
                  <w:sz w:val="20"/>
                  <w:szCs w:val="20"/>
                  <w:lang w:eastAsia="en-US"/>
                </w:rPr>
                <m:t>Meta establecida</m:t>
              </m:r>
            </m:den>
          </m:f>
          <m:r>
            <m:rPr>
              <m:sty m:val="b"/>
            </m:rPr>
            <w:rPr>
              <w:rFonts w:ascii="Cambria Math" w:eastAsia="Calibri" w:hAnsi="Cambria Math"/>
              <w:sz w:val="20"/>
              <w:szCs w:val="20"/>
              <w:lang w:eastAsia="en-US"/>
            </w:rPr>
            <m:t xml:space="preserve"> x 100</m:t>
          </m:r>
        </m:oMath>
      </m:oMathPara>
    </w:p>
    <w:p w14:paraId="784F59AC" w14:textId="77777777" w:rsidR="00825B19" w:rsidRPr="00490D3B" w:rsidRDefault="00825B19" w:rsidP="00825B19">
      <w:pPr>
        <w:pStyle w:val="Normal0"/>
        <w:rPr>
          <w:rFonts w:eastAsia="Calibri"/>
          <w:bCs/>
          <w:sz w:val="20"/>
          <w:szCs w:val="20"/>
          <w:lang w:eastAsia="en-US"/>
        </w:rPr>
      </w:pPr>
    </w:p>
    <w:p w14:paraId="78BFCF8A" w14:textId="4645DF50" w:rsidR="00825B19" w:rsidRPr="00490D3B" w:rsidRDefault="00825B19" w:rsidP="00825B19">
      <w:pPr>
        <w:pStyle w:val="Normal0"/>
        <w:rPr>
          <w:rFonts w:eastAsia="Calibri"/>
          <w:bCs/>
          <w:sz w:val="20"/>
          <w:szCs w:val="20"/>
          <w:lang w:eastAsia="en-US"/>
        </w:rPr>
      </w:pPr>
      <w:r w:rsidRPr="00490D3B">
        <w:rPr>
          <w:rFonts w:eastAsia="Calibri"/>
          <w:bCs/>
          <w:sz w:val="20"/>
          <w:szCs w:val="20"/>
          <w:lang w:eastAsia="en-US"/>
        </w:rPr>
        <w:t>Por ejemplo, si una acción contempla la revisión de 20 servicios y se han revisado 15, el porcentaje de cumplimiento sería:</w:t>
      </w:r>
    </w:p>
    <w:p w14:paraId="0194D4BC" w14:textId="45B1ED83" w:rsidR="00825B19" w:rsidRPr="00490D3B" w:rsidRDefault="00825B19" w:rsidP="00825B19">
      <w:pPr>
        <w:pStyle w:val="Normal0"/>
        <w:rPr>
          <w:rFonts w:eastAsia="Calibri"/>
          <w:bCs/>
          <w:sz w:val="20"/>
          <w:szCs w:val="20"/>
          <w:lang w:eastAsia="en-US"/>
        </w:rPr>
      </w:pPr>
    </w:p>
    <w:p w14:paraId="55F1A3CA" w14:textId="54245E56" w:rsidR="00825B19" w:rsidRPr="00490D3B" w:rsidRDefault="000B3F8C" w:rsidP="00825B19">
      <w:pPr>
        <w:pStyle w:val="Normal0"/>
        <w:rPr>
          <w:rFonts w:eastAsia="Calibri"/>
          <w:b/>
          <w:bCs/>
          <w:sz w:val="20"/>
          <w:szCs w:val="20"/>
          <w:lang w:eastAsia="en-US"/>
        </w:rPr>
      </w:pPr>
      <m:oMathPara>
        <m:oMath>
          <m:f>
            <m:fPr>
              <m:ctrlPr>
                <w:rPr>
                  <w:rFonts w:ascii="Cambria Math" w:eastAsia="Calibri" w:hAnsi="Cambria Math"/>
                  <w:b/>
                  <w:bCs/>
                  <w:sz w:val="20"/>
                  <w:szCs w:val="20"/>
                  <w:lang w:eastAsia="en-US"/>
                </w:rPr>
              </m:ctrlPr>
            </m:fPr>
            <m:num>
              <m:r>
                <m:rPr>
                  <m:sty m:val="b"/>
                </m:rPr>
                <w:rPr>
                  <w:rFonts w:ascii="Cambria Math" w:eastAsia="Calibri" w:hAnsi="Cambria Math"/>
                  <w:sz w:val="20"/>
                  <w:szCs w:val="20"/>
                  <w:lang w:eastAsia="en-US"/>
                </w:rPr>
                <m:t xml:space="preserve">15 </m:t>
              </m:r>
            </m:num>
            <m:den>
              <m:r>
                <m:rPr>
                  <m:sty m:val="b"/>
                </m:rPr>
                <w:rPr>
                  <w:rFonts w:ascii="Cambria Math" w:eastAsia="Calibri" w:hAnsi="Cambria Math"/>
                  <w:sz w:val="20"/>
                  <w:szCs w:val="20"/>
                  <w:lang w:eastAsia="en-US"/>
                </w:rPr>
                <m:t>20</m:t>
              </m:r>
            </m:den>
          </m:f>
          <m:r>
            <m:rPr>
              <m:sty m:val="b"/>
            </m:rPr>
            <w:rPr>
              <w:rFonts w:ascii="Cambria Math" w:eastAsia="Calibri" w:hAnsi="Cambria Math"/>
              <w:sz w:val="20"/>
              <w:szCs w:val="20"/>
              <w:lang w:eastAsia="en-US"/>
            </w:rPr>
            <m:t xml:space="preserve"> x 100=75 %</m:t>
          </m:r>
        </m:oMath>
      </m:oMathPara>
    </w:p>
    <w:p w14:paraId="6814A670" w14:textId="77777777" w:rsidR="00825B19" w:rsidRPr="00490D3B" w:rsidRDefault="00825B19" w:rsidP="00825B19">
      <w:pPr>
        <w:pStyle w:val="Normal0"/>
        <w:rPr>
          <w:rFonts w:eastAsia="Calibri"/>
          <w:bCs/>
          <w:sz w:val="20"/>
          <w:szCs w:val="20"/>
          <w:lang w:eastAsia="en-US"/>
        </w:rPr>
      </w:pPr>
    </w:p>
    <w:p w14:paraId="01B28029" w14:textId="7B4213F7" w:rsidR="00825B19" w:rsidRPr="00490D3B" w:rsidRDefault="00825B19" w:rsidP="00825B19">
      <w:pPr>
        <w:pStyle w:val="Normal0"/>
        <w:rPr>
          <w:rFonts w:eastAsia="Calibri"/>
          <w:bCs/>
          <w:sz w:val="20"/>
          <w:szCs w:val="20"/>
          <w:lang w:eastAsia="en-US"/>
        </w:rPr>
      </w:pPr>
      <w:r w:rsidRPr="00490D3B">
        <w:rPr>
          <w:rFonts w:eastAsia="Calibri"/>
          <w:bCs/>
          <w:sz w:val="20"/>
          <w:szCs w:val="20"/>
          <w:lang w:eastAsia="en-US"/>
        </w:rPr>
        <w:t>Los resultados del seguimiento deben documentarse y servir como insumo para determinar si las acciones fueron eficaces o si es necesario establecer nuevas medidas. De esta manera, el plan de mejoramiento se convierte en una herramienta para corregir hallazgos, controlar los avances y fortalecer continuamente la nota técnica.</w:t>
      </w:r>
    </w:p>
    <w:p w14:paraId="595115B4" w14:textId="77777777" w:rsidR="00825B19" w:rsidRPr="00490D3B" w:rsidRDefault="00825B19" w:rsidP="007106E2">
      <w:pPr>
        <w:pStyle w:val="Normal0"/>
        <w:rPr>
          <w:rFonts w:eastAsia="Calibri"/>
          <w:bCs/>
          <w:sz w:val="20"/>
          <w:szCs w:val="20"/>
          <w:lang w:eastAsia="en-US"/>
        </w:rPr>
      </w:pPr>
    </w:p>
    <w:p w14:paraId="2475CA6D" w14:textId="77777777" w:rsidR="00D743F1" w:rsidRPr="00490D3B" w:rsidRDefault="00D743F1" w:rsidP="00D743F1">
      <w:pPr>
        <w:pStyle w:val="Normal0"/>
        <w:numPr>
          <w:ilvl w:val="1"/>
          <w:numId w:val="30"/>
        </w:numPr>
        <w:rPr>
          <w:b/>
          <w:sz w:val="20"/>
          <w:szCs w:val="20"/>
        </w:rPr>
      </w:pPr>
      <w:r w:rsidRPr="00490D3B">
        <w:rPr>
          <w:rFonts w:eastAsia="Calibri"/>
          <w:b/>
          <w:bCs/>
          <w:sz w:val="20"/>
          <w:szCs w:val="20"/>
          <w:lang w:eastAsia="en-US"/>
        </w:rPr>
        <w:t>Actualización de la nota técnica</w:t>
      </w:r>
    </w:p>
    <w:p w14:paraId="79358B22" w14:textId="59619A15" w:rsidR="00D743F1" w:rsidRPr="00490D3B" w:rsidRDefault="00D743F1" w:rsidP="00D743F1">
      <w:pPr>
        <w:pStyle w:val="Normal0"/>
        <w:rPr>
          <w:b/>
          <w:color w:val="000000"/>
          <w:sz w:val="20"/>
          <w:szCs w:val="20"/>
        </w:rPr>
      </w:pPr>
    </w:p>
    <w:p w14:paraId="2957E85B" w14:textId="77777777" w:rsidR="00BE3F1E" w:rsidRPr="00490D3B" w:rsidRDefault="00BE3F1E" w:rsidP="00BE3F1E">
      <w:pPr>
        <w:pStyle w:val="Normal0"/>
        <w:rPr>
          <w:color w:val="000000"/>
          <w:sz w:val="20"/>
          <w:szCs w:val="20"/>
        </w:rPr>
      </w:pPr>
      <w:r w:rsidRPr="00490D3B">
        <w:rPr>
          <w:color w:val="000000"/>
          <w:sz w:val="20"/>
          <w:szCs w:val="20"/>
        </w:rPr>
        <w:t>La actualización de la nota técnica consiste en incorporar los cambios que resulten necesarios a partir de los resultados del seguimiento, la evaluación y las acciones de mejora. Su propósito es mantener la información utilizada para las proyecciones acorde con las condiciones observadas durante la ejecución del acuerdo de voluntades.</w:t>
      </w:r>
    </w:p>
    <w:p w14:paraId="2C79A2F5" w14:textId="77777777" w:rsidR="00BE3F1E" w:rsidRPr="00490D3B" w:rsidRDefault="00BE3F1E" w:rsidP="00BE3F1E">
      <w:pPr>
        <w:pStyle w:val="Normal0"/>
        <w:rPr>
          <w:color w:val="000000"/>
          <w:sz w:val="20"/>
          <w:szCs w:val="20"/>
        </w:rPr>
      </w:pPr>
    </w:p>
    <w:p w14:paraId="516D57CF" w14:textId="77777777" w:rsidR="00BE3F1E" w:rsidRPr="00490D3B" w:rsidRDefault="00BE3F1E" w:rsidP="00BE3F1E">
      <w:pPr>
        <w:pStyle w:val="Normal0"/>
        <w:rPr>
          <w:color w:val="000000"/>
          <w:sz w:val="20"/>
          <w:szCs w:val="20"/>
        </w:rPr>
      </w:pPr>
      <w:r w:rsidRPr="00490D3B">
        <w:rPr>
          <w:color w:val="000000"/>
          <w:sz w:val="20"/>
          <w:szCs w:val="20"/>
        </w:rPr>
        <w:t>La actualización puede ser necesaria cuando se presentan cambios relevantes en aspectos como:</w:t>
      </w:r>
    </w:p>
    <w:p w14:paraId="6ACE92FD" w14:textId="77777777" w:rsidR="00BE3F1E" w:rsidRPr="00490D3B" w:rsidRDefault="00BE3F1E" w:rsidP="00BE3F1E">
      <w:pPr>
        <w:pStyle w:val="Normal0"/>
        <w:rPr>
          <w:color w:val="000000"/>
          <w:sz w:val="20"/>
          <w:szCs w:val="20"/>
        </w:rPr>
      </w:pPr>
    </w:p>
    <w:p w14:paraId="11E9D83E" w14:textId="77777777" w:rsidR="00BE3F1E" w:rsidRPr="00490D3B" w:rsidRDefault="00BE3F1E" w:rsidP="00BE3F1E">
      <w:pPr>
        <w:pStyle w:val="Normal0"/>
        <w:numPr>
          <w:ilvl w:val="0"/>
          <w:numId w:val="35"/>
        </w:numPr>
        <w:rPr>
          <w:color w:val="000000"/>
          <w:sz w:val="20"/>
          <w:szCs w:val="20"/>
        </w:rPr>
      </w:pPr>
      <w:r w:rsidRPr="00263873">
        <w:rPr>
          <w:b/>
          <w:color w:val="000000"/>
          <w:sz w:val="20"/>
          <w:szCs w:val="20"/>
        </w:rPr>
        <w:t>Población objeto o susceptible:</w:t>
      </w:r>
      <w:r w:rsidRPr="00490D3B">
        <w:rPr>
          <w:color w:val="000000"/>
          <w:sz w:val="20"/>
          <w:szCs w:val="20"/>
        </w:rPr>
        <w:t xml:space="preserve"> modificaciones en el número o las características de la población considerada.</w:t>
      </w:r>
    </w:p>
    <w:p w14:paraId="53197E64" w14:textId="77777777" w:rsidR="00BE3F1E" w:rsidRPr="00490D3B" w:rsidRDefault="00BE3F1E" w:rsidP="00BE3F1E">
      <w:pPr>
        <w:pStyle w:val="Normal0"/>
        <w:numPr>
          <w:ilvl w:val="0"/>
          <w:numId w:val="35"/>
        </w:numPr>
        <w:rPr>
          <w:color w:val="000000"/>
          <w:sz w:val="20"/>
          <w:szCs w:val="20"/>
        </w:rPr>
      </w:pPr>
      <w:r w:rsidRPr="00263873">
        <w:rPr>
          <w:b/>
          <w:color w:val="000000"/>
          <w:sz w:val="20"/>
          <w:szCs w:val="20"/>
        </w:rPr>
        <w:t>Servicios y tecnologías:</w:t>
      </w:r>
      <w:r w:rsidRPr="00490D3B">
        <w:rPr>
          <w:color w:val="000000"/>
          <w:sz w:val="20"/>
          <w:szCs w:val="20"/>
        </w:rPr>
        <w:t xml:space="preserve"> incorporación, modificación o retiro de servicios y tecnologías.</w:t>
      </w:r>
    </w:p>
    <w:p w14:paraId="1412A131" w14:textId="77777777" w:rsidR="00BE3F1E" w:rsidRPr="00490D3B" w:rsidRDefault="00BE3F1E" w:rsidP="00BE3F1E">
      <w:pPr>
        <w:pStyle w:val="Normal0"/>
        <w:numPr>
          <w:ilvl w:val="0"/>
          <w:numId w:val="35"/>
        </w:numPr>
        <w:rPr>
          <w:color w:val="000000"/>
          <w:sz w:val="20"/>
          <w:szCs w:val="20"/>
        </w:rPr>
      </w:pPr>
      <w:r w:rsidRPr="00263873">
        <w:rPr>
          <w:b/>
          <w:color w:val="000000"/>
          <w:sz w:val="20"/>
          <w:szCs w:val="20"/>
        </w:rPr>
        <w:t>Frecuencias de uso:</w:t>
      </w:r>
      <w:r w:rsidRPr="00490D3B">
        <w:rPr>
          <w:color w:val="000000"/>
          <w:sz w:val="20"/>
          <w:szCs w:val="20"/>
        </w:rPr>
        <w:t xml:space="preserve"> variaciones sostenidas frente a las frecuencias inicialmente proyectadas.</w:t>
      </w:r>
    </w:p>
    <w:p w14:paraId="29BE86A1" w14:textId="77777777" w:rsidR="00BE3F1E" w:rsidRPr="00490D3B" w:rsidRDefault="00BE3F1E" w:rsidP="00BE3F1E">
      <w:pPr>
        <w:pStyle w:val="Normal0"/>
        <w:numPr>
          <w:ilvl w:val="0"/>
          <w:numId w:val="35"/>
        </w:numPr>
        <w:rPr>
          <w:color w:val="000000"/>
          <w:sz w:val="20"/>
          <w:szCs w:val="20"/>
        </w:rPr>
      </w:pPr>
      <w:r w:rsidRPr="00263873">
        <w:rPr>
          <w:b/>
          <w:color w:val="000000"/>
          <w:sz w:val="20"/>
          <w:szCs w:val="20"/>
        </w:rPr>
        <w:t>Costos y tarifas:</w:t>
      </w:r>
      <w:r w:rsidRPr="00490D3B">
        <w:rPr>
          <w:color w:val="000000"/>
          <w:sz w:val="20"/>
          <w:szCs w:val="20"/>
        </w:rPr>
        <w:t xml:space="preserve"> cambios que afecten los valores utilizados para las proyecciones.</w:t>
      </w:r>
    </w:p>
    <w:p w14:paraId="0D3FA050" w14:textId="77777777" w:rsidR="00BE3F1E" w:rsidRPr="00490D3B" w:rsidRDefault="00BE3F1E" w:rsidP="00BE3F1E">
      <w:pPr>
        <w:pStyle w:val="Normal0"/>
        <w:numPr>
          <w:ilvl w:val="0"/>
          <w:numId w:val="35"/>
        </w:numPr>
        <w:rPr>
          <w:color w:val="000000"/>
          <w:sz w:val="20"/>
          <w:szCs w:val="20"/>
        </w:rPr>
      </w:pPr>
      <w:r w:rsidRPr="00263873">
        <w:rPr>
          <w:b/>
          <w:color w:val="000000"/>
          <w:sz w:val="20"/>
          <w:szCs w:val="20"/>
        </w:rPr>
        <w:t>Red de prestadores:</w:t>
      </w:r>
      <w:r w:rsidRPr="00490D3B">
        <w:rPr>
          <w:color w:val="000000"/>
          <w:sz w:val="20"/>
          <w:szCs w:val="20"/>
        </w:rPr>
        <w:t xml:space="preserve"> modificaciones que incidan en la disponibilidad o prestación de los servicios.</w:t>
      </w:r>
    </w:p>
    <w:p w14:paraId="5CF5DE06" w14:textId="77777777" w:rsidR="00BE3F1E" w:rsidRPr="00490D3B" w:rsidRDefault="00BE3F1E" w:rsidP="00BE3F1E">
      <w:pPr>
        <w:pStyle w:val="Normal0"/>
        <w:numPr>
          <w:ilvl w:val="0"/>
          <w:numId w:val="35"/>
        </w:numPr>
        <w:rPr>
          <w:color w:val="000000"/>
          <w:sz w:val="20"/>
          <w:szCs w:val="20"/>
        </w:rPr>
      </w:pPr>
      <w:r w:rsidRPr="00263873">
        <w:rPr>
          <w:b/>
          <w:color w:val="000000"/>
          <w:sz w:val="20"/>
          <w:szCs w:val="20"/>
        </w:rPr>
        <w:t>Condiciones de salud:</w:t>
      </w:r>
      <w:r w:rsidRPr="00490D3B">
        <w:rPr>
          <w:color w:val="000000"/>
          <w:sz w:val="20"/>
          <w:szCs w:val="20"/>
        </w:rPr>
        <w:t xml:space="preserve"> cambios en el comportamiento de la morbilidad que modifiquen las necesidades de atención.</w:t>
      </w:r>
    </w:p>
    <w:p w14:paraId="5F537886" w14:textId="77777777" w:rsidR="00BE3F1E" w:rsidRPr="00490D3B" w:rsidRDefault="00BE3F1E" w:rsidP="00BE3F1E">
      <w:pPr>
        <w:pStyle w:val="Normal0"/>
        <w:numPr>
          <w:ilvl w:val="0"/>
          <w:numId w:val="35"/>
        </w:numPr>
        <w:rPr>
          <w:color w:val="000000"/>
          <w:sz w:val="20"/>
          <w:szCs w:val="20"/>
        </w:rPr>
      </w:pPr>
      <w:r w:rsidRPr="00263873">
        <w:rPr>
          <w:b/>
          <w:color w:val="000000"/>
          <w:sz w:val="20"/>
          <w:szCs w:val="20"/>
        </w:rPr>
        <w:t>Riesgos:</w:t>
      </w:r>
      <w:r w:rsidRPr="00490D3B">
        <w:rPr>
          <w:color w:val="000000"/>
          <w:sz w:val="20"/>
          <w:szCs w:val="20"/>
        </w:rPr>
        <w:t xml:space="preserve"> variaciones que requieran revisar los supuestos relacionados con el riesgo primario o técnico.</w:t>
      </w:r>
    </w:p>
    <w:p w14:paraId="20439F8C" w14:textId="77777777" w:rsidR="00BE3F1E" w:rsidRPr="00490D3B" w:rsidRDefault="00BE3F1E" w:rsidP="00BE3F1E">
      <w:pPr>
        <w:pStyle w:val="Normal0"/>
        <w:rPr>
          <w:color w:val="000000"/>
          <w:sz w:val="20"/>
          <w:szCs w:val="20"/>
        </w:rPr>
      </w:pPr>
    </w:p>
    <w:p w14:paraId="5D4C82CB" w14:textId="77777777" w:rsidR="00BE3F1E" w:rsidRPr="00490D3B" w:rsidRDefault="00BE3F1E" w:rsidP="00BE3F1E">
      <w:pPr>
        <w:pStyle w:val="Normal0"/>
        <w:rPr>
          <w:color w:val="000000"/>
          <w:sz w:val="20"/>
          <w:szCs w:val="20"/>
        </w:rPr>
      </w:pPr>
      <w:r w:rsidRPr="00490D3B">
        <w:rPr>
          <w:color w:val="000000"/>
          <w:sz w:val="20"/>
          <w:szCs w:val="20"/>
        </w:rPr>
        <w:lastRenderedPageBreak/>
        <w:t>La actualización debe sustentarse en información verificable y conservar la trazabilidad de los cambios realizados. Para ello, se deben identificar los elementos modificados, la información que sustenta el cambio, la fecha de actualización y los responsables de su revisión y aprobación.</w:t>
      </w:r>
    </w:p>
    <w:p w14:paraId="5B4283C8" w14:textId="77777777" w:rsidR="00BE3F1E" w:rsidRPr="00490D3B" w:rsidRDefault="00BE3F1E" w:rsidP="00BE3F1E">
      <w:pPr>
        <w:pStyle w:val="Normal0"/>
        <w:rPr>
          <w:color w:val="000000"/>
          <w:sz w:val="20"/>
          <w:szCs w:val="20"/>
        </w:rPr>
      </w:pPr>
    </w:p>
    <w:p w14:paraId="21C667ED" w14:textId="77777777" w:rsidR="00BE3F1E" w:rsidRPr="00490D3B" w:rsidRDefault="00BE3F1E" w:rsidP="00BE3F1E">
      <w:pPr>
        <w:pStyle w:val="Normal0"/>
        <w:rPr>
          <w:color w:val="000000"/>
          <w:sz w:val="20"/>
          <w:szCs w:val="20"/>
        </w:rPr>
      </w:pPr>
      <w:r w:rsidRPr="00490D3B">
        <w:rPr>
          <w:color w:val="000000"/>
          <w:sz w:val="20"/>
          <w:szCs w:val="20"/>
        </w:rPr>
        <w:t>Una forma de organizar este proceso es mediante una matriz de control:</w:t>
      </w:r>
    </w:p>
    <w:p w14:paraId="538DA186" w14:textId="77777777" w:rsidR="00BE3F1E" w:rsidRPr="00490D3B" w:rsidRDefault="00BE3F1E" w:rsidP="00BE3F1E">
      <w:pPr>
        <w:pStyle w:val="Normal0"/>
        <w:rPr>
          <w:color w:val="000000"/>
          <w:sz w:val="20"/>
          <w:szCs w:val="20"/>
        </w:rPr>
      </w:pPr>
    </w:p>
    <w:p w14:paraId="106105C7" w14:textId="4B4826A4" w:rsidR="00D743F1" w:rsidRPr="00490D3B" w:rsidRDefault="00BE3F1E" w:rsidP="00BE3F1E">
      <w:pPr>
        <w:pStyle w:val="Normal0"/>
        <w:rPr>
          <w:color w:val="000000"/>
          <w:sz w:val="20"/>
          <w:szCs w:val="20"/>
        </w:rPr>
      </w:pPr>
      <w:r w:rsidRPr="00490D3B">
        <w:rPr>
          <w:b/>
          <w:color w:val="000000"/>
          <w:sz w:val="20"/>
          <w:szCs w:val="20"/>
        </w:rPr>
        <w:t>Tabla 10.</w:t>
      </w:r>
      <w:r w:rsidRPr="00490D3B">
        <w:rPr>
          <w:color w:val="000000"/>
          <w:sz w:val="20"/>
          <w:szCs w:val="20"/>
        </w:rPr>
        <w:t xml:space="preserve"> Control de actualización de la nota técnica</w:t>
      </w:r>
    </w:p>
    <w:tbl>
      <w:tblPr>
        <w:tblStyle w:val="Tablaconcuadrcula"/>
        <w:tblW w:w="0" w:type="auto"/>
        <w:tblInd w:w="0" w:type="dxa"/>
        <w:tblLook w:val="04A0" w:firstRow="1" w:lastRow="0" w:firstColumn="1" w:lastColumn="0" w:noHBand="0" w:noVBand="1"/>
      </w:tblPr>
      <w:tblGrid>
        <w:gridCol w:w="1992"/>
        <w:gridCol w:w="1992"/>
        <w:gridCol w:w="1992"/>
        <w:gridCol w:w="1993"/>
        <w:gridCol w:w="1993"/>
      </w:tblGrid>
      <w:tr w:rsidR="00BE3F1E" w:rsidRPr="00490D3B" w14:paraId="63BACAB7" w14:textId="77777777" w:rsidTr="00BE3F1E">
        <w:tc>
          <w:tcPr>
            <w:tcW w:w="1992" w:type="dxa"/>
          </w:tcPr>
          <w:p w14:paraId="54751213" w14:textId="40A7CF78" w:rsidR="00BE3F1E" w:rsidRPr="00490D3B" w:rsidRDefault="00BE3F1E" w:rsidP="00BE3F1E">
            <w:pPr>
              <w:pStyle w:val="Normal0"/>
              <w:rPr>
                <w:b/>
                <w:color w:val="000000"/>
                <w:sz w:val="20"/>
                <w:szCs w:val="20"/>
              </w:rPr>
            </w:pPr>
            <w:r w:rsidRPr="00490D3B">
              <w:rPr>
                <w:b/>
                <w:sz w:val="20"/>
                <w:szCs w:val="20"/>
              </w:rPr>
              <w:t>Elemento actualizado</w:t>
            </w:r>
          </w:p>
        </w:tc>
        <w:tc>
          <w:tcPr>
            <w:tcW w:w="1992" w:type="dxa"/>
          </w:tcPr>
          <w:p w14:paraId="2A43523F" w14:textId="00CEFD1F" w:rsidR="00BE3F1E" w:rsidRPr="00490D3B" w:rsidRDefault="00BE3F1E" w:rsidP="00BE3F1E">
            <w:pPr>
              <w:pStyle w:val="Normal0"/>
              <w:rPr>
                <w:b/>
                <w:color w:val="000000"/>
                <w:sz w:val="20"/>
                <w:szCs w:val="20"/>
              </w:rPr>
            </w:pPr>
            <w:r w:rsidRPr="00490D3B">
              <w:rPr>
                <w:b/>
                <w:sz w:val="20"/>
                <w:szCs w:val="20"/>
              </w:rPr>
              <w:t>Situación identificada</w:t>
            </w:r>
          </w:p>
        </w:tc>
        <w:tc>
          <w:tcPr>
            <w:tcW w:w="1992" w:type="dxa"/>
          </w:tcPr>
          <w:p w14:paraId="73B71193" w14:textId="1FD14F87" w:rsidR="00BE3F1E" w:rsidRPr="00490D3B" w:rsidRDefault="00BE3F1E" w:rsidP="00BE3F1E">
            <w:pPr>
              <w:pStyle w:val="Normal0"/>
              <w:rPr>
                <w:b/>
                <w:color w:val="000000"/>
                <w:sz w:val="20"/>
                <w:szCs w:val="20"/>
              </w:rPr>
            </w:pPr>
            <w:r w:rsidRPr="00490D3B">
              <w:rPr>
                <w:b/>
                <w:sz w:val="20"/>
                <w:szCs w:val="20"/>
              </w:rPr>
              <w:t>Modificación realizada</w:t>
            </w:r>
          </w:p>
        </w:tc>
        <w:tc>
          <w:tcPr>
            <w:tcW w:w="1993" w:type="dxa"/>
          </w:tcPr>
          <w:p w14:paraId="512A3AAC" w14:textId="3BE4A98A" w:rsidR="00BE3F1E" w:rsidRPr="00490D3B" w:rsidRDefault="00BE3F1E" w:rsidP="00BE3F1E">
            <w:pPr>
              <w:pStyle w:val="Normal0"/>
              <w:rPr>
                <w:b/>
                <w:color w:val="000000"/>
                <w:sz w:val="20"/>
                <w:szCs w:val="20"/>
              </w:rPr>
            </w:pPr>
            <w:r w:rsidRPr="00490D3B">
              <w:rPr>
                <w:b/>
                <w:sz w:val="20"/>
                <w:szCs w:val="20"/>
              </w:rPr>
              <w:t>Fuente o soporte</w:t>
            </w:r>
          </w:p>
        </w:tc>
        <w:tc>
          <w:tcPr>
            <w:tcW w:w="1993" w:type="dxa"/>
          </w:tcPr>
          <w:p w14:paraId="5C19C581" w14:textId="4E48DAA7" w:rsidR="00BE3F1E" w:rsidRPr="00490D3B" w:rsidRDefault="00BE3F1E" w:rsidP="00BE3F1E">
            <w:pPr>
              <w:pStyle w:val="Normal0"/>
              <w:rPr>
                <w:b/>
                <w:color w:val="000000"/>
                <w:sz w:val="20"/>
                <w:szCs w:val="20"/>
              </w:rPr>
            </w:pPr>
            <w:r w:rsidRPr="00490D3B">
              <w:rPr>
                <w:b/>
                <w:sz w:val="20"/>
                <w:szCs w:val="20"/>
              </w:rPr>
              <w:t>Fecha de actualización</w:t>
            </w:r>
          </w:p>
        </w:tc>
      </w:tr>
      <w:tr w:rsidR="00BE3F1E" w:rsidRPr="00490D3B" w14:paraId="5A405787" w14:textId="77777777" w:rsidTr="00BE3F1E">
        <w:tc>
          <w:tcPr>
            <w:tcW w:w="1992" w:type="dxa"/>
          </w:tcPr>
          <w:p w14:paraId="0FFFBB0E" w14:textId="5BF90DC9" w:rsidR="00BE3F1E" w:rsidRPr="00490D3B" w:rsidRDefault="00BE3F1E" w:rsidP="00BE3F1E">
            <w:pPr>
              <w:pStyle w:val="Normal0"/>
              <w:rPr>
                <w:color w:val="000000"/>
                <w:sz w:val="20"/>
                <w:szCs w:val="20"/>
              </w:rPr>
            </w:pPr>
            <w:r w:rsidRPr="00490D3B">
              <w:rPr>
                <w:sz w:val="20"/>
                <w:szCs w:val="20"/>
              </w:rPr>
              <w:t>Frecuencia de uso</w:t>
            </w:r>
          </w:p>
        </w:tc>
        <w:tc>
          <w:tcPr>
            <w:tcW w:w="1992" w:type="dxa"/>
          </w:tcPr>
          <w:p w14:paraId="60B7C321" w14:textId="69B39297" w:rsidR="00BE3F1E" w:rsidRPr="00490D3B" w:rsidRDefault="00BE3F1E" w:rsidP="00BE3F1E">
            <w:pPr>
              <w:pStyle w:val="Normal0"/>
              <w:rPr>
                <w:color w:val="000000"/>
                <w:sz w:val="20"/>
                <w:szCs w:val="20"/>
              </w:rPr>
            </w:pPr>
            <w:r w:rsidRPr="00490D3B">
              <w:rPr>
                <w:sz w:val="20"/>
                <w:szCs w:val="20"/>
              </w:rPr>
              <w:t>Variación frente a la proyección inicial.</w:t>
            </w:r>
          </w:p>
        </w:tc>
        <w:tc>
          <w:tcPr>
            <w:tcW w:w="1992" w:type="dxa"/>
          </w:tcPr>
          <w:p w14:paraId="04C5A7ED" w14:textId="25ECDE53" w:rsidR="00BE3F1E" w:rsidRPr="00490D3B" w:rsidRDefault="00BE3F1E" w:rsidP="00BE3F1E">
            <w:pPr>
              <w:pStyle w:val="Normal0"/>
              <w:rPr>
                <w:color w:val="000000"/>
                <w:sz w:val="20"/>
                <w:szCs w:val="20"/>
              </w:rPr>
            </w:pPr>
            <w:r w:rsidRPr="00490D3B">
              <w:rPr>
                <w:sz w:val="20"/>
                <w:szCs w:val="20"/>
              </w:rPr>
              <w:t>Actualización de la frecuencia.</w:t>
            </w:r>
          </w:p>
        </w:tc>
        <w:tc>
          <w:tcPr>
            <w:tcW w:w="1993" w:type="dxa"/>
          </w:tcPr>
          <w:p w14:paraId="2DC7E7E5" w14:textId="41DE6B84" w:rsidR="00BE3F1E" w:rsidRPr="00490D3B" w:rsidRDefault="00BE3F1E" w:rsidP="00BE3F1E">
            <w:pPr>
              <w:pStyle w:val="Normal0"/>
              <w:rPr>
                <w:color w:val="000000"/>
                <w:sz w:val="20"/>
                <w:szCs w:val="20"/>
              </w:rPr>
            </w:pPr>
            <w:r w:rsidRPr="00490D3B">
              <w:rPr>
                <w:sz w:val="20"/>
                <w:szCs w:val="20"/>
              </w:rPr>
              <w:t>Registros históricos de prestación</w:t>
            </w:r>
          </w:p>
        </w:tc>
        <w:tc>
          <w:tcPr>
            <w:tcW w:w="1993" w:type="dxa"/>
          </w:tcPr>
          <w:p w14:paraId="691809E4" w14:textId="0CCF7854" w:rsidR="00BE3F1E" w:rsidRPr="00490D3B" w:rsidRDefault="00BE3F1E" w:rsidP="00BE3F1E">
            <w:pPr>
              <w:pStyle w:val="Normal0"/>
              <w:rPr>
                <w:color w:val="000000"/>
                <w:sz w:val="20"/>
                <w:szCs w:val="20"/>
              </w:rPr>
            </w:pPr>
            <w:r w:rsidRPr="00490D3B">
              <w:rPr>
                <w:sz w:val="20"/>
                <w:szCs w:val="20"/>
              </w:rPr>
              <w:t>Fecha</w:t>
            </w:r>
          </w:p>
        </w:tc>
      </w:tr>
      <w:tr w:rsidR="00BE3F1E" w:rsidRPr="00490D3B" w14:paraId="3A6966AB" w14:textId="77777777" w:rsidTr="00BE3F1E">
        <w:tc>
          <w:tcPr>
            <w:tcW w:w="1992" w:type="dxa"/>
          </w:tcPr>
          <w:p w14:paraId="716ABEDD" w14:textId="0E47EC09" w:rsidR="00BE3F1E" w:rsidRPr="00490D3B" w:rsidRDefault="00BE3F1E" w:rsidP="00BE3F1E">
            <w:pPr>
              <w:pStyle w:val="Normal0"/>
              <w:rPr>
                <w:color w:val="000000"/>
                <w:sz w:val="20"/>
                <w:szCs w:val="20"/>
              </w:rPr>
            </w:pPr>
            <w:r w:rsidRPr="00490D3B">
              <w:rPr>
                <w:sz w:val="20"/>
                <w:szCs w:val="20"/>
              </w:rPr>
              <w:t>Tarifa</w:t>
            </w:r>
          </w:p>
        </w:tc>
        <w:tc>
          <w:tcPr>
            <w:tcW w:w="1992" w:type="dxa"/>
          </w:tcPr>
          <w:p w14:paraId="272928E9" w14:textId="290BA66A" w:rsidR="00BE3F1E" w:rsidRPr="00490D3B" w:rsidRDefault="00BE3F1E" w:rsidP="00BE3F1E">
            <w:pPr>
              <w:pStyle w:val="Normal0"/>
              <w:rPr>
                <w:color w:val="000000"/>
                <w:sz w:val="20"/>
                <w:szCs w:val="20"/>
              </w:rPr>
            </w:pPr>
            <w:r w:rsidRPr="00490D3B">
              <w:rPr>
                <w:sz w:val="20"/>
                <w:szCs w:val="20"/>
              </w:rPr>
              <w:t>Cambio en el valor utilizado.</w:t>
            </w:r>
          </w:p>
        </w:tc>
        <w:tc>
          <w:tcPr>
            <w:tcW w:w="1992" w:type="dxa"/>
          </w:tcPr>
          <w:p w14:paraId="71133999" w14:textId="0B19D612" w:rsidR="00BE3F1E" w:rsidRPr="00490D3B" w:rsidRDefault="00BE3F1E" w:rsidP="00BE3F1E">
            <w:pPr>
              <w:pStyle w:val="Normal0"/>
              <w:rPr>
                <w:color w:val="000000"/>
                <w:sz w:val="20"/>
                <w:szCs w:val="20"/>
              </w:rPr>
            </w:pPr>
            <w:r w:rsidRPr="00490D3B">
              <w:rPr>
                <w:sz w:val="20"/>
                <w:szCs w:val="20"/>
              </w:rPr>
              <w:t>Actualización del valor unitario.</w:t>
            </w:r>
          </w:p>
        </w:tc>
        <w:tc>
          <w:tcPr>
            <w:tcW w:w="1993" w:type="dxa"/>
          </w:tcPr>
          <w:p w14:paraId="0995A350" w14:textId="2C6F10CF" w:rsidR="00BE3F1E" w:rsidRPr="00490D3B" w:rsidRDefault="00BE3F1E" w:rsidP="00BE3F1E">
            <w:pPr>
              <w:pStyle w:val="Normal0"/>
              <w:rPr>
                <w:color w:val="000000"/>
                <w:sz w:val="20"/>
                <w:szCs w:val="20"/>
              </w:rPr>
            </w:pPr>
            <w:r w:rsidRPr="00490D3B">
              <w:rPr>
                <w:sz w:val="20"/>
                <w:szCs w:val="20"/>
              </w:rPr>
              <w:t>Referencia tarifaria</w:t>
            </w:r>
          </w:p>
        </w:tc>
        <w:tc>
          <w:tcPr>
            <w:tcW w:w="1993" w:type="dxa"/>
          </w:tcPr>
          <w:p w14:paraId="4CA6E9EF" w14:textId="3BE49C62" w:rsidR="00BE3F1E" w:rsidRPr="00490D3B" w:rsidRDefault="00BE3F1E" w:rsidP="00BE3F1E">
            <w:pPr>
              <w:pStyle w:val="Normal0"/>
              <w:rPr>
                <w:color w:val="000000"/>
                <w:sz w:val="20"/>
                <w:szCs w:val="20"/>
              </w:rPr>
            </w:pPr>
            <w:r w:rsidRPr="00490D3B">
              <w:rPr>
                <w:sz w:val="20"/>
                <w:szCs w:val="20"/>
              </w:rPr>
              <w:t>Fecha</w:t>
            </w:r>
          </w:p>
        </w:tc>
      </w:tr>
      <w:tr w:rsidR="00BE3F1E" w:rsidRPr="00490D3B" w14:paraId="5450C928" w14:textId="77777777" w:rsidTr="00BE3F1E">
        <w:tc>
          <w:tcPr>
            <w:tcW w:w="1992" w:type="dxa"/>
          </w:tcPr>
          <w:p w14:paraId="789476B9" w14:textId="4C502482" w:rsidR="00BE3F1E" w:rsidRPr="00490D3B" w:rsidRDefault="00BE3F1E" w:rsidP="00BE3F1E">
            <w:pPr>
              <w:pStyle w:val="Normal0"/>
              <w:rPr>
                <w:color w:val="000000"/>
                <w:sz w:val="20"/>
                <w:szCs w:val="20"/>
              </w:rPr>
            </w:pPr>
            <w:r w:rsidRPr="00490D3B">
              <w:rPr>
                <w:sz w:val="20"/>
                <w:szCs w:val="20"/>
              </w:rPr>
              <w:t>Población</w:t>
            </w:r>
          </w:p>
        </w:tc>
        <w:tc>
          <w:tcPr>
            <w:tcW w:w="1992" w:type="dxa"/>
          </w:tcPr>
          <w:p w14:paraId="729B97C8" w14:textId="3EFBF824" w:rsidR="00BE3F1E" w:rsidRPr="00490D3B" w:rsidRDefault="00BE3F1E" w:rsidP="00BE3F1E">
            <w:pPr>
              <w:pStyle w:val="Normal0"/>
              <w:rPr>
                <w:color w:val="000000"/>
                <w:sz w:val="20"/>
                <w:szCs w:val="20"/>
              </w:rPr>
            </w:pPr>
            <w:r w:rsidRPr="00490D3B">
              <w:rPr>
                <w:sz w:val="20"/>
                <w:szCs w:val="20"/>
              </w:rPr>
              <w:t>Variación en la población susceptible.</w:t>
            </w:r>
          </w:p>
        </w:tc>
        <w:tc>
          <w:tcPr>
            <w:tcW w:w="1992" w:type="dxa"/>
          </w:tcPr>
          <w:p w14:paraId="561AC82B" w14:textId="793621B0" w:rsidR="00BE3F1E" w:rsidRPr="00490D3B" w:rsidRDefault="00BE3F1E" w:rsidP="00BE3F1E">
            <w:pPr>
              <w:pStyle w:val="Normal0"/>
              <w:rPr>
                <w:color w:val="000000"/>
                <w:sz w:val="20"/>
                <w:szCs w:val="20"/>
              </w:rPr>
            </w:pPr>
            <w:r w:rsidRPr="00490D3B">
              <w:rPr>
                <w:sz w:val="20"/>
                <w:szCs w:val="20"/>
              </w:rPr>
              <w:t>Ajuste de la población proyectada.</w:t>
            </w:r>
          </w:p>
        </w:tc>
        <w:tc>
          <w:tcPr>
            <w:tcW w:w="1993" w:type="dxa"/>
          </w:tcPr>
          <w:p w14:paraId="5C7E04D8" w14:textId="6C42C0FB" w:rsidR="00BE3F1E" w:rsidRPr="00490D3B" w:rsidRDefault="00BE3F1E" w:rsidP="00BE3F1E">
            <w:pPr>
              <w:pStyle w:val="Normal0"/>
              <w:rPr>
                <w:color w:val="000000"/>
                <w:sz w:val="20"/>
                <w:szCs w:val="20"/>
              </w:rPr>
            </w:pPr>
            <w:r w:rsidRPr="00490D3B">
              <w:rPr>
                <w:sz w:val="20"/>
                <w:szCs w:val="20"/>
              </w:rPr>
              <w:t>Base de población</w:t>
            </w:r>
          </w:p>
        </w:tc>
        <w:tc>
          <w:tcPr>
            <w:tcW w:w="1993" w:type="dxa"/>
          </w:tcPr>
          <w:p w14:paraId="698CA989" w14:textId="57F2458F" w:rsidR="00BE3F1E" w:rsidRPr="00490D3B" w:rsidRDefault="00BE3F1E" w:rsidP="00BE3F1E">
            <w:pPr>
              <w:pStyle w:val="Normal0"/>
              <w:rPr>
                <w:color w:val="000000"/>
                <w:sz w:val="20"/>
                <w:szCs w:val="20"/>
              </w:rPr>
            </w:pPr>
            <w:r w:rsidRPr="00490D3B">
              <w:rPr>
                <w:sz w:val="20"/>
                <w:szCs w:val="20"/>
              </w:rPr>
              <w:t>Fecha</w:t>
            </w:r>
          </w:p>
        </w:tc>
      </w:tr>
      <w:tr w:rsidR="00BE3F1E" w:rsidRPr="00490D3B" w14:paraId="60E2B2BB" w14:textId="77777777" w:rsidTr="00BE3F1E">
        <w:tc>
          <w:tcPr>
            <w:tcW w:w="1992" w:type="dxa"/>
          </w:tcPr>
          <w:p w14:paraId="3A41DBF3" w14:textId="046359D7" w:rsidR="00BE3F1E" w:rsidRPr="00490D3B" w:rsidRDefault="00BE3F1E" w:rsidP="00BE3F1E">
            <w:pPr>
              <w:pStyle w:val="Normal0"/>
              <w:rPr>
                <w:color w:val="000000"/>
                <w:sz w:val="20"/>
                <w:szCs w:val="20"/>
              </w:rPr>
            </w:pPr>
            <w:r w:rsidRPr="00490D3B">
              <w:rPr>
                <w:sz w:val="20"/>
                <w:szCs w:val="20"/>
              </w:rPr>
              <w:t>Servicios</w:t>
            </w:r>
          </w:p>
        </w:tc>
        <w:tc>
          <w:tcPr>
            <w:tcW w:w="1992" w:type="dxa"/>
          </w:tcPr>
          <w:p w14:paraId="0B9FB9A5" w14:textId="636B496E" w:rsidR="00BE3F1E" w:rsidRPr="00490D3B" w:rsidRDefault="00BE3F1E" w:rsidP="00BE3F1E">
            <w:pPr>
              <w:pStyle w:val="Normal0"/>
              <w:rPr>
                <w:color w:val="000000"/>
                <w:sz w:val="20"/>
                <w:szCs w:val="20"/>
              </w:rPr>
            </w:pPr>
            <w:r w:rsidRPr="00490D3B">
              <w:rPr>
                <w:sz w:val="20"/>
                <w:szCs w:val="20"/>
              </w:rPr>
              <w:t>Modificación en los servicios requeridos.</w:t>
            </w:r>
          </w:p>
        </w:tc>
        <w:tc>
          <w:tcPr>
            <w:tcW w:w="1992" w:type="dxa"/>
          </w:tcPr>
          <w:p w14:paraId="09A1A38B" w14:textId="2CB76323" w:rsidR="00BE3F1E" w:rsidRPr="00490D3B" w:rsidRDefault="00BE3F1E" w:rsidP="00BE3F1E">
            <w:pPr>
              <w:pStyle w:val="Normal0"/>
              <w:rPr>
                <w:color w:val="000000"/>
                <w:sz w:val="20"/>
                <w:szCs w:val="20"/>
              </w:rPr>
            </w:pPr>
            <w:r w:rsidRPr="00490D3B">
              <w:rPr>
                <w:sz w:val="20"/>
                <w:szCs w:val="20"/>
              </w:rPr>
              <w:t>Actualización de servicios y códigos.</w:t>
            </w:r>
          </w:p>
        </w:tc>
        <w:tc>
          <w:tcPr>
            <w:tcW w:w="1993" w:type="dxa"/>
          </w:tcPr>
          <w:p w14:paraId="190BD29B" w14:textId="5E262A75" w:rsidR="00BE3F1E" w:rsidRPr="00490D3B" w:rsidRDefault="00BE3F1E" w:rsidP="00BE3F1E">
            <w:pPr>
              <w:pStyle w:val="Normal0"/>
              <w:rPr>
                <w:color w:val="000000"/>
                <w:sz w:val="20"/>
                <w:szCs w:val="20"/>
              </w:rPr>
            </w:pPr>
            <w:r w:rsidRPr="00490D3B">
              <w:rPr>
                <w:sz w:val="20"/>
                <w:szCs w:val="20"/>
              </w:rPr>
              <w:t>Información vigente</w:t>
            </w:r>
          </w:p>
        </w:tc>
        <w:tc>
          <w:tcPr>
            <w:tcW w:w="1993" w:type="dxa"/>
          </w:tcPr>
          <w:p w14:paraId="759B463E" w14:textId="7937B8A5" w:rsidR="00BE3F1E" w:rsidRPr="00490D3B" w:rsidRDefault="00BE3F1E" w:rsidP="00BE3F1E">
            <w:pPr>
              <w:pStyle w:val="Normal0"/>
              <w:rPr>
                <w:color w:val="000000"/>
                <w:sz w:val="20"/>
                <w:szCs w:val="20"/>
              </w:rPr>
            </w:pPr>
            <w:r w:rsidRPr="00490D3B">
              <w:rPr>
                <w:sz w:val="20"/>
                <w:szCs w:val="20"/>
              </w:rPr>
              <w:t>Fecha</w:t>
            </w:r>
          </w:p>
        </w:tc>
      </w:tr>
    </w:tbl>
    <w:p w14:paraId="0149D477" w14:textId="299E07BA" w:rsidR="00D743F1" w:rsidRPr="00490D3B" w:rsidRDefault="00D743F1" w:rsidP="00D743F1">
      <w:pPr>
        <w:pStyle w:val="Normal0"/>
        <w:rPr>
          <w:color w:val="000000"/>
          <w:sz w:val="20"/>
          <w:szCs w:val="20"/>
        </w:rPr>
      </w:pPr>
    </w:p>
    <w:p w14:paraId="2FE4B6AB" w14:textId="57F33DFD" w:rsidR="00D743F1" w:rsidRPr="00490D3B" w:rsidRDefault="00BE3F1E" w:rsidP="00D743F1">
      <w:pPr>
        <w:pStyle w:val="Normal0"/>
        <w:rPr>
          <w:color w:val="000000"/>
          <w:sz w:val="20"/>
          <w:szCs w:val="20"/>
        </w:rPr>
      </w:pPr>
      <w:r w:rsidRPr="00490D3B">
        <w:rPr>
          <w:color w:val="000000"/>
          <w:sz w:val="20"/>
          <w:szCs w:val="20"/>
        </w:rPr>
        <w:t>La actualización no debe realizarse únicamente como consecuencia de una desviación aislada. Es necesario analizar la magnitud, comportamiento y causa de la variación antes de modificar las proyecciones. De esta manera, la nota técnica conserva coherencia con la información disponible y puede utilizarse como instrumento para el seguimiento y la gestión durante la ejecución del acuerdo de voluntades.</w:t>
      </w:r>
    </w:p>
    <w:p w14:paraId="6984C2F8" w14:textId="253890AB" w:rsidR="00D743F1" w:rsidRPr="00490D3B" w:rsidRDefault="00D743F1" w:rsidP="00D743F1">
      <w:pPr>
        <w:pStyle w:val="Normal0"/>
        <w:rPr>
          <w:color w:val="000000"/>
          <w:sz w:val="20"/>
          <w:szCs w:val="20"/>
        </w:rPr>
      </w:pPr>
    </w:p>
    <w:p w14:paraId="0612AB2B" w14:textId="153D4932" w:rsidR="00D743F1" w:rsidRPr="00490D3B" w:rsidRDefault="00D743F1" w:rsidP="00D743F1">
      <w:pPr>
        <w:pStyle w:val="Normal0"/>
        <w:rPr>
          <w:b/>
          <w:color w:val="000000"/>
          <w:sz w:val="20"/>
          <w:szCs w:val="20"/>
        </w:rPr>
      </w:pPr>
    </w:p>
    <w:p w14:paraId="6B2DBBF5" w14:textId="54909A11" w:rsidR="00D743F1" w:rsidRPr="00490D3B" w:rsidRDefault="00D743F1" w:rsidP="00D743F1">
      <w:pPr>
        <w:pStyle w:val="Normal0"/>
        <w:rPr>
          <w:b/>
          <w:color w:val="000000"/>
          <w:sz w:val="20"/>
          <w:szCs w:val="20"/>
        </w:rPr>
      </w:pPr>
    </w:p>
    <w:p w14:paraId="4A7365F3" w14:textId="481B0B12" w:rsidR="00D743F1" w:rsidRPr="00490D3B" w:rsidRDefault="00D743F1" w:rsidP="00D743F1">
      <w:pPr>
        <w:pStyle w:val="Normal0"/>
        <w:rPr>
          <w:b/>
          <w:color w:val="000000"/>
          <w:sz w:val="20"/>
          <w:szCs w:val="20"/>
        </w:rPr>
      </w:pPr>
    </w:p>
    <w:p w14:paraId="50848BAD" w14:textId="07EF5966" w:rsidR="00D743F1" w:rsidRPr="00490D3B" w:rsidRDefault="00D743F1" w:rsidP="00D743F1">
      <w:pPr>
        <w:pStyle w:val="Normal0"/>
        <w:rPr>
          <w:b/>
          <w:color w:val="000000"/>
          <w:sz w:val="20"/>
          <w:szCs w:val="20"/>
        </w:rPr>
      </w:pPr>
    </w:p>
    <w:p w14:paraId="0445409A" w14:textId="6FCBFD4E" w:rsidR="00D743F1" w:rsidRPr="00490D3B" w:rsidRDefault="00D743F1" w:rsidP="00D743F1">
      <w:pPr>
        <w:pStyle w:val="Normal0"/>
        <w:rPr>
          <w:b/>
          <w:color w:val="000000"/>
          <w:sz w:val="20"/>
          <w:szCs w:val="20"/>
        </w:rPr>
      </w:pPr>
    </w:p>
    <w:p w14:paraId="7FC17D5D" w14:textId="3CF34582" w:rsidR="00D743F1" w:rsidRPr="00490D3B" w:rsidRDefault="00D743F1" w:rsidP="00D743F1">
      <w:pPr>
        <w:pStyle w:val="Normal0"/>
        <w:rPr>
          <w:b/>
          <w:color w:val="000000"/>
          <w:sz w:val="20"/>
          <w:szCs w:val="20"/>
        </w:rPr>
      </w:pPr>
    </w:p>
    <w:p w14:paraId="5BBE5548" w14:textId="2FDA88D1" w:rsidR="00D743F1" w:rsidRPr="00490D3B" w:rsidRDefault="00D743F1" w:rsidP="00D743F1">
      <w:pPr>
        <w:pStyle w:val="Normal0"/>
        <w:rPr>
          <w:b/>
          <w:color w:val="000000"/>
          <w:sz w:val="20"/>
          <w:szCs w:val="20"/>
        </w:rPr>
      </w:pPr>
    </w:p>
    <w:p w14:paraId="6DBF95B6" w14:textId="69DF5483" w:rsidR="00D743F1" w:rsidRPr="00490D3B" w:rsidRDefault="00D743F1" w:rsidP="00D743F1">
      <w:pPr>
        <w:pStyle w:val="Normal0"/>
        <w:rPr>
          <w:b/>
          <w:color w:val="000000"/>
          <w:sz w:val="20"/>
          <w:szCs w:val="20"/>
        </w:rPr>
      </w:pPr>
    </w:p>
    <w:p w14:paraId="37BA06EC" w14:textId="76A863B2" w:rsidR="00D743F1" w:rsidRPr="00490D3B" w:rsidRDefault="00D743F1" w:rsidP="00D743F1">
      <w:pPr>
        <w:pStyle w:val="Normal0"/>
        <w:rPr>
          <w:b/>
          <w:color w:val="000000"/>
          <w:sz w:val="20"/>
          <w:szCs w:val="20"/>
        </w:rPr>
      </w:pPr>
    </w:p>
    <w:p w14:paraId="3505AD4F" w14:textId="35D67D1A" w:rsidR="00D743F1" w:rsidRPr="00490D3B" w:rsidRDefault="00D743F1" w:rsidP="00D743F1">
      <w:pPr>
        <w:pStyle w:val="Normal0"/>
        <w:rPr>
          <w:b/>
          <w:color w:val="000000"/>
          <w:sz w:val="20"/>
          <w:szCs w:val="20"/>
        </w:rPr>
      </w:pPr>
    </w:p>
    <w:p w14:paraId="008A1A47" w14:textId="4D1EC260" w:rsidR="00D743F1" w:rsidRPr="00490D3B" w:rsidRDefault="00D743F1" w:rsidP="00D743F1">
      <w:pPr>
        <w:pStyle w:val="Normal0"/>
        <w:rPr>
          <w:b/>
          <w:color w:val="000000"/>
          <w:sz w:val="20"/>
          <w:szCs w:val="20"/>
        </w:rPr>
      </w:pPr>
    </w:p>
    <w:p w14:paraId="3013B9A4" w14:textId="7FC58292" w:rsidR="00D743F1" w:rsidRPr="00490D3B" w:rsidRDefault="00D743F1" w:rsidP="00D743F1">
      <w:pPr>
        <w:pStyle w:val="Normal0"/>
        <w:rPr>
          <w:b/>
          <w:color w:val="000000"/>
          <w:sz w:val="20"/>
          <w:szCs w:val="20"/>
        </w:rPr>
      </w:pPr>
    </w:p>
    <w:p w14:paraId="572F0B81" w14:textId="45E8885C" w:rsidR="00D743F1" w:rsidRDefault="00D743F1" w:rsidP="00D743F1">
      <w:pPr>
        <w:pStyle w:val="Normal0"/>
        <w:rPr>
          <w:b/>
          <w:color w:val="000000"/>
          <w:sz w:val="20"/>
          <w:szCs w:val="20"/>
        </w:rPr>
      </w:pPr>
    </w:p>
    <w:p w14:paraId="04C40366" w14:textId="6EC30897" w:rsidR="00263873" w:rsidRDefault="00263873" w:rsidP="00D743F1">
      <w:pPr>
        <w:pStyle w:val="Normal0"/>
        <w:rPr>
          <w:b/>
          <w:color w:val="000000"/>
          <w:sz w:val="20"/>
          <w:szCs w:val="20"/>
        </w:rPr>
      </w:pPr>
    </w:p>
    <w:p w14:paraId="4B2D6CF6" w14:textId="28B9E69F" w:rsidR="00263873" w:rsidRDefault="00263873" w:rsidP="00D743F1">
      <w:pPr>
        <w:pStyle w:val="Normal0"/>
        <w:rPr>
          <w:b/>
          <w:color w:val="000000"/>
          <w:sz w:val="20"/>
          <w:szCs w:val="20"/>
        </w:rPr>
      </w:pPr>
    </w:p>
    <w:p w14:paraId="7ED11FA6" w14:textId="37B824DB" w:rsidR="00263873" w:rsidRDefault="00263873" w:rsidP="00D743F1">
      <w:pPr>
        <w:pStyle w:val="Normal0"/>
        <w:rPr>
          <w:b/>
          <w:color w:val="000000"/>
          <w:sz w:val="20"/>
          <w:szCs w:val="20"/>
        </w:rPr>
      </w:pPr>
    </w:p>
    <w:p w14:paraId="2E6AC1A6" w14:textId="5093B9D9" w:rsidR="00263873" w:rsidRDefault="00263873" w:rsidP="00D743F1">
      <w:pPr>
        <w:pStyle w:val="Normal0"/>
        <w:rPr>
          <w:b/>
          <w:color w:val="000000"/>
          <w:sz w:val="20"/>
          <w:szCs w:val="20"/>
        </w:rPr>
      </w:pPr>
    </w:p>
    <w:p w14:paraId="4E4D8AAE" w14:textId="0FCE0EAE" w:rsidR="00263873" w:rsidRDefault="00263873" w:rsidP="00D743F1">
      <w:pPr>
        <w:pStyle w:val="Normal0"/>
        <w:rPr>
          <w:b/>
          <w:color w:val="000000"/>
          <w:sz w:val="20"/>
          <w:szCs w:val="20"/>
        </w:rPr>
      </w:pPr>
    </w:p>
    <w:p w14:paraId="6F15D80A" w14:textId="77777777" w:rsidR="00263873" w:rsidRPr="00490D3B" w:rsidRDefault="00263873" w:rsidP="00D743F1">
      <w:pPr>
        <w:pStyle w:val="Normal0"/>
        <w:rPr>
          <w:b/>
          <w:color w:val="000000"/>
          <w:sz w:val="20"/>
          <w:szCs w:val="20"/>
        </w:rPr>
      </w:pPr>
    </w:p>
    <w:p w14:paraId="246FB963" w14:textId="6490E789" w:rsidR="00D743F1" w:rsidRPr="00490D3B" w:rsidRDefault="00D743F1" w:rsidP="00D743F1">
      <w:pPr>
        <w:pStyle w:val="Normal0"/>
        <w:rPr>
          <w:b/>
          <w:color w:val="000000"/>
          <w:sz w:val="20"/>
          <w:szCs w:val="20"/>
        </w:rPr>
      </w:pPr>
    </w:p>
    <w:p w14:paraId="260F5A8C" w14:textId="3611764A" w:rsidR="00FC7CCF" w:rsidRPr="00490D3B" w:rsidRDefault="00FC7CCF" w:rsidP="00D743F1">
      <w:pPr>
        <w:pStyle w:val="Normal0"/>
        <w:rPr>
          <w:b/>
          <w:color w:val="000000"/>
          <w:sz w:val="20"/>
          <w:szCs w:val="20"/>
        </w:rPr>
      </w:pPr>
    </w:p>
    <w:p w14:paraId="56F3CF05" w14:textId="6259E05C" w:rsidR="00FC7CCF" w:rsidRPr="00490D3B" w:rsidRDefault="00FC7CCF" w:rsidP="00D743F1">
      <w:pPr>
        <w:pStyle w:val="Normal0"/>
        <w:rPr>
          <w:b/>
          <w:color w:val="000000"/>
          <w:sz w:val="20"/>
          <w:szCs w:val="20"/>
        </w:rPr>
      </w:pPr>
    </w:p>
    <w:p w14:paraId="2D0118B1" w14:textId="1E1D0E07" w:rsidR="00FC7CCF" w:rsidRPr="00490D3B" w:rsidRDefault="00FC7CCF" w:rsidP="00D743F1">
      <w:pPr>
        <w:pStyle w:val="Normal0"/>
        <w:rPr>
          <w:b/>
          <w:color w:val="000000"/>
          <w:sz w:val="20"/>
          <w:szCs w:val="20"/>
        </w:rPr>
      </w:pPr>
    </w:p>
    <w:p w14:paraId="00000070" w14:textId="12B65566" w:rsidR="00AD17D4" w:rsidRPr="00490D3B" w:rsidRDefault="00025888" w:rsidP="007A5C2D">
      <w:pPr>
        <w:pStyle w:val="Normal0"/>
        <w:numPr>
          <w:ilvl w:val="0"/>
          <w:numId w:val="1"/>
        </w:numPr>
        <w:ind w:left="284" w:hanging="284"/>
        <w:rPr>
          <w:b/>
          <w:color w:val="000000"/>
          <w:sz w:val="20"/>
          <w:szCs w:val="20"/>
        </w:rPr>
      </w:pPr>
      <w:r w:rsidRPr="00490D3B">
        <w:rPr>
          <w:b/>
          <w:sz w:val="20"/>
          <w:szCs w:val="20"/>
        </w:rPr>
        <w:lastRenderedPageBreak/>
        <w:t>SÍNTESIS</w:t>
      </w:r>
    </w:p>
    <w:p w14:paraId="00000071" w14:textId="77777777" w:rsidR="00AD17D4" w:rsidRPr="00490D3B" w:rsidRDefault="00AD17D4" w:rsidP="007A5C2D">
      <w:pPr>
        <w:pStyle w:val="Normal0"/>
        <w:rPr>
          <w:sz w:val="20"/>
          <w:szCs w:val="20"/>
        </w:rPr>
      </w:pPr>
    </w:p>
    <w:p w14:paraId="2E325CA3" w14:textId="77777777" w:rsidR="004A3922" w:rsidRPr="00490D3B" w:rsidRDefault="004A3922" w:rsidP="004A3922">
      <w:pPr>
        <w:spacing w:after="160" w:line="259" w:lineRule="auto"/>
        <w:rPr>
          <w:sz w:val="20"/>
          <w:szCs w:val="20"/>
        </w:rPr>
      </w:pPr>
      <w:r w:rsidRPr="00490D3B">
        <w:rPr>
          <w:sz w:val="20"/>
          <w:szCs w:val="20"/>
        </w:rPr>
        <w:t xml:space="preserve">La elaboración y validación de la nota técnica comprende un proceso integral que inicia con la identificación de sus elementos estructurales, como los servicios y procedimientos, los cálculos e indicadores, los costos, las tarifas y los riesgos asociados. Posteriormente, se aborda la construcción y organización de la información de acuerdo con la modalidad de contratación, su integración y consolidación. El proceso continúa con la revisión técnica, jurídica y financiera, seguida de la identificación de desviaciones y la realización de ajustes en tarifas, planificación de servicios y gestión del riesgo. Finalmente, se desarrolla la evaluación y el mejoramiento, mediante la identificación de hallazgos, la formulación y seguimiento de acciones de mejora y la actualización de la nota </w:t>
      </w:r>
      <w:commentRangeStart w:id="0"/>
      <w:r w:rsidRPr="00490D3B">
        <w:rPr>
          <w:sz w:val="20"/>
          <w:szCs w:val="20"/>
        </w:rPr>
        <w:t>técnica</w:t>
      </w:r>
      <w:commentRangeEnd w:id="0"/>
      <w:r w:rsidRPr="00490D3B">
        <w:rPr>
          <w:sz w:val="16"/>
          <w:szCs w:val="16"/>
        </w:rPr>
        <w:commentReference w:id="0"/>
      </w:r>
      <w:r w:rsidRPr="00490D3B">
        <w:rPr>
          <w:sz w:val="20"/>
          <w:szCs w:val="20"/>
        </w:rPr>
        <w:t>.</w:t>
      </w:r>
    </w:p>
    <w:p w14:paraId="67A29513" w14:textId="17913B98" w:rsidR="00AD17D4" w:rsidRPr="00490D3B" w:rsidRDefault="00AD17D4" w:rsidP="007A5C2D">
      <w:pPr>
        <w:pStyle w:val="Normal0"/>
        <w:rPr>
          <w:sz w:val="20"/>
          <w:szCs w:val="20"/>
          <w:lang w:val="en-US" w:eastAsia="en-US"/>
        </w:rPr>
      </w:pPr>
    </w:p>
    <w:p w14:paraId="39A8050B" w14:textId="408CAEFA" w:rsidR="001C36A2" w:rsidRPr="00490D3B" w:rsidRDefault="00FC7CCF" w:rsidP="007A5C2D">
      <w:pPr>
        <w:pStyle w:val="Normal0"/>
        <w:rPr>
          <w:sz w:val="20"/>
          <w:szCs w:val="20"/>
          <w:lang w:val="en-US" w:eastAsia="en-US"/>
        </w:rPr>
      </w:pPr>
      <w:r w:rsidRPr="00490D3B">
        <w:rPr>
          <w:noProof/>
          <w:sz w:val="20"/>
          <w:szCs w:val="20"/>
          <w:lang w:val="en-US" w:eastAsia="en-US"/>
        </w:rPr>
        <w:drawing>
          <wp:inline distT="0" distB="0" distL="0" distR="0" wp14:anchorId="70218AED" wp14:editId="503AC433">
            <wp:extent cx="6332220" cy="5221605"/>
            <wp:effectExtent l="0" t="0" r="0" b="0"/>
            <wp:docPr id="11" name="Imagen 11" descr="En la síntesis se presenta el proceso de elaboración y validación de la nota técnica, desde la identificación de sus elementos y la organización de la información, hasta su revisión, ajuste, seguimiento y mejoramien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1"/>
                    <a:stretch>
                      <a:fillRect/>
                    </a:stretch>
                  </pic:blipFill>
                  <pic:spPr>
                    <a:xfrm>
                      <a:off x="0" y="0"/>
                      <a:ext cx="6332220" cy="5221605"/>
                    </a:xfrm>
                    <a:prstGeom prst="rect">
                      <a:avLst/>
                    </a:prstGeom>
                  </pic:spPr>
                </pic:pic>
              </a:graphicData>
            </a:graphic>
          </wp:inline>
        </w:drawing>
      </w:r>
    </w:p>
    <w:p w14:paraId="3F0E866B" w14:textId="248DA273" w:rsidR="009B1481" w:rsidRPr="00490D3B" w:rsidRDefault="009B1481" w:rsidP="007A5C2D">
      <w:pPr>
        <w:pStyle w:val="Normal0"/>
        <w:rPr>
          <w:sz w:val="20"/>
          <w:szCs w:val="20"/>
          <w:lang w:val="en-US" w:eastAsia="en-US"/>
        </w:rPr>
      </w:pPr>
    </w:p>
    <w:p w14:paraId="70E158DC" w14:textId="3B61C9B8" w:rsidR="00AD17D4" w:rsidRPr="00490D3B" w:rsidRDefault="00AD17D4" w:rsidP="007A5C2D">
      <w:pPr>
        <w:pStyle w:val="Normal0"/>
        <w:jc w:val="center"/>
        <w:rPr>
          <w:sz w:val="20"/>
          <w:szCs w:val="20"/>
          <w:lang w:val="en-US" w:eastAsia="en-US"/>
        </w:rPr>
      </w:pPr>
    </w:p>
    <w:p w14:paraId="4A68BAB0" w14:textId="1B5C7AD8" w:rsidR="00AD17D4" w:rsidRPr="00490D3B" w:rsidRDefault="00AD17D4" w:rsidP="007A5C2D">
      <w:pPr>
        <w:pStyle w:val="Normal0"/>
        <w:rPr>
          <w:sz w:val="20"/>
          <w:szCs w:val="20"/>
          <w:lang w:val="en-US" w:eastAsia="en-US"/>
        </w:rPr>
      </w:pPr>
    </w:p>
    <w:p w14:paraId="45E16734" w14:textId="7985A613" w:rsidR="00854D2C" w:rsidRPr="00490D3B" w:rsidRDefault="00854D2C" w:rsidP="007A5C2D">
      <w:pPr>
        <w:pStyle w:val="Normal0"/>
        <w:rPr>
          <w:sz w:val="20"/>
          <w:szCs w:val="20"/>
          <w:lang w:val="en-US" w:eastAsia="en-US"/>
        </w:rPr>
      </w:pPr>
    </w:p>
    <w:p w14:paraId="17412708" w14:textId="09819AB6" w:rsidR="00FC7CCF" w:rsidRPr="00490D3B" w:rsidRDefault="00FC7CCF" w:rsidP="007A5C2D">
      <w:pPr>
        <w:pStyle w:val="Normal0"/>
        <w:rPr>
          <w:sz w:val="20"/>
          <w:szCs w:val="20"/>
          <w:lang w:val="en-US" w:eastAsia="en-US"/>
        </w:rPr>
      </w:pPr>
    </w:p>
    <w:p w14:paraId="4C18E1DA" w14:textId="77777777" w:rsidR="00FC7CCF" w:rsidRPr="00490D3B" w:rsidRDefault="00FC7CCF" w:rsidP="007A5C2D">
      <w:pPr>
        <w:pStyle w:val="Normal0"/>
        <w:rPr>
          <w:sz w:val="20"/>
          <w:szCs w:val="20"/>
          <w:lang w:val="en-US" w:eastAsia="en-US"/>
        </w:rPr>
      </w:pPr>
    </w:p>
    <w:p w14:paraId="00000075" w14:textId="77777777" w:rsidR="00AD17D4" w:rsidRPr="00490D3B" w:rsidRDefault="00025888" w:rsidP="007A5C2D">
      <w:pPr>
        <w:pStyle w:val="Normal0"/>
        <w:numPr>
          <w:ilvl w:val="0"/>
          <w:numId w:val="1"/>
        </w:numPr>
        <w:ind w:left="284" w:hanging="284"/>
        <w:rPr>
          <w:b/>
          <w:color w:val="000000"/>
          <w:sz w:val="20"/>
          <w:szCs w:val="20"/>
        </w:rPr>
      </w:pPr>
      <w:r w:rsidRPr="00490D3B">
        <w:rPr>
          <w:b/>
          <w:color w:val="000000"/>
          <w:sz w:val="20"/>
          <w:szCs w:val="20"/>
        </w:rPr>
        <w:lastRenderedPageBreak/>
        <w:t>ACTIVIDADES DIDÁCTICAS</w:t>
      </w:r>
    </w:p>
    <w:p w14:paraId="0000008A" w14:textId="15551067" w:rsidR="00AD17D4" w:rsidRPr="00490D3B" w:rsidRDefault="00AD17D4" w:rsidP="007A5C2D">
      <w:pPr>
        <w:pStyle w:val="Normal0"/>
        <w:rPr>
          <w:color w:val="7F7F7F"/>
          <w:sz w:val="20"/>
          <w:szCs w:val="20"/>
        </w:rPr>
      </w:pPr>
    </w:p>
    <w:tbl>
      <w:tblPr>
        <w:tblW w:w="0" w:type="auto"/>
        <w:tblInd w:w="42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00" w:firstRow="0" w:lastRow="0" w:firstColumn="0" w:lastColumn="0" w:noHBand="0" w:noVBand="1"/>
      </w:tblPr>
      <w:tblGrid>
        <w:gridCol w:w="2693"/>
        <w:gridCol w:w="6848"/>
      </w:tblGrid>
      <w:tr w:rsidR="003310C6" w:rsidRPr="00490D3B" w14:paraId="55E7F395" w14:textId="77777777" w:rsidTr="003310C6">
        <w:trPr>
          <w:trHeight w:val="491"/>
        </w:trPr>
        <w:tc>
          <w:tcPr>
            <w:tcW w:w="0" w:type="auto"/>
            <w:gridSpan w:val="2"/>
            <w:shd w:val="clear" w:color="auto" w:fill="000000" w:themeFill="text1"/>
            <w:vAlign w:val="center"/>
          </w:tcPr>
          <w:p w14:paraId="44B459DB" w14:textId="77777777" w:rsidR="003310C6" w:rsidRPr="00490D3B" w:rsidRDefault="003310C6" w:rsidP="007A5C2D">
            <w:pPr>
              <w:jc w:val="center"/>
              <w:rPr>
                <w:b/>
                <w:bCs/>
                <w:sz w:val="20"/>
                <w:szCs w:val="20"/>
              </w:rPr>
            </w:pPr>
            <w:r w:rsidRPr="00490D3B">
              <w:rPr>
                <w:rFonts w:eastAsia="Calibri"/>
                <w:b/>
                <w:bCs/>
                <w:sz w:val="20"/>
                <w:szCs w:val="20"/>
              </w:rPr>
              <w:t>DESCRIPCIÓN DE ACTIVIDAD DIDÁCTICA</w:t>
            </w:r>
          </w:p>
        </w:tc>
      </w:tr>
      <w:tr w:rsidR="003310C6" w:rsidRPr="00490D3B" w14:paraId="2C1D5AEC" w14:textId="77777777" w:rsidTr="003310C6">
        <w:trPr>
          <w:trHeight w:val="806"/>
        </w:trPr>
        <w:tc>
          <w:tcPr>
            <w:tcW w:w="2693" w:type="dxa"/>
            <w:vAlign w:val="center"/>
          </w:tcPr>
          <w:p w14:paraId="3E7890D7" w14:textId="77777777" w:rsidR="003310C6" w:rsidRPr="00490D3B" w:rsidRDefault="003310C6" w:rsidP="007A5C2D">
            <w:pPr>
              <w:rPr>
                <w:rFonts w:eastAsia="Calibri"/>
                <w:b/>
                <w:bCs/>
                <w:sz w:val="20"/>
                <w:szCs w:val="20"/>
              </w:rPr>
            </w:pPr>
            <w:r w:rsidRPr="00490D3B">
              <w:rPr>
                <w:rFonts w:eastAsia="Calibri"/>
                <w:b/>
                <w:bCs/>
                <w:sz w:val="20"/>
                <w:szCs w:val="20"/>
              </w:rPr>
              <w:t>Nombre de la Actividad</w:t>
            </w:r>
          </w:p>
        </w:tc>
        <w:tc>
          <w:tcPr>
            <w:tcW w:w="6848" w:type="dxa"/>
            <w:vAlign w:val="center"/>
          </w:tcPr>
          <w:p w14:paraId="32596FA8" w14:textId="4C0B9394" w:rsidR="003310C6" w:rsidRPr="00490D3B" w:rsidRDefault="00B45497" w:rsidP="007A5C2D">
            <w:pPr>
              <w:rPr>
                <w:sz w:val="20"/>
                <w:szCs w:val="20"/>
              </w:rPr>
            </w:pPr>
            <w:r w:rsidRPr="00490D3B">
              <w:rPr>
                <w:rFonts w:eastAsia="Calibri"/>
                <w:color w:val="000000"/>
                <w:sz w:val="20"/>
                <w:szCs w:val="20"/>
              </w:rPr>
              <w:t>De los datos a la nota técnica</w:t>
            </w:r>
            <w:r w:rsidR="00F11B9D" w:rsidRPr="00490D3B">
              <w:rPr>
                <w:rFonts w:eastAsia="Calibri"/>
                <w:color w:val="000000"/>
                <w:sz w:val="20"/>
                <w:szCs w:val="20"/>
              </w:rPr>
              <w:t>.</w:t>
            </w:r>
          </w:p>
        </w:tc>
      </w:tr>
      <w:tr w:rsidR="003310C6" w:rsidRPr="00490D3B" w14:paraId="55EF97DE" w14:textId="77777777" w:rsidTr="003310C6">
        <w:trPr>
          <w:trHeight w:val="806"/>
        </w:trPr>
        <w:tc>
          <w:tcPr>
            <w:tcW w:w="2693" w:type="dxa"/>
            <w:vAlign w:val="center"/>
          </w:tcPr>
          <w:p w14:paraId="7D35CFDF" w14:textId="77777777" w:rsidR="003310C6" w:rsidRPr="00490D3B" w:rsidRDefault="003310C6" w:rsidP="007A5C2D">
            <w:pPr>
              <w:rPr>
                <w:rFonts w:eastAsia="Calibri"/>
                <w:b/>
                <w:bCs/>
                <w:sz w:val="20"/>
                <w:szCs w:val="20"/>
              </w:rPr>
            </w:pPr>
            <w:r w:rsidRPr="00490D3B">
              <w:rPr>
                <w:rFonts w:eastAsia="Calibri"/>
                <w:b/>
                <w:bCs/>
                <w:sz w:val="20"/>
                <w:szCs w:val="20"/>
              </w:rPr>
              <w:t>Objetivo de la actividad</w:t>
            </w:r>
          </w:p>
        </w:tc>
        <w:tc>
          <w:tcPr>
            <w:tcW w:w="6848" w:type="dxa"/>
            <w:vAlign w:val="center"/>
          </w:tcPr>
          <w:p w14:paraId="14748A70" w14:textId="2C1F4E10" w:rsidR="003310C6" w:rsidRPr="00490D3B" w:rsidRDefault="001C36A2" w:rsidP="007A5C2D">
            <w:pPr>
              <w:rPr>
                <w:sz w:val="20"/>
                <w:szCs w:val="20"/>
              </w:rPr>
            </w:pPr>
            <w:r w:rsidRPr="00490D3B">
              <w:rPr>
                <w:rFonts w:eastAsia="Calibri"/>
                <w:color w:val="000000"/>
                <w:sz w:val="20"/>
                <w:szCs w:val="20"/>
              </w:rPr>
              <w:t>Reconocer los principales conceptos, elementos y procesos relacionados con la caracterización de la población, el análisis de información, la contratación, la calidad, las tarifas, las glosas y la construcción de la nota técnica en salud.</w:t>
            </w:r>
          </w:p>
        </w:tc>
      </w:tr>
      <w:tr w:rsidR="003310C6" w:rsidRPr="00490D3B" w14:paraId="4D5645D2" w14:textId="77777777" w:rsidTr="003310C6">
        <w:trPr>
          <w:trHeight w:val="1258"/>
        </w:trPr>
        <w:tc>
          <w:tcPr>
            <w:tcW w:w="2693" w:type="dxa"/>
            <w:vAlign w:val="center"/>
          </w:tcPr>
          <w:p w14:paraId="63A20DCB" w14:textId="77777777" w:rsidR="003310C6" w:rsidRPr="00490D3B" w:rsidRDefault="003310C6" w:rsidP="007A5C2D">
            <w:pPr>
              <w:rPr>
                <w:rFonts w:eastAsia="Calibri"/>
                <w:b/>
                <w:bCs/>
                <w:sz w:val="20"/>
                <w:szCs w:val="20"/>
              </w:rPr>
            </w:pPr>
            <w:r w:rsidRPr="00490D3B">
              <w:rPr>
                <w:rFonts w:eastAsia="Calibri"/>
                <w:b/>
                <w:bCs/>
                <w:sz w:val="20"/>
                <w:szCs w:val="20"/>
              </w:rPr>
              <w:t>Tipo de actividad sugerida</w:t>
            </w:r>
          </w:p>
        </w:tc>
        <w:tc>
          <w:tcPr>
            <w:tcW w:w="6848" w:type="dxa"/>
            <w:vAlign w:val="center"/>
          </w:tcPr>
          <w:p w14:paraId="4F10A9FE" w14:textId="64A7377F" w:rsidR="003310C6" w:rsidRPr="00490D3B" w:rsidRDefault="00450408" w:rsidP="007A5C2D">
            <w:pPr>
              <w:rPr>
                <w:b/>
                <w:color w:val="595959" w:themeColor="text1" w:themeTint="A6"/>
                <w:sz w:val="20"/>
                <w:szCs w:val="20"/>
              </w:rPr>
            </w:pPr>
            <w:r w:rsidRPr="00490D3B">
              <w:rPr>
                <w:noProof/>
                <w:color w:val="000000" w:themeColor="text1"/>
                <w:lang w:val="en-US" w:eastAsia="en-US"/>
              </w:rPr>
              <w:drawing>
                <wp:anchor distT="0" distB="0" distL="114300" distR="114300" simplePos="0" relativeHeight="251662336" behindDoc="0" locked="0" layoutInCell="1" hidden="0" allowOverlap="1" wp14:anchorId="7E08EDC2" wp14:editId="01FD4D82">
                  <wp:simplePos x="0" y="0"/>
                  <wp:positionH relativeFrom="column">
                    <wp:posOffset>-868045</wp:posOffset>
                  </wp:positionH>
                  <wp:positionV relativeFrom="paragraph">
                    <wp:posOffset>46990</wp:posOffset>
                  </wp:positionV>
                  <wp:extent cx="962025" cy="712470"/>
                  <wp:effectExtent l="0" t="0" r="9525" b="0"/>
                  <wp:wrapSquare wrapText="bothSides" distT="0" distB="0" distL="114300" distR="114300"/>
                  <wp:docPr id="18"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62"/>
                          <a:srcRect/>
                          <a:stretch>
                            <a:fillRect/>
                          </a:stretch>
                        </pic:blipFill>
                        <pic:spPr>
                          <a:xfrm>
                            <a:off x="0" y="0"/>
                            <a:ext cx="962025" cy="712470"/>
                          </a:xfrm>
                          <a:prstGeom prst="rect">
                            <a:avLst/>
                          </a:prstGeom>
                          <a:ln/>
                        </pic:spPr>
                      </pic:pic>
                    </a:graphicData>
                  </a:graphic>
                  <wp14:sizeRelH relativeFrom="margin">
                    <wp14:pctWidth>0</wp14:pctWidth>
                  </wp14:sizeRelH>
                  <wp14:sizeRelV relativeFrom="margin">
                    <wp14:pctHeight>0</wp14:pctHeight>
                  </wp14:sizeRelV>
                </wp:anchor>
              </w:drawing>
            </w:r>
          </w:p>
        </w:tc>
      </w:tr>
      <w:tr w:rsidR="003310C6" w:rsidRPr="00490D3B" w14:paraId="71D755B1" w14:textId="77777777" w:rsidTr="003310C6">
        <w:trPr>
          <w:trHeight w:val="1849"/>
        </w:trPr>
        <w:tc>
          <w:tcPr>
            <w:tcW w:w="2693" w:type="dxa"/>
            <w:vAlign w:val="center"/>
          </w:tcPr>
          <w:p w14:paraId="01C16D3F" w14:textId="77777777" w:rsidR="003310C6" w:rsidRPr="00490D3B" w:rsidRDefault="003310C6" w:rsidP="007A5C2D">
            <w:pPr>
              <w:rPr>
                <w:rFonts w:eastAsia="Calibri"/>
                <w:b/>
                <w:bCs/>
                <w:sz w:val="20"/>
                <w:szCs w:val="20"/>
              </w:rPr>
            </w:pPr>
            <w:r w:rsidRPr="00490D3B">
              <w:rPr>
                <w:rFonts w:eastAsia="Calibri"/>
                <w:b/>
                <w:bCs/>
                <w:sz w:val="20"/>
                <w:szCs w:val="20"/>
              </w:rPr>
              <w:t xml:space="preserve">Archivo de la actividad </w:t>
            </w:r>
          </w:p>
          <w:p w14:paraId="7488C933" w14:textId="77777777" w:rsidR="003310C6" w:rsidRPr="00490D3B" w:rsidRDefault="003310C6" w:rsidP="007A5C2D">
            <w:pPr>
              <w:rPr>
                <w:rFonts w:eastAsia="Calibri"/>
                <w:b/>
                <w:bCs/>
                <w:sz w:val="20"/>
                <w:szCs w:val="20"/>
              </w:rPr>
            </w:pPr>
            <w:r w:rsidRPr="00490D3B">
              <w:rPr>
                <w:rFonts w:eastAsia="Calibri"/>
                <w:b/>
                <w:bCs/>
                <w:sz w:val="20"/>
                <w:szCs w:val="20"/>
              </w:rPr>
              <w:t>(Anexo donde se describe la actividad propuesta)</w:t>
            </w:r>
          </w:p>
        </w:tc>
        <w:tc>
          <w:tcPr>
            <w:tcW w:w="6848" w:type="dxa"/>
            <w:vAlign w:val="center"/>
          </w:tcPr>
          <w:p w14:paraId="3E9B9607" w14:textId="69A5C837" w:rsidR="003310C6" w:rsidRPr="00490D3B" w:rsidRDefault="00116656" w:rsidP="007A5C2D">
            <w:pPr>
              <w:rPr>
                <w:b/>
                <w:i/>
                <w:sz w:val="20"/>
                <w:szCs w:val="20"/>
              </w:rPr>
            </w:pPr>
            <w:r w:rsidRPr="00490D3B">
              <w:rPr>
                <w:color w:val="000000"/>
                <w:sz w:val="20"/>
                <w:szCs w:val="20"/>
              </w:rPr>
              <w:t>13450096</w:t>
            </w:r>
            <w:r w:rsidR="00E35E7C" w:rsidRPr="00490D3B">
              <w:rPr>
                <w:color w:val="000000"/>
                <w:sz w:val="20"/>
                <w:szCs w:val="20"/>
              </w:rPr>
              <w:t>_CF02</w:t>
            </w:r>
            <w:r w:rsidR="00F11B9D" w:rsidRPr="00490D3B">
              <w:rPr>
                <w:color w:val="000000"/>
                <w:sz w:val="20"/>
                <w:szCs w:val="20"/>
              </w:rPr>
              <w:t>_AD</w:t>
            </w:r>
          </w:p>
        </w:tc>
      </w:tr>
    </w:tbl>
    <w:p w14:paraId="19DE8EE4" w14:textId="6CFF6E9E" w:rsidR="00AD17D4" w:rsidRPr="00490D3B" w:rsidRDefault="00AD17D4" w:rsidP="007A5C2D">
      <w:pPr>
        <w:pStyle w:val="Normal0"/>
        <w:rPr>
          <w:color w:val="7F7F7F"/>
          <w:sz w:val="20"/>
          <w:szCs w:val="20"/>
        </w:rPr>
      </w:pPr>
    </w:p>
    <w:p w14:paraId="12535259" w14:textId="77777777" w:rsidR="00C77BB3" w:rsidRPr="00490D3B" w:rsidRDefault="00C77BB3" w:rsidP="007A5C2D">
      <w:pPr>
        <w:pStyle w:val="Normal0"/>
        <w:rPr>
          <w:sz w:val="20"/>
          <w:szCs w:val="20"/>
        </w:rPr>
      </w:pPr>
    </w:p>
    <w:p w14:paraId="000000A1" w14:textId="77777777" w:rsidR="00AD17D4" w:rsidRPr="00490D3B" w:rsidRDefault="00025888" w:rsidP="007A5C2D">
      <w:pPr>
        <w:pStyle w:val="Normal0"/>
        <w:numPr>
          <w:ilvl w:val="0"/>
          <w:numId w:val="1"/>
        </w:numPr>
        <w:ind w:left="284" w:hanging="284"/>
        <w:rPr>
          <w:b/>
          <w:color w:val="000000"/>
          <w:sz w:val="20"/>
          <w:szCs w:val="20"/>
        </w:rPr>
      </w:pPr>
      <w:r w:rsidRPr="00490D3B">
        <w:rPr>
          <w:b/>
          <w:color w:val="000000"/>
          <w:sz w:val="20"/>
          <w:szCs w:val="20"/>
        </w:rPr>
        <w:t xml:space="preserve">GLOSARIO: </w:t>
      </w:r>
    </w:p>
    <w:p w14:paraId="000000AA" w14:textId="38E048DA" w:rsidR="00AD17D4" w:rsidRPr="00490D3B" w:rsidRDefault="00AD17D4" w:rsidP="007A5C2D">
      <w:pPr>
        <w:pStyle w:val="Normal0"/>
        <w:rPr>
          <w:sz w:val="20"/>
          <w:szCs w:val="20"/>
        </w:rPr>
      </w:pPr>
    </w:p>
    <w:tbl>
      <w:tblPr>
        <w:tblW w:w="996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20" w:firstRow="1" w:lastRow="0" w:firstColumn="0" w:lastColumn="0" w:noHBand="0" w:noVBand="1"/>
      </w:tblPr>
      <w:tblGrid>
        <w:gridCol w:w="2122"/>
        <w:gridCol w:w="7840"/>
      </w:tblGrid>
      <w:tr w:rsidR="003310C6" w:rsidRPr="00490D3B" w14:paraId="69B98507" w14:textId="77777777" w:rsidTr="003310C6">
        <w:trPr>
          <w:trHeight w:val="214"/>
        </w:trPr>
        <w:tc>
          <w:tcPr>
            <w:tcW w:w="2122" w:type="dxa"/>
            <w:shd w:val="clear" w:color="auto" w:fill="000000" w:themeFill="text1"/>
            <w:tcMar>
              <w:top w:w="100" w:type="dxa"/>
              <w:left w:w="100" w:type="dxa"/>
              <w:bottom w:w="100" w:type="dxa"/>
              <w:right w:w="100" w:type="dxa"/>
            </w:tcMar>
          </w:tcPr>
          <w:p w14:paraId="5B631BDF" w14:textId="77777777" w:rsidR="003310C6" w:rsidRPr="00490D3B" w:rsidRDefault="003310C6" w:rsidP="007A5C2D">
            <w:pPr>
              <w:jc w:val="center"/>
              <w:rPr>
                <w:color w:val="FFFFFF" w:themeColor="background1"/>
                <w:sz w:val="20"/>
                <w:szCs w:val="20"/>
              </w:rPr>
            </w:pPr>
            <w:r w:rsidRPr="00490D3B">
              <w:rPr>
                <w:color w:val="FFFFFF" w:themeColor="background1"/>
                <w:sz w:val="20"/>
                <w:szCs w:val="20"/>
              </w:rPr>
              <w:t>TÉRMINO</w:t>
            </w:r>
          </w:p>
        </w:tc>
        <w:tc>
          <w:tcPr>
            <w:tcW w:w="7840" w:type="dxa"/>
            <w:shd w:val="clear" w:color="auto" w:fill="000000" w:themeFill="text1"/>
            <w:tcMar>
              <w:top w:w="100" w:type="dxa"/>
              <w:left w:w="100" w:type="dxa"/>
              <w:bottom w:w="100" w:type="dxa"/>
              <w:right w:w="100" w:type="dxa"/>
            </w:tcMar>
          </w:tcPr>
          <w:p w14:paraId="0431132E" w14:textId="77777777" w:rsidR="003310C6" w:rsidRPr="00490D3B" w:rsidRDefault="003310C6" w:rsidP="007A5C2D">
            <w:pPr>
              <w:jc w:val="center"/>
              <w:rPr>
                <w:color w:val="FFFFFF" w:themeColor="background1"/>
                <w:sz w:val="20"/>
                <w:szCs w:val="20"/>
              </w:rPr>
            </w:pPr>
            <w:r w:rsidRPr="00490D3B">
              <w:rPr>
                <w:color w:val="FFFFFF" w:themeColor="background1"/>
                <w:sz w:val="20"/>
                <w:szCs w:val="20"/>
              </w:rPr>
              <w:t>SIGNIFICADO</w:t>
            </w:r>
          </w:p>
        </w:tc>
      </w:tr>
      <w:tr w:rsidR="00B76460" w:rsidRPr="00490D3B" w14:paraId="0A89FFFC" w14:textId="77777777" w:rsidTr="003310C6">
        <w:trPr>
          <w:trHeight w:val="253"/>
        </w:trPr>
        <w:tc>
          <w:tcPr>
            <w:tcW w:w="2122" w:type="dxa"/>
            <w:tcMar>
              <w:top w:w="100" w:type="dxa"/>
              <w:left w:w="100" w:type="dxa"/>
              <w:bottom w:w="100" w:type="dxa"/>
              <w:right w:w="100" w:type="dxa"/>
            </w:tcMar>
          </w:tcPr>
          <w:p w14:paraId="15F313AB" w14:textId="628B7DF2" w:rsidR="00B76460" w:rsidRPr="00490D3B" w:rsidRDefault="00B76460" w:rsidP="00B76460">
            <w:pPr>
              <w:rPr>
                <w:sz w:val="20"/>
                <w:szCs w:val="20"/>
              </w:rPr>
            </w:pPr>
            <w:r w:rsidRPr="00490D3B">
              <w:rPr>
                <w:sz w:val="20"/>
                <w:szCs w:val="20"/>
              </w:rPr>
              <w:t>Ajuste:</w:t>
            </w:r>
          </w:p>
        </w:tc>
        <w:tc>
          <w:tcPr>
            <w:tcW w:w="7840" w:type="dxa"/>
            <w:tcMar>
              <w:top w:w="100" w:type="dxa"/>
              <w:left w:w="100" w:type="dxa"/>
              <w:bottom w:w="100" w:type="dxa"/>
              <w:right w:w="100" w:type="dxa"/>
            </w:tcMar>
          </w:tcPr>
          <w:p w14:paraId="29465725" w14:textId="192B564E" w:rsidR="00B76460" w:rsidRPr="00490D3B" w:rsidRDefault="00B76460" w:rsidP="00B76460">
            <w:pPr>
              <w:rPr>
                <w:sz w:val="20"/>
                <w:szCs w:val="20"/>
              </w:rPr>
            </w:pPr>
            <w:r w:rsidRPr="00490D3B">
              <w:rPr>
                <w:sz w:val="20"/>
                <w:szCs w:val="20"/>
              </w:rPr>
              <w:t>modificación realizada a la nota técnica como resultado del análisis de desviaciones, cambios en las condiciones del acuerdo de voluntades o resultados del seguimiento.</w:t>
            </w:r>
          </w:p>
        </w:tc>
      </w:tr>
      <w:tr w:rsidR="00B76460" w:rsidRPr="00490D3B" w14:paraId="6CCA7328" w14:textId="77777777" w:rsidTr="003310C6">
        <w:trPr>
          <w:trHeight w:val="253"/>
        </w:trPr>
        <w:tc>
          <w:tcPr>
            <w:tcW w:w="2122" w:type="dxa"/>
            <w:tcMar>
              <w:top w:w="100" w:type="dxa"/>
              <w:left w:w="100" w:type="dxa"/>
              <w:bottom w:w="100" w:type="dxa"/>
              <w:right w:w="100" w:type="dxa"/>
            </w:tcMar>
          </w:tcPr>
          <w:p w14:paraId="370C5D7F" w14:textId="4A38E099" w:rsidR="00B76460" w:rsidRPr="00490D3B" w:rsidRDefault="00B76460" w:rsidP="00B76460">
            <w:pPr>
              <w:rPr>
                <w:sz w:val="20"/>
                <w:szCs w:val="20"/>
              </w:rPr>
            </w:pPr>
            <w:r w:rsidRPr="00490D3B">
              <w:rPr>
                <w:sz w:val="20"/>
                <w:szCs w:val="20"/>
              </w:rPr>
              <w:t>Costo unitario:</w:t>
            </w:r>
          </w:p>
        </w:tc>
        <w:tc>
          <w:tcPr>
            <w:tcW w:w="7840" w:type="dxa"/>
            <w:tcMar>
              <w:top w:w="100" w:type="dxa"/>
              <w:left w:w="100" w:type="dxa"/>
              <w:bottom w:w="100" w:type="dxa"/>
              <w:right w:w="100" w:type="dxa"/>
            </w:tcMar>
          </w:tcPr>
          <w:p w14:paraId="706BA5F4" w14:textId="2D9BCD58" w:rsidR="00B76460" w:rsidRPr="00490D3B" w:rsidRDefault="00B76460" w:rsidP="00B76460">
            <w:pPr>
              <w:rPr>
                <w:sz w:val="20"/>
                <w:szCs w:val="20"/>
              </w:rPr>
            </w:pPr>
            <w:r w:rsidRPr="00490D3B">
              <w:rPr>
                <w:sz w:val="20"/>
                <w:szCs w:val="20"/>
              </w:rPr>
              <w:t>valor económico asociado a una unidad de un servicio o tecnología en salud, utilizado para calcular el costo total proyectado.</w:t>
            </w:r>
          </w:p>
        </w:tc>
      </w:tr>
      <w:tr w:rsidR="00B76460" w:rsidRPr="00490D3B" w14:paraId="00A877A1" w14:textId="77777777" w:rsidTr="003310C6">
        <w:trPr>
          <w:trHeight w:val="253"/>
        </w:trPr>
        <w:tc>
          <w:tcPr>
            <w:tcW w:w="2122" w:type="dxa"/>
            <w:tcMar>
              <w:top w:w="100" w:type="dxa"/>
              <w:left w:w="100" w:type="dxa"/>
              <w:bottom w:w="100" w:type="dxa"/>
              <w:right w:w="100" w:type="dxa"/>
            </w:tcMar>
          </w:tcPr>
          <w:p w14:paraId="387666D7" w14:textId="6E8F7BB6" w:rsidR="00B76460" w:rsidRPr="00490D3B" w:rsidRDefault="00B76460" w:rsidP="00B76460">
            <w:pPr>
              <w:rPr>
                <w:sz w:val="20"/>
                <w:szCs w:val="20"/>
              </w:rPr>
            </w:pPr>
            <w:r w:rsidRPr="00490D3B">
              <w:rPr>
                <w:sz w:val="20"/>
                <w:szCs w:val="20"/>
              </w:rPr>
              <w:t>Desviación:</w:t>
            </w:r>
          </w:p>
        </w:tc>
        <w:tc>
          <w:tcPr>
            <w:tcW w:w="7840" w:type="dxa"/>
            <w:tcMar>
              <w:top w:w="100" w:type="dxa"/>
              <w:left w:w="100" w:type="dxa"/>
              <w:bottom w:w="100" w:type="dxa"/>
              <w:right w:w="100" w:type="dxa"/>
            </w:tcMar>
          </w:tcPr>
          <w:p w14:paraId="31540DF7" w14:textId="44BD89E9" w:rsidR="00B76460" w:rsidRPr="00490D3B" w:rsidRDefault="00B76460" w:rsidP="00B76460">
            <w:pPr>
              <w:rPr>
                <w:sz w:val="20"/>
                <w:szCs w:val="20"/>
              </w:rPr>
            </w:pPr>
            <w:r w:rsidRPr="00490D3B">
              <w:rPr>
                <w:sz w:val="20"/>
                <w:szCs w:val="20"/>
              </w:rPr>
              <w:t>diferencia entre el valor proyectado y el valor observado durante la ejecución de los servicios o tecnologías incluidos en la nota técnica.</w:t>
            </w:r>
          </w:p>
        </w:tc>
      </w:tr>
      <w:tr w:rsidR="00B76460" w:rsidRPr="00490D3B" w14:paraId="665AA6DD" w14:textId="77777777" w:rsidTr="003310C6">
        <w:trPr>
          <w:trHeight w:val="253"/>
        </w:trPr>
        <w:tc>
          <w:tcPr>
            <w:tcW w:w="2122" w:type="dxa"/>
            <w:tcMar>
              <w:top w:w="100" w:type="dxa"/>
              <w:left w:w="100" w:type="dxa"/>
              <w:bottom w:w="100" w:type="dxa"/>
              <w:right w:w="100" w:type="dxa"/>
            </w:tcMar>
          </w:tcPr>
          <w:p w14:paraId="3087BA16" w14:textId="72A679AD" w:rsidR="00B76460" w:rsidRPr="00490D3B" w:rsidRDefault="00B76460" w:rsidP="00B76460">
            <w:pPr>
              <w:rPr>
                <w:sz w:val="20"/>
                <w:szCs w:val="20"/>
              </w:rPr>
            </w:pPr>
            <w:r w:rsidRPr="00490D3B">
              <w:rPr>
                <w:sz w:val="20"/>
                <w:szCs w:val="20"/>
              </w:rPr>
              <w:t>Frecuencia de uso:</w:t>
            </w:r>
          </w:p>
        </w:tc>
        <w:tc>
          <w:tcPr>
            <w:tcW w:w="7840" w:type="dxa"/>
            <w:tcMar>
              <w:top w:w="100" w:type="dxa"/>
              <w:left w:w="100" w:type="dxa"/>
              <w:bottom w:w="100" w:type="dxa"/>
              <w:right w:w="100" w:type="dxa"/>
            </w:tcMar>
          </w:tcPr>
          <w:p w14:paraId="61FA9CB5" w14:textId="6678DFC1" w:rsidR="00B76460" w:rsidRPr="00490D3B" w:rsidRDefault="00B76460" w:rsidP="00B76460">
            <w:pPr>
              <w:rPr>
                <w:sz w:val="20"/>
                <w:szCs w:val="20"/>
              </w:rPr>
            </w:pPr>
            <w:r w:rsidRPr="00490D3B">
              <w:rPr>
                <w:sz w:val="20"/>
                <w:szCs w:val="20"/>
              </w:rPr>
              <w:t>número de veces que un servicio o tecnología es utilizado por una población determinada durante un periodo establecido.</w:t>
            </w:r>
          </w:p>
        </w:tc>
      </w:tr>
      <w:tr w:rsidR="00B76460" w:rsidRPr="00490D3B" w14:paraId="3CF075ED" w14:textId="77777777" w:rsidTr="003310C6">
        <w:trPr>
          <w:trHeight w:val="253"/>
        </w:trPr>
        <w:tc>
          <w:tcPr>
            <w:tcW w:w="2122" w:type="dxa"/>
            <w:tcMar>
              <w:top w:w="100" w:type="dxa"/>
              <w:left w:w="100" w:type="dxa"/>
              <w:bottom w:w="100" w:type="dxa"/>
              <w:right w:w="100" w:type="dxa"/>
            </w:tcMar>
          </w:tcPr>
          <w:p w14:paraId="693E3C45" w14:textId="038CAC84" w:rsidR="00B76460" w:rsidRPr="00490D3B" w:rsidRDefault="00B76460" w:rsidP="00B76460">
            <w:pPr>
              <w:rPr>
                <w:sz w:val="20"/>
                <w:szCs w:val="20"/>
              </w:rPr>
            </w:pPr>
            <w:r w:rsidRPr="00490D3B">
              <w:rPr>
                <w:sz w:val="20"/>
                <w:szCs w:val="20"/>
              </w:rPr>
              <w:t>Hallazgo:</w:t>
            </w:r>
          </w:p>
        </w:tc>
        <w:tc>
          <w:tcPr>
            <w:tcW w:w="7840" w:type="dxa"/>
            <w:tcMar>
              <w:top w:w="100" w:type="dxa"/>
              <w:left w:w="100" w:type="dxa"/>
              <w:bottom w:w="100" w:type="dxa"/>
              <w:right w:w="100" w:type="dxa"/>
            </w:tcMar>
          </w:tcPr>
          <w:p w14:paraId="139B03E0" w14:textId="61DC6EF1" w:rsidR="00B76460" w:rsidRPr="00490D3B" w:rsidRDefault="00B76460" w:rsidP="00B76460">
            <w:pPr>
              <w:rPr>
                <w:sz w:val="20"/>
                <w:szCs w:val="20"/>
              </w:rPr>
            </w:pPr>
            <w:r w:rsidRPr="00490D3B">
              <w:rPr>
                <w:sz w:val="20"/>
                <w:szCs w:val="20"/>
              </w:rPr>
              <w:t>situación identificada durante la revisión, validación o seguimiento de la nota técnica que evidencia una diferencia, inconsistencia o aspecto susceptible de mejora.</w:t>
            </w:r>
          </w:p>
        </w:tc>
      </w:tr>
      <w:tr w:rsidR="00B76460" w:rsidRPr="00490D3B" w14:paraId="4A781492" w14:textId="77777777" w:rsidTr="003310C6">
        <w:trPr>
          <w:trHeight w:val="253"/>
        </w:trPr>
        <w:tc>
          <w:tcPr>
            <w:tcW w:w="2122" w:type="dxa"/>
            <w:tcMar>
              <w:top w:w="100" w:type="dxa"/>
              <w:left w:w="100" w:type="dxa"/>
              <w:bottom w:w="100" w:type="dxa"/>
              <w:right w:w="100" w:type="dxa"/>
            </w:tcMar>
          </w:tcPr>
          <w:p w14:paraId="1DCB6C7D" w14:textId="453B72FB" w:rsidR="00B76460" w:rsidRPr="00490D3B" w:rsidRDefault="00B76460" w:rsidP="00B76460">
            <w:pPr>
              <w:rPr>
                <w:sz w:val="20"/>
                <w:szCs w:val="20"/>
              </w:rPr>
            </w:pPr>
            <w:r w:rsidRPr="00490D3B">
              <w:rPr>
                <w:sz w:val="20"/>
                <w:szCs w:val="20"/>
              </w:rPr>
              <w:t>Indicador:</w:t>
            </w:r>
          </w:p>
        </w:tc>
        <w:tc>
          <w:tcPr>
            <w:tcW w:w="7840" w:type="dxa"/>
            <w:tcMar>
              <w:top w:w="100" w:type="dxa"/>
              <w:left w:w="100" w:type="dxa"/>
              <w:bottom w:w="100" w:type="dxa"/>
              <w:right w:w="100" w:type="dxa"/>
            </w:tcMar>
          </w:tcPr>
          <w:p w14:paraId="200DBF7E" w14:textId="3AE91E7D" w:rsidR="00B76460" w:rsidRPr="00490D3B" w:rsidRDefault="00B76460" w:rsidP="00B76460">
            <w:pPr>
              <w:rPr>
                <w:sz w:val="20"/>
                <w:szCs w:val="20"/>
              </w:rPr>
            </w:pPr>
            <w:r w:rsidRPr="00490D3B">
              <w:rPr>
                <w:sz w:val="20"/>
                <w:szCs w:val="20"/>
              </w:rPr>
              <w:t>medida que permite evaluar el comportamiento de una variable y comparar los resultados observados con los valores proyectados.</w:t>
            </w:r>
          </w:p>
        </w:tc>
      </w:tr>
      <w:tr w:rsidR="00B76460" w:rsidRPr="00490D3B" w14:paraId="5A29A671" w14:textId="77777777" w:rsidTr="003310C6">
        <w:trPr>
          <w:trHeight w:val="253"/>
        </w:trPr>
        <w:tc>
          <w:tcPr>
            <w:tcW w:w="2122" w:type="dxa"/>
            <w:tcMar>
              <w:top w:w="100" w:type="dxa"/>
              <w:left w:w="100" w:type="dxa"/>
              <w:bottom w:w="100" w:type="dxa"/>
              <w:right w:w="100" w:type="dxa"/>
            </w:tcMar>
          </w:tcPr>
          <w:p w14:paraId="453CEDD8" w14:textId="60F5D995" w:rsidR="00B76460" w:rsidRPr="00490D3B" w:rsidRDefault="00B76460" w:rsidP="00B76460">
            <w:pPr>
              <w:rPr>
                <w:sz w:val="20"/>
                <w:szCs w:val="20"/>
              </w:rPr>
            </w:pPr>
            <w:r w:rsidRPr="00490D3B">
              <w:rPr>
                <w:sz w:val="20"/>
                <w:szCs w:val="20"/>
              </w:rPr>
              <w:t>Modalidad de pago:</w:t>
            </w:r>
          </w:p>
        </w:tc>
        <w:tc>
          <w:tcPr>
            <w:tcW w:w="7840" w:type="dxa"/>
            <w:tcMar>
              <w:top w:w="100" w:type="dxa"/>
              <w:left w:w="100" w:type="dxa"/>
              <w:bottom w:w="100" w:type="dxa"/>
              <w:right w:w="100" w:type="dxa"/>
            </w:tcMar>
          </w:tcPr>
          <w:p w14:paraId="4D7D476B" w14:textId="001E5922" w:rsidR="00B76460" w:rsidRPr="00490D3B" w:rsidRDefault="00B76460" w:rsidP="00B76460">
            <w:pPr>
              <w:rPr>
                <w:sz w:val="20"/>
                <w:szCs w:val="20"/>
              </w:rPr>
            </w:pPr>
            <w:r w:rsidRPr="00490D3B">
              <w:rPr>
                <w:sz w:val="20"/>
                <w:szCs w:val="20"/>
              </w:rPr>
              <w:t>forma establecida para reconocer económicamente los servicios y tecnologías en salud dentro de un acuerdo de voluntades.</w:t>
            </w:r>
          </w:p>
        </w:tc>
      </w:tr>
      <w:tr w:rsidR="00B76460" w:rsidRPr="00490D3B" w14:paraId="0BF0444B" w14:textId="77777777" w:rsidTr="003310C6">
        <w:trPr>
          <w:trHeight w:val="253"/>
        </w:trPr>
        <w:tc>
          <w:tcPr>
            <w:tcW w:w="2122" w:type="dxa"/>
            <w:tcMar>
              <w:top w:w="100" w:type="dxa"/>
              <w:left w:w="100" w:type="dxa"/>
              <w:bottom w:w="100" w:type="dxa"/>
              <w:right w:w="100" w:type="dxa"/>
            </w:tcMar>
          </w:tcPr>
          <w:p w14:paraId="151DE86E" w14:textId="452351DC" w:rsidR="00B76460" w:rsidRPr="00490D3B" w:rsidRDefault="00B76460" w:rsidP="00B76460">
            <w:pPr>
              <w:rPr>
                <w:sz w:val="20"/>
                <w:szCs w:val="20"/>
              </w:rPr>
            </w:pPr>
            <w:r w:rsidRPr="00490D3B">
              <w:rPr>
                <w:sz w:val="20"/>
                <w:szCs w:val="20"/>
              </w:rPr>
              <w:lastRenderedPageBreak/>
              <w:t>Nota técnica:</w:t>
            </w:r>
          </w:p>
        </w:tc>
        <w:tc>
          <w:tcPr>
            <w:tcW w:w="7840" w:type="dxa"/>
            <w:tcMar>
              <w:top w:w="100" w:type="dxa"/>
              <w:left w:w="100" w:type="dxa"/>
              <w:bottom w:w="100" w:type="dxa"/>
              <w:right w:w="100" w:type="dxa"/>
            </w:tcMar>
          </w:tcPr>
          <w:p w14:paraId="376A8154" w14:textId="25D68D57" w:rsidR="00B76460" w:rsidRPr="00490D3B" w:rsidRDefault="00243415" w:rsidP="00B76460">
            <w:pPr>
              <w:rPr>
                <w:sz w:val="20"/>
                <w:szCs w:val="20"/>
              </w:rPr>
            </w:pPr>
            <w:r w:rsidRPr="00490D3B">
              <w:rPr>
                <w:sz w:val="20"/>
                <w:szCs w:val="20"/>
              </w:rPr>
              <w:t>he</w:t>
            </w:r>
            <w:r w:rsidR="00B76460" w:rsidRPr="00490D3B">
              <w:rPr>
                <w:sz w:val="20"/>
                <w:szCs w:val="20"/>
              </w:rPr>
              <w:t>rramienta que organiza y sustenta la proyección de servicios y tecnologías en salud, considerando población, frecuencias de uso, costos, tarifas y riesgos.</w:t>
            </w:r>
          </w:p>
        </w:tc>
      </w:tr>
      <w:tr w:rsidR="00B76460" w:rsidRPr="00490D3B" w14:paraId="4C59EB14" w14:textId="77777777" w:rsidTr="003310C6">
        <w:trPr>
          <w:trHeight w:val="253"/>
        </w:trPr>
        <w:tc>
          <w:tcPr>
            <w:tcW w:w="2122" w:type="dxa"/>
            <w:tcMar>
              <w:top w:w="100" w:type="dxa"/>
              <w:left w:w="100" w:type="dxa"/>
              <w:bottom w:w="100" w:type="dxa"/>
              <w:right w:w="100" w:type="dxa"/>
            </w:tcMar>
          </w:tcPr>
          <w:p w14:paraId="2F52E42D" w14:textId="0EC53639" w:rsidR="00B76460" w:rsidRPr="00490D3B" w:rsidRDefault="00B76460" w:rsidP="00B76460">
            <w:pPr>
              <w:rPr>
                <w:sz w:val="20"/>
                <w:szCs w:val="20"/>
              </w:rPr>
            </w:pPr>
            <w:r w:rsidRPr="00490D3B">
              <w:rPr>
                <w:sz w:val="20"/>
                <w:szCs w:val="20"/>
              </w:rPr>
              <w:t>Población susceptible:</w:t>
            </w:r>
          </w:p>
        </w:tc>
        <w:tc>
          <w:tcPr>
            <w:tcW w:w="7840" w:type="dxa"/>
            <w:tcMar>
              <w:top w:w="100" w:type="dxa"/>
              <w:left w:w="100" w:type="dxa"/>
              <w:bottom w:w="100" w:type="dxa"/>
              <w:right w:w="100" w:type="dxa"/>
            </w:tcMar>
          </w:tcPr>
          <w:p w14:paraId="1A0852B7" w14:textId="2B03DDA9" w:rsidR="00B76460" w:rsidRPr="00490D3B" w:rsidRDefault="00243415" w:rsidP="00B76460">
            <w:pPr>
              <w:rPr>
                <w:sz w:val="20"/>
                <w:szCs w:val="20"/>
              </w:rPr>
            </w:pPr>
            <w:r w:rsidRPr="00490D3B">
              <w:rPr>
                <w:sz w:val="20"/>
                <w:szCs w:val="20"/>
              </w:rPr>
              <w:t>gru</w:t>
            </w:r>
            <w:r w:rsidR="00B76460" w:rsidRPr="00490D3B">
              <w:rPr>
                <w:sz w:val="20"/>
                <w:szCs w:val="20"/>
              </w:rPr>
              <w:t>po de personas dentro de la población objeto que puede requerir determinados servicios o tecnologías en salud.</w:t>
            </w:r>
          </w:p>
        </w:tc>
      </w:tr>
      <w:tr w:rsidR="00B76460" w:rsidRPr="00490D3B" w14:paraId="3954DCBD" w14:textId="77777777" w:rsidTr="003310C6">
        <w:trPr>
          <w:trHeight w:val="253"/>
        </w:trPr>
        <w:tc>
          <w:tcPr>
            <w:tcW w:w="2122" w:type="dxa"/>
            <w:tcMar>
              <w:top w:w="100" w:type="dxa"/>
              <w:left w:w="100" w:type="dxa"/>
              <w:bottom w:w="100" w:type="dxa"/>
              <w:right w:w="100" w:type="dxa"/>
            </w:tcMar>
          </w:tcPr>
          <w:p w14:paraId="641AC47C" w14:textId="1E69D8DA" w:rsidR="00B76460" w:rsidRPr="00490D3B" w:rsidRDefault="00B76460" w:rsidP="00B76460">
            <w:pPr>
              <w:rPr>
                <w:sz w:val="20"/>
                <w:szCs w:val="20"/>
              </w:rPr>
            </w:pPr>
            <w:r w:rsidRPr="00490D3B">
              <w:rPr>
                <w:sz w:val="20"/>
                <w:szCs w:val="20"/>
              </w:rPr>
              <w:t>Proyección:</w:t>
            </w:r>
          </w:p>
        </w:tc>
        <w:tc>
          <w:tcPr>
            <w:tcW w:w="7840" w:type="dxa"/>
            <w:tcMar>
              <w:top w:w="100" w:type="dxa"/>
              <w:left w:w="100" w:type="dxa"/>
              <w:bottom w:w="100" w:type="dxa"/>
              <w:right w:w="100" w:type="dxa"/>
            </w:tcMar>
          </w:tcPr>
          <w:p w14:paraId="71F0AE1F" w14:textId="31EAAF0E" w:rsidR="00B76460" w:rsidRPr="00490D3B" w:rsidRDefault="00243415" w:rsidP="00B76460">
            <w:pPr>
              <w:rPr>
                <w:sz w:val="20"/>
                <w:szCs w:val="20"/>
              </w:rPr>
            </w:pPr>
            <w:r w:rsidRPr="00490D3B">
              <w:rPr>
                <w:sz w:val="20"/>
                <w:szCs w:val="20"/>
              </w:rPr>
              <w:t>estim</w:t>
            </w:r>
            <w:r w:rsidR="00B76460" w:rsidRPr="00490D3B">
              <w:rPr>
                <w:sz w:val="20"/>
                <w:szCs w:val="20"/>
              </w:rPr>
              <w:t>ación de las cantidades, frecuencias, costos o valores que se esperan durante un periodo determinado, a partir de información disponible.</w:t>
            </w:r>
          </w:p>
        </w:tc>
      </w:tr>
      <w:tr w:rsidR="00B76460" w:rsidRPr="00490D3B" w14:paraId="100ECCB9" w14:textId="77777777" w:rsidTr="003310C6">
        <w:trPr>
          <w:trHeight w:val="253"/>
        </w:trPr>
        <w:tc>
          <w:tcPr>
            <w:tcW w:w="2122" w:type="dxa"/>
            <w:tcMar>
              <w:top w:w="100" w:type="dxa"/>
              <w:left w:w="100" w:type="dxa"/>
              <w:bottom w:w="100" w:type="dxa"/>
              <w:right w:w="100" w:type="dxa"/>
            </w:tcMar>
          </w:tcPr>
          <w:p w14:paraId="18B0E0A2" w14:textId="644ECD08" w:rsidR="00B76460" w:rsidRPr="00490D3B" w:rsidRDefault="00B76460" w:rsidP="00B76460">
            <w:pPr>
              <w:rPr>
                <w:sz w:val="20"/>
                <w:szCs w:val="20"/>
              </w:rPr>
            </w:pPr>
            <w:r w:rsidRPr="00490D3B">
              <w:rPr>
                <w:sz w:val="20"/>
                <w:szCs w:val="20"/>
              </w:rPr>
              <w:t>Riesgo primario:</w:t>
            </w:r>
          </w:p>
        </w:tc>
        <w:tc>
          <w:tcPr>
            <w:tcW w:w="7840" w:type="dxa"/>
            <w:tcMar>
              <w:top w:w="100" w:type="dxa"/>
              <w:left w:w="100" w:type="dxa"/>
              <w:bottom w:w="100" w:type="dxa"/>
              <w:right w:w="100" w:type="dxa"/>
            </w:tcMar>
          </w:tcPr>
          <w:p w14:paraId="54A66F75" w14:textId="6CEC76A5" w:rsidR="00B76460" w:rsidRPr="00490D3B" w:rsidRDefault="00243415" w:rsidP="00B76460">
            <w:pPr>
              <w:rPr>
                <w:sz w:val="20"/>
                <w:szCs w:val="20"/>
              </w:rPr>
            </w:pPr>
            <w:r w:rsidRPr="00490D3B">
              <w:rPr>
                <w:sz w:val="20"/>
                <w:szCs w:val="20"/>
              </w:rPr>
              <w:t>rie</w:t>
            </w:r>
            <w:r w:rsidR="00B76460" w:rsidRPr="00490D3B">
              <w:rPr>
                <w:sz w:val="20"/>
                <w:szCs w:val="20"/>
              </w:rPr>
              <w:t>sgo relacionado con la ocurrencia de condiciones o eventos de salud en una población que pueden generar necesidades de atención.</w:t>
            </w:r>
          </w:p>
        </w:tc>
      </w:tr>
      <w:tr w:rsidR="00B76460" w:rsidRPr="00490D3B" w14:paraId="2BBBE243" w14:textId="77777777" w:rsidTr="003310C6">
        <w:trPr>
          <w:trHeight w:val="253"/>
        </w:trPr>
        <w:tc>
          <w:tcPr>
            <w:tcW w:w="2122" w:type="dxa"/>
            <w:tcMar>
              <w:top w:w="100" w:type="dxa"/>
              <w:left w:w="100" w:type="dxa"/>
              <w:bottom w:w="100" w:type="dxa"/>
              <w:right w:w="100" w:type="dxa"/>
            </w:tcMar>
          </w:tcPr>
          <w:p w14:paraId="548DFC74" w14:textId="250A514B" w:rsidR="00B76460" w:rsidRPr="00490D3B" w:rsidRDefault="00B76460" w:rsidP="00B76460">
            <w:pPr>
              <w:rPr>
                <w:sz w:val="20"/>
                <w:szCs w:val="20"/>
              </w:rPr>
            </w:pPr>
            <w:r w:rsidRPr="00490D3B">
              <w:rPr>
                <w:sz w:val="20"/>
                <w:szCs w:val="20"/>
              </w:rPr>
              <w:t>Riesgo técnico:</w:t>
            </w:r>
          </w:p>
        </w:tc>
        <w:tc>
          <w:tcPr>
            <w:tcW w:w="7840" w:type="dxa"/>
            <w:tcMar>
              <w:top w:w="100" w:type="dxa"/>
              <w:left w:w="100" w:type="dxa"/>
              <w:bottom w:w="100" w:type="dxa"/>
              <w:right w:w="100" w:type="dxa"/>
            </w:tcMar>
          </w:tcPr>
          <w:p w14:paraId="661AC31B" w14:textId="546C28CD" w:rsidR="00B76460" w:rsidRPr="00490D3B" w:rsidRDefault="00243415" w:rsidP="00B76460">
            <w:pPr>
              <w:rPr>
                <w:sz w:val="20"/>
                <w:szCs w:val="20"/>
              </w:rPr>
            </w:pPr>
            <w:r w:rsidRPr="00490D3B">
              <w:rPr>
                <w:sz w:val="20"/>
                <w:szCs w:val="20"/>
              </w:rPr>
              <w:t>ries</w:t>
            </w:r>
            <w:r w:rsidR="00B76460" w:rsidRPr="00490D3B">
              <w:rPr>
                <w:sz w:val="20"/>
                <w:szCs w:val="20"/>
              </w:rPr>
              <w:t>go asociado con la variabilidad en la utilización de servicios y recursos requeridos para atender las condiciones de salud de una población.</w:t>
            </w:r>
          </w:p>
        </w:tc>
      </w:tr>
      <w:tr w:rsidR="00B76460" w:rsidRPr="00490D3B" w14:paraId="06C4CA08" w14:textId="77777777" w:rsidTr="003310C6">
        <w:trPr>
          <w:trHeight w:val="253"/>
        </w:trPr>
        <w:tc>
          <w:tcPr>
            <w:tcW w:w="2122" w:type="dxa"/>
            <w:tcMar>
              <w:top w:w="100" w:type="dxa"/>
              <w:left w:w="100" w:type="dxa"/>
              <w:bottom w:w="100" w:type="dxa"/>
              <w:right w:w="100" w:type="dxa"/>
            </w:tcMar>
          </w:tcPr>
          <w:p w14:paraId="07D4E32E" w14:textId="104615D7" w:rsidR="00B76460" w:rsidRPr="00490D3B" w:rsidRDefault="00B76460" w:rsidP="00B76460">
            <w:pPr>
              <w:rPr>
                <w:sz w:val="20"/>
                <w:szCs w:val="20"/>
              </w:rPr>
            </w:pPr>
            <w:r w:rsidRPr="00490D3B">
              <w:rPr>
                <w:sz w:val="20"/>
                <w:szCs w:val="20"/>
              </w:rPr>
              <w:t>Tarifa:</w:t>
            </w:r>
          </w:p>
        </w:tc>
        <w:tc>
          <w:tcPr>
            <w:tcW w:w="7840" w:type="dxa"/>
            <w:tcMar>
              <w:top w:w="100" w:type="dxa"/>
              <w:left w:w="100" w:type="dxa"/>
              <w:bottom w:w="100" w:type="dxa"/>
              <w:right w:w="100" w:type="dxa"/>
            </w:tcMar>
          </w:tcPr>
          <w:p w14:paraId="0D1C03A7" w14:textId="5D14EFA1" w:rsidR="00B76460" w:rsidRPr="00490D3B" w:rsidRDefault="00243415" w:rsidP="00B76460">
            <w:pPr>
              <w:rPr>
                <w:sz w:val="20"/>
                <w:szCs w:val="20"/>
              </w:rPr>
            </w:pPr>
            <w:r w:rsidRPr="00490D3B">
              <w:rPr>
                <w:sz w:val="20"/>
                <w:szCs w:val="20"/>
              </w:rPr>
              <w:t>va</w:t>
            </w:r>
            <w:r w:rsidR="00B76460" w:rsidRPr="00490D3B">
              <w:rPr>
                <w:sz w:val="20"/>
                <w:szCs w:val="20"/>
              </w:rPr>
              <w:t>lor económico asignado a un servicio o tecnología en salud para efectos de reconocimiento, negociación o contratación.</w:t>
            </w:r>
          </w:p>
        </w:tc>
      </w:tr>
      <w:tr w:rsidR="00B76460" w:rsidRPr="00490D3B" w14:paraId="732D38EA" w14:textId="77777777" w:rsidTr="003310C6">
        <w:trPr>
          <w:trHeight w:val="253"/>
        </w:trPr>
        <w:tc>
          <w:tcPr>
            <w:tcW w:w="2122" w:type="dxa"/>
            <w:tcMar>
              <w:top w:w="100" w:type="dxa"/>
              <w:left w:w="100" w:type="dxa"/>
              <w:bottom w:w="100" w:type="dxa"/>
              <w:right w:w="100" w:type="dxa"/>
            </w:tcMar>
          </w:tcPr>
          <w:p w14:paraId="7ABFBD49" w14:textId="1898407C" w:rsidR="00B76460" w:rsidRPr="00490D3B" w:rsidRDefault="00B76460" w:rsidP="00B76460">
            <w:pPr>
              <w:rPr>
                <w:sz w:val="20"/>
                <w:szCs w:val="20"/>
              </w:rPr>
            </w:pPr>
            <w:r w:rsidRPr="00490D3B">
              <w:rPr>
                <w:sz w:val="20"/>
                <w:szCs w:val="20"/>
              </w:rPr>
              <w:t>Trazabilidad:</w:t>
            </w:r>
          </w:p>
        </w:tc>
        <w:tc>
          <w:tcPr>
            <w:tcW w:w="7840" w:type="dxa"/>
            <w:tcMar>
              <w:top w:w="100" w:type="dxa"/>
              <w:left w:w="100" w:type="dxa"/>
              <w:bottom w:w="100" w:type="dxa"/>
              <w:right w:w="100" w:type="dxa"/>
            </w:tcMar>
          </w:tcPr>
          <w:p w14:paraId="28CD9DD8" w14:textId="24E62D2F" w:rsidR="00B76460" w:rsidRPr="00490D3B" w:rsidRDefault="00243415" w:rsidP="00B76460">
            <w:pPr>
              <w:rPr>
                <w:sz w:val="20"/>
                <w:szCs w:val="20"/>
              </w:rPr>
            </w:pPr>
            <w:r w:rsidRPr="00490D3B">
              <w:rPr>
                <w:sz w:val="20"/>
                <w:szCs w:val="20"/>
              </w:rPr>
              <w:t>cap</w:t>
            </w:r>
            <w:r w:rsidR="00B76460" w:rsidRPr="00490D3B">
              <w:rPr>
                <w:sz w:val="20"/>
                <w:szCs w:val="20"/>
              </w:rPr>
              <w:t>acidad de identificar el origen, tratamiento y relación de los datos, cálculos y soportes utilizados en la construcción y actualización de la nota técnica.</w:t>
            </w:r>
          </w:p>
        </w:tc>
      </w:tr>
      <w:tr w:rsidR="00B76460" w:rsidRPr="00490D3B" w14:paraId="6F423415" w14:textId="77777777" w:rsidTr="003310C6">
        <w:trPr>
          <w:trHeight w:val="253"/>
        </w:trPr>
        <w:tc>
          <w:tcPr>
            <w:tcW w:w="2122" w:type="dxa"/>
            <w:tcMar>
              <w:top w:w="100" w:type="dxa"/>
              <w:left w:w="100" w:type="dxa"/>
              <w:bottom w:w="100" w:type="dxa"/>
              <w:right w:w="100" w:type="dxa"/>
            </w:tcMar>
          </w:tcPr>
          <w:p w14:paraId="732F8194" w14:textId="5500EF66" w:rsidR="00B76460" w:rsidRPr="00490D3B" w:rsidRDefault="00B76460" w:rsidP="00B76460">
            <w:pPr>
              <w:rPr>
                <w:sz w:val="20"/>
                <w:szCs w:val="20"/>
              </w:rPr>
            </w:pPr>
            <w:r w:rsidRPr="00490D3B">
              <w:rPr>
                <w:sz w:val="20"/>
                <w:szCs w:val="20"/>
              </w:rPr>
              <w:t>Validación:</w:t>
            </w:r>
          </w:p>
        </w:tc>
        <w:tc>
          <w:tcPr>
            <w:tcW w:w="7840" w:type="dxa"/>
            <w:tcMar>
              <w:top w:w="100" w:type="dxa"/>
              <w:left w:w="100" w:type="dxa"/>
              <w:bottom w:w="100" w:type="dxa"/>
              <w:right w:w="100" w:type="dxa"/>
            </w:tcMar>
          </w:tcPr>
          <w:p w14:paraId="008AFE16" w14:textId="184EA188" w:rsidR="00B76460" w:rsidRPr="00490D3B" w:rsidRDefault="00243415" w:rsidP="00B76460">
            <w:pPr>
              <w:rPr>
                <w:sz w:val="20"/>
                <w:szCs w:val="20"/>
              </w:rPr>
            </w:pPr>
            <w:r w:rsidRPr="00490D3B">
              <w:rPr>
                <w:sz w:val="20"/>
                <w:szCs w:val="20"/>
              </w:rPr>
              <w:t>pr</w:t>
            </w:r>
            <w:r w:rsidR="00B76460" w:rsidRPr="00490D3B">
              <w:rPr>
                <w:sz w:val="20"/>
                <w:szCs w:val="20"/>
              </w:rPr>
              <w:t>oceso mediante el cual se verifica la coherencia, consistencia y correspondencia de la información de la nota técnica desde los aspectos técnico, jurídico y financiero.</w:t>
            </w:r>
          </w:p>
        </w:tc>
      </w:tr>
    </w:tbl>
    <w:p w14:paraId="1CC94206" w14:textId="77777777" w:rsidR="005D3B06" w:rsidRPr="00490D3B" w:rsidRDefault="005D3B06" w:rsidP="005D3B06">
      <w:pPr>
        <w:rPr>
          <w:sz w:val="20"/>
          <w:szCs w:val="20"/>
        </w:rPr>
      </w:pPr>
    </w:p>
    <w:p w14:paraId="502FC181" w14:textId="77777777" w:rsidR="00E06A0D" w:rsidRPr="00490D3B" w:rsidRDefault="00E06A0D" w:rsidP="009F4EA9">
      <w:pPr>
        <w:rPr>
          <w:sz w:val="20"/>
          <w:szCs w:val="20"/>
        </w:rPr>
      </w:pPr>
    </w:p>
    <w:p w14:paraId="000000AC" w14:textId="6DC8F594" w:rsidR="00AD17D4" w:rsidRPr="00490D3B" w:rsidRDefault="00025888" w:rsidP="009F4EA9">
      <w:pPr>
        <w:pStyle w:val="Normal0"/>
        <w:numPr>
          <w:ilvl w:val="0"/>
          <w:numId w:val="1"/>
        </w:numPr>
        <w:ind w:left="284" w:hanging="284"/>
        <w:rPr>
          <w:b/>
          <w:color w:val="000000"/>
          <w:sz w:val="20"/>
          <w:szCs w:val="20"/>
        </w:rPr>
      </w:pPr>
      <w:r w:rsidRPr="00490D3B">
        <w:rPr>
          <w:b/>
          <w:color w:val="000000"/>
          <w:sz w:val="20"/>
          <w:szCs w:val="20"/>
        </w:rPr>
        <w:t xml:space="preserve">REFERENCIAS BIBLIOGRÁFICAS: </w:t>
      </w:r>
    </w:p>
    <w:p w14:paraId="6F9BBDED" w14:textId="77777777" w:rsidR="00CB15DE" w:rsidRPr="00490D3B" w:rsidRDefault="00CB15DE" w:rsidP="00CB15DE">
      <w:pPr>
        <w:pStyle w:val="Normal0"/>
        <w:ind w:left="720" w:hanging="720"/>
        <w:rPr>
          <w:color w:val="000000"/>
          <w:sz w:val="20"/>
          <w:szCs w:val="20"/>
        </w:rPr>
      </w:pPr>
    </w:p>
    <w:p w14:paraId="263FB730" w14:textId="77777777" w:rsidR="00CB15DE" w:rsidRPr="00490D3B" w:rsidRDefault="00CB15DE" w:rsidP="00CB15DE">
      <w:pPr>
        <w:pStyle w:val="Normal0"/>
        <w:ind w:left="720" w:hanging="720"/>
        <w:rPr>
          <w:color w:val="000000"/>
          <w:sz w:val="20"/>
          <w:szCs w:val="20"/>
        </w:rPr>
      </w:pPr>
    </w:p>
    <w:p w14:paraId="21E179B6" w14:textId="1432E5AF" w:rsidR="00CB15DE" w:rsidRPr="00490D3B" w:rsidRDefault="00CB15DE" w:rsidP="00CB15DE">
      <w:pPr>
        <w:pStyle w:val="Normal0"/>
        <w:ind w:left="720" w:hanging="720"/>
        <w:rPr>
          <w:color w:val="000000"/>
          <w:sz w:val="20"/>
          <w:szCs w:val="20"/>
        </w:rPr>
      </w:pPr>
      <w:r w:rsidRPr="00490D3B">
        <w:rPr>
          <w:color w:val="000000"/>
          <w:sz w:val="20"/>
          <w:szCs w:val="20"/>
        </w:rPr>
        <w:t>Ministerio de Salud y Protección Social. (2018). Rutas Integrales de Atención en Salud (RIAS).</w:t>
      </w:r>
    </w:p>
    <w:p w14:paraId="7FA21A4D" w14:textId="77777777" w:rsidR="00CB15DE" w:rsidRPr="00490D3B" w:rsidRDefault="00CB15DE" w:rsidP="00CB15DE">
      <w:pPr>
        <w:pStyle w:val="Normal0"/>
        <w:ind w:left="720" w:hanging="720"/>
        <w:rPr>
          <w:color w:val="000000"/>
          <w:sz w:val="20"/>
          <w:szCs w:val="20"/>
        </w:rPr>
      </w:pPr>
    </w:p>
    <w:p w14:paraId="620708E4" w14:textId="457EC82A" w:rsidR="00CB15DE" w:rsidRDefault="00CB15DE" w:rsidP="00CB15DE">
      <w:pPr>
        <w:pStyle w:val="Normal0"/>
        <w:ind w:left="720" w:hanging="720"/>
        <w:rPr>
          <w:rStyle w:val="Hipervnculo"/>
          <w:sz w:val="20"/>
          <w:szCs w:val="20"/>
        </w:rPr>
      </w:pPr>
      <w:r w:rsidRPr="00490D3B">
        <w:rPr>
          <w:color w:val="000000"/>
          <w:sz w:val="20"/>
          <w:szCs w:val="20"/>
        </w:rPr>
        <w:t xml:space="preserve">Ministerio de Salud y Protección Social. (2022). Decreto 441 de 2022. </w:t>
      </w:r>
      <w:hyperlink r:id="rId63" w:history="1">
        <w:r w:rsidRPr="00490D3B">
          <w:rPr>
            <w:rStyle w:val="Hipervnculo"/>
            <w:sz w:val="20"/>
            <w:szCs w:val="20"/>
          </w:rPr>
          <w:t>https://www.minsalud.gov.co/Normatividad_Nuevo/Decreto%20No.%20441%20de%202022.pdf</w:t>
        </w:r>
      </w:hyperlink>
    </w:p>
    <w:p w14:paraId="2BD1C89A" w14:textId="2A099184" w:rsidR="00DB7196" w:rsidRDefault="00DB7196" w:rsidP="00CB15DE">
      <w:pPr>
        <w:pStyle w:val="Normal0"/>
        <w:ind w:left="720" w:hanging="720"/>
        <w:rPr>
          <w:rStyle w:val="Hipervnculo"/>
          <w:sz w:val="20"/>
          <w:szCs w:val="20"/>
        </w:rPr>
      </w:pPr>
    </w:p>
    <w:p w14:paraId="4C203910" w14:textId="415BF4FB" w:rsidR="00DB7196" w:rsidRPr="00DB7196" w:rsidRDefault="00DB7196" w:rsidP="00DB7196">
      <w:pPr>
        <w:pStyle w:val="Normal0"/>
        <w:ind w:left="720" w:hanging="720"/>
        <w:rPr>
          <w:color w:val="000000"/>
          <w:sz w:val="20"/>
          <w:szCs w:val="20"/>
        </w:rPr>
      </w:pPr>
      <w:r w:rsidRPr="00DB7196">
        <w:rPr>
          <w:color w:val="000000"/>
          <w:sz w:val="20"/>
          <w:szCs w:val="20"/>
        </w:rPr>
        <w:t xml:space="preserve">Ministerio de Salud y Protección Social. (2022). Nota técnica: Decreto 441 de 2022. Lineamientos sobre su construcción, uso y seguimiento. </w:t>
      </w:r>
      <w:hyperlink r:id="rId64" w:history="1">
        <w:r w:rsidRPr="003602E7">
          <w:rPr>
            <w:rStyle w:val="Hipervnculo"/>
            <w:sz w:val="20"/>
            <w:szCs w:val="20"/>
          </w:rPr>
          <w:t>https://www.minsalud.gov.co/sites/rid/Lists/BibliotecaDigital/RIDE/VP/DOA/nota-tecnica-decreto-441-de-2022.pdf</w:t>
        </w:r>
      </w:hyperlink>
      <w:r>
        <w:rPr>
          <w:color w:val="000000"/>
          <w:sz w:val="20"/>
          <w:szCs w:val="20"/>
        </w:rPr>
        <w:t xml:space="preserve"> </w:t>
      </w:r>
    </w:p>
    <w:p w14:paraId="33E14DEF" w14:textId="77777777" w:rsidR="00CB15DE" w:rsidRPr="00490D3B" w:rsidRDefault="00CB15DE" w:rsidP="00CB15DE">
      <w:pPr>
        <w:pStyle w:val="Normal0"/>
        <w:ind w:left="720" w:hanging="720"/>
        <w:rPr>
          <w:color w:val="000000"/>
          <w:sz w:val="20"/>
          <w:szCs w:val="20"/>
        </w:rPr>
      </w:pPr>
    </w:p>
    <w:p w14:paraId="42ED017F" w14:textId="2A5E1DF1" w:rsidR="00CB15DE" w:rsidRPr="00490D3B" w:rsidRDefault="00CB15DE" w:rsidP="00CB15DE">
      <w:pPr>
        <w:pStyle w:val="Normal0"/>
        <w:ind w:left="720" w:hanging="720"/>
        <w:rPr>
          <w:color w:val="000000"/>
          <w:sz w:val="20"/>
          <w:szCs w:val="20"/>
        </w:rPr>
      </w:pPr>
      <w:r w:rsidRPr="00490D3B">
        <w:rPr>
          <w:color w:val="000000"/>
          <w:sz w:val="20"/>
          <w:szCs w:val="20"/>
        </w:rPr>
        <w:t>Ministerio de Salud y Protección Social. (2023). Resolución 2275 de 2023.</w:t>
      </w:r>
    </w:p>
    <w:p w14:paraId="77AF5FF1" w14:textId="77777777" w:rsidR="00CB15DE" w:rsidRPr="00490D3B" w:rsidRDefault="00CB15DE" w:rsidP="00CB15DE">
      <w:pPr>
        <w:pStyle w:val="Normal0"/>
        <w:ind w:left="720" w:hanging="720"/>
        <w:rPr>
          <w:color w:val="000000"/>
          <w:sz w:val="20"/>
          <w:szCs w:val="20"/>
        </w:rPr>
      </w:pPr>
    </w:p>
    <w:p w14:paraId="195F49D8" w14:textId="16E59624" w:rsidR="00CB15DE" w:rsidRPr="00490D3B" w:rsidRDefault="00CB15DE" w:rsidP="00CB15DE">
      <w:pPr>
        <w:pStyle w:val="Normal0"/>
        <w:ind w:left="720" w:hanging="720"/>
        <w:rPr>
          <w:color w:val="000000"/>
          <w:sz w:val="20"/>
          <w:szCs w:val="20"/>
        </w:rPr>
      </w:pPr>
      <w:r w:rsidRPr="00490D3B">
        <w:rPr>
          <w:color w:val="000000"/>
          <w:sz w:val="20"/>
          <w:szCs w:val="20"/>
        </w:rPr>
        <w:t>Ministerio de Salud y Protección Social. (2023). Resolución 2284 de 2023.</w:t>
      </w:r>
    </w:p>
    <w:p w14:paraId="00BD9B47" w14:textId="04FAAF1D" w:rsidR="00D7262C" w:rsidRPr="00490D3B" w:rsidRDefault="00D7262C" w:rsidP="00CB15DE">
      <w:pPr>
        <w:pStyle w:val="Normal0"/>
        <w:ind w:left="720" w:hanging="720"/>
        <w:rPr>
          <w:color w:val="000000"/>
          <w:sz w:val="20"/>
          <w:szCs w:val="20"/>
        </w:rPr>
      </w:pPr>
    </w:p>
    <w:p w14:paraId="0651E4A6" w14:textId="77777777" w:rsidR="00D7262C" w:rsidRPr="00490D3B" w:rsidRDefault="00D7262C" w:rsidP="00D7262C">
      <w:pPr>
        <w:pStyle w:val="Normal0"/>
        <w:ind w:left="720" w:hanging="720"/>
        <w:rPr>
          <w:color w:val="000000"/>
          <w:sz w:val="20"/>
          <w:szCs w:val="20"/>
        </w:rPr>
      </w:pPr>
      <w:r w:rsidRPr="00490D3B">
        <w:rPr>
          <w:color w:val="000000"/>
          <w:sz w:val="20"/>
          <w:szCs w:val="20"/>
        </w:rPr>
        <w:t>Ministerio de Salud y Protección Social. (2025). Resolución 2706 de 2025.</w:t>
      </w:r>
    </w:p>
    <w:p w14:paraId="19ED14CF" w14:textId="77777777" w:rsidR="00CB15DE" w:rsidRPr="00490D3B" w:rsidRDefault="00CB15DE" w:rsidP="00CB15DE">
      <w:pPr>
        <w:pStyle w:val="Normal0"/>
        <w:ind w:left="720" w:hanging="720"/>
        <w:rPr>
          <w:color w:val="000000"/>
          <w:sz w:val="20"/>
          <w:szCs w:val="20"/>
        </w:rPr>
      </w:pPr>
    </w:p>
    <w:p w14:paraId="77A09BBD" w14:textId="374415A0" w:rsidR="00CB15DE" w:rsidRPr="00490D3B" w:rsidRDefault="00CB15DE" w:rsidP="00CB15DE">
      <w:pPr>
        <w:pStyle w:val="Normal0"/>
        <w:ind w:left="720" w:hanging="720"/>
        <w:rPr>
          <w:color w:val="000000"/>
          <w:sz w:val="20"/>
          <w:szCs w:val="20"/>
        </w:rPr>
      </w:pPr>
      <w:r w:rsidRPr="00490D3B">
        <w:rPr>
          <w:color w:val="000000"/>
          <w:sz w:val="20"/>
          <w:szCs w:val="20"/>
        </w:rPr>
        <w:t>Ministerio de Salud y Protección Social. (2024). Resolución 100 de 2024.</w:t>
      </w:r>
    </w:p>
    <w:p w14:paraId="49FE7F74" w14:textId="77777777" w:rsidR="00CB15DE" w:rsidRPr="00490D3B" w:rsidRDefault="00CB15DE" w:rsidP="00CB15DE">
      <w:pPr>
        <w:pStyle w:val="Normal0"/>
        <w:ind w:left="720" w:hanging="720"/>
        <w:rPr>
          <w:color w:val="000000"/>
          <w:sz w:val="20"/>
          <w:szCs w:val="20"/>
        </w:rPr>
      </w:pPr>
    </w:p>
    <w:p w14:paraId="67838B4F" w14:textId="436C674C" w:rsidR="00CB15DE" w:rsidRPr="00490D3B" w:rsidRDefault="00CB15DE" w:rsidP="00CB15DE">
      <w:pPr>
        <w:pStyle w:val="Normal0"/>
        <w:ind w:left="720" w:hanging="720"/>
        <w:rPr>
          <w:color w:val="000000"/>
          <w:sz w:val="20"/>
          <w:szCs w:val="20"/>
        </w:rPr>
      </w:pPr>
      <w:r w:rsidRPr="00490D3B">
        <w:rPr>
          <w:color w:val="000000"/>
          <w:sz w:val="20"/>
          <w:szCs w:val="20"/>
        </w:rPr>
        <w:t>Ministerio de Salud y Protección Social. (2024). Resolución 1885 de 2024.</w:t>
      </w:r>
    </w:p>
    <w:p w14:paraId="4A5B3418" w14:textId="4A796048" w:rsidR="00CB15DE" w:rsidRPr="00490D3B" w:rsidRDefault="00CB15DE" w:rsidP="00DD6659">
      <w:pPr>
        <w:pStyle w:val="Normal0"/>
        <w:rPr>
          <w:color w:val="000000"/>
          <w:sz w:val="20"/>
          <w:szCs w:val="20"/>
        </w:rPr>
      </w:pPr>
    </w:p>
    <w:p w14:paraId="4CC381EE" w14:textId="08E003A8" w:rsidR="00CB15DE" w:rsidRPr="00490D3B" w:rsidRDefault="00CB15DE" w:rsidP="00CB15DE">
      <w:pPr>
        <w:pStyle w:val="Normal0"/>
        <w:ind w:left="720" w:hanging="720"/>
        <w:rPr>
          <w:color w:val="000000"/>
          <w:sz w:val="20"/>
          <w:szCs w:val="20"/>
        </w:rPr>
      </w:pPr>
      <w:r w:rsidRPr="00490D3B">
        <w:rPr>
          <w:color w:val="000000"/>
          <w:sz w:val="20"/>
          <w:szCs w:val="20"/>
        </w:rPr>
        <w:lastRenderedPageBreak/>
        <w:t xml:space="preserve">Presidencia de la República de Colombia. (1996). Decreto 2423 de 1996. Función Pública. </w:t>
      </w:r>
      <w:hyperlink r:id="rId65" w:history="1">
        <w:r w:rsidRPr="00490D3B">
          <w:rPr>
            <w:rStyle w:val="Hipervnculo"/>
            <w:sz w:val="20"/>
            <w:szCs w:val="20"/>
          </w:rPr>
          <w:t>https://www.funcionpublica.gov.co/eva/gestornormativo/norma.php?i=76014</w:t>
        </w:r>
      </w:hyperlink>
    </w:p>
    <w:p w14:paraId="21C22754" w14:textId="0EE39B25" w:rsidR="00CB15DE" w:rsidRPr="00490D3B" w:rsidRDefault="00CB15DE" w:rsidP="00CB15DE">
      <w:pPr>
        <w:pStyle w:val="Normal0"/>
        <w:ind w:left="720" w:hanging="720"/>
        <w:rPr>
          <w:color w:val="000000"/>
          <w:sz w:val="20"/>
          <w:szCs w:val="20"/>
        </w:rPr>
      </w:pPr>
      <w:r w:rsidRPr="00490D3B">
        <w:rPr>
          <w:color w:val="000000"/>
          <w:sz w:val="20"/>
          <w:szCs w:val="20"/>
        </w:rPr>
        <w:t xml:space="preserve"> </w:t>
      </w:r>
    </w:p>
    <w:p w14:paraId="306B858D" w14:textId="09577DD3" w:rsidR="00CB15DE" w:rsidRPr="00490D3B" w:rsidRDefault="00CB15DE" w:rsidP="00CB15DE">
      <w:pPr>
        <w:pStyle w:val="Normal0"/>
        <w:ind w:left="720" w:hanging="720"/>
        <w:rPr>
          <w:color w:val="000000"/>
          <w:sz w:val="20"/>
          <w:szCs w:val="20"/>
        </w:rPr>
      </w:pPr>
      <w:r w:rsidRPr="00490D3B">
        <w:rPr>
          <w:color w:val="000000"/>
          <w:sz w:val="20"/>
          <w:szCs w:val="20"/>
        </w:rPr>
        <w:t xml:space="preserve">Presidencia de la República de Colombia. (2016). Decreto 780 de 2016. Función Pública. </w:t>
      </w:r>
      <w:hyperlink r:id="rId66" w:history="1">
        <w:r w:rsidRPr="00490D3B">
          <w:rPr>
            <w:rStyle w:val="Hipervnculo"/>
            <w:sz w:val="20"/>
            <w:szCs w:val="20"/>
          </w:rPr>
          <w:t>https://www.funcionpublica.gov.co/eva/gestornormativo/norma.php?i=77813</w:t>
        </w:r>
      </w:hyperlink>
      <w:r w:rsidRPr="00490D3B">
        <w:rPr>
          <w:color w:val="000000"/>
          <w:sz w:val="20"/>
          <w:szCs w:val="20"/>
        </w:rPr>
        <w:t xml:space="preserve"> </w:t>
      </w:r>
    </w:p>
    <w:p w14:paraId="2C871B8F" w14:textId="77777777" w:rsidR="00CB15DE" w:rsidRPr="00490D3B" w:rsidRDefault="00CB15DE" w:rsidP="00CB15DE">
      <w:pPr>
        <w:pStyle w:val="Normal0"/>
        <w:ind w:left="720" w:hanging="720"/>
        <w:rPr>
          <w:color w:val="000000"/>
          <w:sz w:val="20"/>
          <w:szCs w:val="20"/>
        </w:rPr>
      </w:pPr>
    </w:p>
    <w:p w14:paraId="53EF03CD" w14:textId="7FD215ED" w:rsidR="00CB15DE" w:rsidRPr="00490D3B" w:rsidRDefault="00CB15DE" w:rsidP="00DB7196">
      <w:pPr>
        <w:pStyle w:val="Normal0"/>
        <w:rPr>
          <w:color w:val="000000"/>
          <w:sz w:val="20"/>
          <w:szCs w:val="20"/>
        </w:rPr>
      </w:pPr>
    </w:p>
    <w:p w14:paraId="000000B0" w14:textId="0EBD6905" w:rsidR="00AD17D4" w:rsidRPr="00490D3B" w:rsidRDefault="005C1E06" w:rsidP="00D7262C">
      <w:pPr>
        <w:pStyle w:val="Normal0"/>
        <w:rPr>
          <w:b/>
          <w:color w:val="000000"/>
          <w:sz w:val="20"/>
          <w:szCs w:val="20"/>
        </w:rPr>
      </w:pPr>
      <w:r w:rsidRPr="00490D3B">
        <w:rPr>
          <w:b/>
          <w:color w:val="000000"/>
          <w:sz w:val="20"/>
          <w:szCs w:val="20"/>
        </w:rPr>
        <w:t xml:space="preserve"> </w:t>
      </w:r>
      <w:r w:rsidR="00025888" w:rsidRPr="00490D3B">
        <w:rPr>
          <w:b/>
          <w:color w:val="000000"/>
          <w:sz w:val="20"/>
          <w:szCs w:val="20"/>
        </w:rPr>
        <w:t>CONTROL DEL DOCUMENTO</w:t>
      </w:r>
    </w:p>
    <w:p w14:paraId="000000B1" w14:textId="77777777" w:rsidR="00AD17D4" w:rsidRPr="00490D3B" w:rsidRDefault="00AD17D4" w:rsidP="009F4EA9">
      <w:pPr>
        <w:pStyle w:val="Normal0"/>
        <w:rPr>
          <w:b/>
          <w:sz w:val="20"/>
          <w:szCs w:val="20"/>
        </w:rPr>
      </w:pPr>
    </w:p>
    <w:tbl>
      <w:tblPr>
        <w:tblStyle w:val="Style73"/>
        <w:tblW w:w="9967"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272"/>
        <w:gridCol w:w="1991"/>
        <w:gridCol w:w="1559"/>
        <w:gridCol w:w="3257"/>
        <w:gridCol w:w="1888"/>
      </w:tblGrid>
      <w:tr w:rsidR="00AD17D4" w:rsidRPr="00490D3B" w14:paraId="27B3F990" w14:textId="77777777" w:rsidTr="0057321F">
        <w:tc>
          <w:tcPr>
            <w:tcW w:w="1272" w:type="dxa"/>
            <w:tcBorders>
              <w:top w:val="nil"/>
              <w:left w:val="nil"/>
            </w:tcBorders>
            <w:shd w:val="clear" w:color="auto" w:fill="auto"/>
          </w:tcPr>
          <w:p w14:paraId="000000B2" w14:textId="77777777" w:rsidR="00AD17D4" w:rsidRPr="00490D3B" w:rsidRDefault="00AD17D4" w:rsidP="009F4EA9">
            <w:pPr>
              <w:pStyle w:val="Normal0"/>
              <w:rPr>
                <w:sz w:val="20"/>
                <w:szCs w:val="20"/>
              </w:rPr>
            </w:pPr>
          </w:p>
        </w:tc>
        <w:tc>
          <w:tcPr>
            <w:tcW w:w="1991" w:type="dxa"/>
            <w:shd w:val="clear" w:color="auto" w:fill="auto"/>
            <w:vAlign w:val="center"/>
          </w:tcPr>
          <w:p w14:paraId="000000B3" w14:textId="77777777" w:rsidR="00AD17D4" w:rsidRPr="00490D3B" w:rsidRDefault="00025888" w:rsidP="009F4EA9">
            <w:pPr>
              <w:pStyle w:val="Normal0"/>
              <w:rPr>
                <w:sz w:val="20"/>
                <w:szCs w:val="20"/>
              </w:rPr>
            </w:pPr>
            <w:r w:rsidRPr="00490D3B">
              <w:rPr>
                <w:sz w:val="20"/>
                <w:szCs w:val="20"/>
              </w:rPr>
              <w:t>Nombre</w:t>
            </w:r>
          </w:p>
        </w:tc>
        <w:tc>
          <w:tcPr>
            <w:tcW w:w="1559" w:type="dxa"/>
            <w:shd w:val="clear" w:color="auto" w:fill="auto"/>
            <w:vAlign w:val="center"/>
          </w:tcPr>
          <w:p w14:paraId="000000B4" w14:textId="77777777" w:rsidR="00AD17D4" w:rsidRPr="00490D3B" w:rsidRDefault="00025888" w:rsidP="009F4EA9">
            <w:pPr>
              <w:pStyle w:val="Normal0"/>
              <w:rPr>
                <w:sz w:val="20"/>
                <w:szCs w:val="20"/>
              </w:rPr>
            </w:pPr>
            <w:r w:rsidRPr="00490D3B">
              <w:rPr>
                <w:sz w:val="20"/>
                <w:szCs w:val="20"/>
              </w:rPr>
              <w:t>Cargo</w:t>
            </w:r>
          </w:p>
        </w:tc>
        <w:tc>
          <w:tcPr>
            <w:tcW w:w="3257" w:type="dxa"/>
            <w:shd w:val="clear" w:color="auto" w:fill="auto"/>
            <w:vAlign w:val="center"/>
          </w:tcPr>
          <w:p w14:paraId="000000B6" w14:textId="77777777" w:rsidR="00AD17D4" w:rsidRPr="00490D3B" w:rsidRDefault="00025888" w:rsidP="009F4EA9">
            <w:pPr>
              <w:pStyle w:val="Normal0"/>
              <w:rPr>
                <w:sz w:val="20"/>
                <w:szCs w:val="20"/>
              </w:rPr>
            </w:pPr>
            <w:r w:rsidRPr="00490D3B">
              <w:rPr>
                <w:sz w:val="20"/>
                <w:szCs w:val="20"/>
              </w:rPr>
              <w:t>Dependencia</w:t>
            </w:r>
          </w:p>
        </w:tc>
        <w:tc>
          <w:tcPr>
            <w:tcW w:w="1888" w:type="dxa"/>
            <w:shd w:val="clear" w:color="auto" w:fill="auto"/>
            <w:vAlign w:val="center"/>
          </w:tcPr>
          <w:p w14:paraId="000000B7" w14:textId="77777777" w:rsidR="00AD17D4" w:rsidRPr="00490D3B" w:rsidRDefault="00025888" w:rsidP="009F4EA9">
            <w:pPr>
              <w:pStyle w:val="Normal0"/>
              <w:rPr>
                <w:sz w:val="20"/>
                <w:szCs w:val="20"/>
              </w:rPr>
            </w:pPr>
            <w:r w:rsidRPr="00490D3B">
              <w:rPr>
                <w:sz w:val="20"/>
                <w:szCs w:val="20"/>
              </w:rPr>
              <w:t>Fecha</w:t>
            </w:r>
          </w:p>
        </w:tc>
      </w:tr>
      <w:tr w:rsidR="00AD17D4" w:rsidRPr="00490D3B" w14:paraId="2FF467CA" w14:textId="77777777" w:rsidTr="0057321F">
        <w:trPr>
          <w:trHeight w:val="340"/>
        </w:trPr>
        <w:tc>
          <w:tcPr>
            <w:tcW w:w="1272" w:type="dxa"/>
            <w:shd w:val="clear" w:color="auto" w:fill="auto"/>
          </w:tcPr>
          <w:p w14:paraId="000000B8" w14:textId="77777777" w:rsidR="00AD17D4" w:rsidRPr="00490D3B" w:rsidRDefault="00025888" w:rsidP="009F4EA9">
            <w:pPr>
              <w:pStyle w:val="Normal0"/>
              <w:rPr>
                <w:sz w:val="20"/>
                <w:szCs w:val="20"/>
              </w:rPr>
            </w:pPr>
            <w:r w:rsidRPr="00490D3B">
              <w:rPr>
                <w:sz w:val="20"/>
                <w:szCs w:val="20"/>
              </w:rPr>
              <w:t>Autor</w:t>
            </w:r>
          </w:p>
        </w:tc>
        <w:tc>
          <w:tcPr>
            <w:tcW w:w="1991" w:type="dxa"/>
            <w:shd w:val="clear" w:color="auto" w:fill="auto"/>
          </w:tcPr>
          <w:p w14:paraId="000000B9" w14:textId="5C4FC415" w:rsidR="00AD17D4" w:rsidRPr="00490D3B" w:rsidRDefault="00CB15DE" w:rsidP="009F4EA9">
            <w:pPr>
              <w:pStyle w:val="Normal0"/>
              <w:rPr>
                <w:b w:val="0"/>
                <w:sz w:val="20"/>
                <w:szCs w:val="20"/>
              </w:rPr>
            </w:pPr>
            <w:r w:rsidRPr="00490D3B">
              <w:rPr>
                <w:b w:val="0"/>
                <w:sz w:val="20"/>
                <w:szCs w:val="20"/>
              </w:rPr>
              <w:t>Sandra Milena Enríquez Tróchez</w:t>
            </w:r>
          </w:p>
        </w:tc>
        <w:tc>
          <w:tcPr>
            <w:tcW w:w="1559" w:type="dxa"/>
            <w:shd w:val="clear" w:color="auto" w:fill="auto"/>
          </w:tcPr>
          <w:p w14:paraId="000000BA" w14:textId="6C778EB0" w:rsidR="00AD17D4" w:rsidRPr="00490D3B" w:rsidRDefault="00034E0D" w:rsidP="009F4EA9">
            <w:pPr>
              <w:pStyle w:val="Normal0"/>
              <w:rPr>
                <w:b w:val="0"/>
                <w:sz w:val="20"/>
                <w:szCs w:val="20"/>
              </w:rPr>
            </w:pPr>
            <w:r>
              <w:rPr>
                <w:b w:val="0"/>
                <w:bCs/>
                <w:sz w:val="20"/>
                <w:szCs w:val="20"/>
              </w:rPr>
              <w:t>Instructora e</w:t>
            </w:r>
            <w:bookmarkStart w:id="1" w:name="_GoBack"/>
            <w:bookmarkEnd w:id="1"/>
            <w:r w:rsidR="00CB15DE" w:rsidRPr="00490D3B">
              <w:rPr>
                <w:b w:val="0"/>
                <w:bCs/>
                <w:sz w:val="20"/>
                <w:szCs w:val="20"/>
              </w:rPr>
              <w:t>xperta</w:t>
            </w:r>
          </w:p>
        </w:tc>
        <w:tc>
          <w:tcPr>
            <w:tcW w:w="3257" w:type="dxa"/>
            <w:shd w:val="clear" w:color="auto" w:fill="auto"/>
          </w:tcPr>
          <w:p w14:paraId="000000BB" w14:textId="3BE86BDD" w:rsidR="00AD17D4" w:rsidRPr="00490D3B" w:rsidRDefault="00D63E5A" w:rsidP="00D63E5A">
            <w:pPr>
              <w:pStyle w:val="Normal0"/>
              <w:rPr>
                <w:b w:val="0"/>
                <w:sz w:val="20"/>
                <w:szCs w:val="20"/>
              </w:rPr>
            </w:pPr>
            <w:r w:rsidRPr="00490D3B">
              <w:rPr>
                <w:b w:val="0"/>
                <w:bCs/>
                <w:sz w:val="20"/>
                <w:szCs w:val="20"/>
              </w:rPr>
              <w:t>Centro de Comerc</w:t>
            </w:r>
            <w:r w:rsidR="00B70F5D" w:rsidRPr="00490D3B">
              <w:rPr>
                <w:b w:val="0"/>
                <w:bCs/>
                <w:sz w:val="20"/>
                <w:szCs w:val="20"/>
              </w:rPr>
              <w:t>io y Servicios - Regional Cauca</w:t>
            </w:r>
          </w:p>
        </w:tc>
        <w:tc>
          <w:tcPr>
            <w:tcW w:w="1888" w:type="dxa"/>
            <w:shd w:val="clear" w:color="auto" w:fill="auto"/>
          </w:tcPr>
          <w:p w14:paraId="000000BC" w14:textId="53E6C229" w:rsidR="00AD17D4" w:rsidRPr="00490D3B" w:rsidRDefault="00B70F5D" w:rsidP="006A62B9">
            <w:pPr>
              <w:pStyle w:val="Normal0"/>
              <w:rPr>
                <w:b w:val="0"/>
                <w:sz w:val="20"/>
                <w:szCs w:val="20"/>
              </w:rPr>
            </w:pPr>
            <w:r w:rsidRPr="00490D3B">
              <w:rPr>
                <w:b w:val="0"/>
                <w:sz w:val="20"/>
                <w:szCs w:val="20"/>
              </w:rPr>
              <w:t>Agosto</w:t>
            </w:r>
            <w:r w:rsidR="006A62B9" w:rsidRPr="00490D3B">
              <w:rPr>
                <w:b w:val="0"/>
                <w:sz w:val="20"/>
                <w:szCs w:val="20"/>
              </w:rPr>
              <w:t xml:space="preserve"> de 2026</w:t>
            </w:r>
          </w:p>
        </w:tc>
      </w:tr>
      <w:tr w:rsidR="005C1E06" w:rsidRPr="00490D3B" w14:paraId="64ED74CD" w14:textId="77777777" w:rsidTr="0057321F">
        <w:trPr>
          <w:trHeight w:val="340"/>
        </w:trPr>
        <w:tc>
          <w:tcPr>
            <w:tcW w:w="1272" w:type="dxa"/>
            <w:shd w:val="clear" w:color="auto" w:fill="auto"/>
          </w:tcPr>
          <w:p w14:paraId="5098720B" w14:textId="7CE2006B" w:rsidR="005C1E06" w:rsidRPr="00490D3B" w:rsidRDefault="005C1E06" w:rsidP="005C1E06">
            <w:pPr>
              <w:pStyle w:val="Normal0"/>
              <w:rPr>
                <w:sz w:val="20"/>
                <w:szCs w:val="20"/>
              </w:rPr>
            </w:pPr>
            <w:r w:rsidRPr="00490D3B">
              <w:rPr>
                <w:sz w:val="20"/>
                <w:szCs w:val="20"/>
              </w:rPr>
              <w:t>Autor</w:t>
            </w:r>
          </w:p>
        </w:tc>
        <w:tc>
          <w:tcPr>
            <w:tcW w:w="1991" w:type="dxa"/>
            <w:shd w:val="clear" w:color="auto" w:fill="auto"/>
          </w:tcPr>
          <w:p w14:paraId="035BE678" w14:textId="26CE4214" w:rsidR="005C1E06" w:rsidRPr="00490D3B" w:rsidRDefault="005C1E06" w:rsidP="005C1E06">
            <w:pPr>
              <w:pStyle w:val="Normal0"/>
              <w:rPr>
                <w:b w:val="0"/>
                <w:bCs/>
                <w:sz w:val="20"/>
                <w:szCs w:val="20"/>
              </w:rPr>
            </w:pPr>
            <w:r w:rsidRPr="00490D3B">
              <w:rPr>
                <w:b w:val="0"/>
                <w:bCs/>
                <w:sz w:val="20"/>
                <w:szCs w:val="20"/>
              </w:rPr>
              <w:t>Viviana Herrera Quiñonez</w:t>
            </w:r>
          </w:p>
        </w:tc>
        <w:tc>
          <w:tcPr>
            <w:tcW w:w="1559" w:type="dxa"/>
            <w:shd w:val="clear" w:color="auto" w:fill="auto"/>
          </w:tcPr>
          <w:p w14:paraId="77A52E3B" w14:textId="429873D0" w:rsidR="005C1E06" w:rsidRPr="00490D3B" w:rsidRDefault="005C1E06" w:rsidP="005C1E06">
            <w:pPr>
              <w:pStyle w:val="Normal0"/>
              <w:rPr>
                <w:b w:val="0"/>
                <w:bCs/>
                <w:sz w:val="20"/>
                <w:szCs w:val="20"/>
              </w:rPr>
            </w:pPr>
            <w:r w:rsidRPr="00490D3B">
              <w:rPr>
                <w:b w:val="0"/>
                <w:bCs/>
                <w:sz w:val="20"/>
                <w:szCs w:val="20"/>
              </w:rPr>
              <w:t>Evaluadora instruccional</w:t>
            </w:r>
          </w:p>
        </w:tc>
        <w:tc>
          <w:tcPr>
            <w:tcW w:w="3257" w:type="dxa"/>
            <w:shd w:val="clear" w:color="auto" w:fill="auto"/>
          </w:tcPr>
          <w:p w14:paraId="16EB86D2" w14:textId="47526A43" w:rsidR="005C1E06" w:rsidRPr="00490D3B" w:rsidRDefault="00D63E5A" w:rsidP="005C1E06">
            <w:pPr>
              <w:pStyle w:val="Normal0"/>
              <w:rPr>
                <w:b w:val="0"/>
                <w:bCs/>
                <w:sz w:val="20"/>
                <w:szCs w:val="20"/>
              </w:rPr>
            </w:pPr>
            <w:r w:rsidRPr="00490D3B">
              <w:rPr>
                <w:b w:val="0"/>
                <w:bCs/>
                <w:sz w:val="20"/>
                <w:szCs w:val="20"/>
              </w:rPr>
              <w:t>Centro de Comercio y Servicios - Regional Tolima</w:t>
            </w:r>
          </w:p>
        </w:tc>
        <w:tc>
          <w:tcPr>
            <w:tcW w:w="1888" w:type="dxa"/>
            <w:shd w:val="clear" w:color="auto" w:fill="auto"/>
          </w:tcPr>
          <w:p w14:paraId="649FE3A7" w14:textId="57AF6C57" w:rsidR="005C1E06" w:rsidRPr="00490D3B" w:rsidRDefault="006A62B9" w:rsidP="005C1E06">
            <w:pPr>
              <w:pStyle w:val="Normal0"/>
              <w:rPr>
                <w:b w:val="0"/>
                <w:sz w:val="20"/>
                <w:szCs w:val="20"/>
              </w:rPr>
            </w:pPr>
            <w:r w:rsidRPr="00490D3B">
              <w:rPr>
                <w:b w:val="0"/>
                <w:sz w:val="20"/>
                <w:szCs w:val="20"/>
              </w:rPr>
              <w:t>Septiembre</w:t>
            </w:r>
            <w:r w:rsidR="005C1E06" w:rsidRPr="00490D3B">
              <w:rPr>
                <w:b w:val="0"/>
                <w:sz w:val="20"/>
                <w:szCs w:val="20"/>
              </w:rPr>
              <w:t xml:space="preserve"> de 2026</w:t>
            </w:r>
          </w:p>
        </w:tc>
      </w:tr>
    </w:tbl>
    <w:p w14:paraId="000000C2" w14:textId="77777777" w:rsidR="00AD17D4" w:rsidRPr="00490D3B" w:rsidRDefault="00AD17D4" w:rsidP="009F4EA9">
      <w:pPr>
        <w:pStyle w:val="Normal0"/>
        <w:rPr>
          <w:sz w:val="20"/>
          <w:szCs w:val="20"/>
        </w:rPr>
      </w:pPr>
    </w:p>
    <w:p w14:paraId="40E90CE6" w14:textId="77777777" w:rsidR="00AD17D4" w:rsidRPr="00490D3B" w:rsidRDefault="00AD17D4" w:rsidP="009F4EA9">
      <w:pPr>
        <w:pStyle w:val="Normal0"/>
        <w:rPr>
          <w:sz w:val="20"/>
          <w:szCs w:val="20"/>
        </w:rPr>
      </w:pPr>
    </w:p>
    <w:p w14:paraId="000000C5" w14:textId="77777777" w:rsidR="00AD17D4" w:rsidRPr="00490D3B" w:rsidRDefault="00025888" w:rsidP="009F4EA9">
      <w:pPr>
        <w:pStyle w:val="Normal0"/>
        <w:numPr>
          <w:ilvl w:val="0"/>
          <w:numId w:val="1"/>
        </w:numPr>
        <w:ind w:left="284" w:hanging="284"/>
        <w:rPr>
          <w:b/>
          <w:color w:val="808080"/>
          <w:sz w:val="20"/>
          <w:szCs w:val="20"/>
        </w:rPr>
      </w:pPr>
      <w:r w:rsidRPr="00490D3B">
        <w:rPr>
          <w:b/>
          <w:color w:val="000000"/>
          <w:sz w:val="20"/>
          <w:szCs w:val="20"/>
        </w:rPr>
        <w:t xml:space="preserve">CONTROL DE CAMBIOS </w:t>
      </w:r>
      <w:r w:rsidRPr="00490D3B">
        <w:rPr>
          <w:b/>
          <w:color w:val="808080"/>
          <w:sz w:val="20"/>
          <w:szCs w:val="20"/>
        </w:rPr>
        <w:t>(Diligenciar únicamente si realiza ajustes a la Unidad Temática)</w:t>
      </w:r>
    </w:p>
    <w:p w14:paraId="000000C6" w14:textId="77777777" w:rsidR="00AD17D4" w:rsidRPr="00490D3B" w:rsidRDefault="00AD17D4" w:rsidP="009F4EA9">
      <w:pPr>
        <w:pStyle w:val="Normal0"/>
        <w:rPr>
          <w:sz w:val="20"/>
          <w:szCs w:val="20"/>
        </w:rPr>
      </w:pPr>
    </w:p>
    <w:tbl>
      <w:tblPr>
        <w:tblStyle w:val="Style74"/>
        <w:tblW w:w="9915"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264"/>
        <w:gridCol w:w="1855"/>
        <w:gridCol w:w="1701"/>
        <w:gridCol w:w="1843"/>
        <w:gridCol w:w="1275"/>
        <w:gridCol w:w="1977"/>
      </w:tblGrid>
      <w:tr w:rsidR="00AD17D4" w:rsidRPr="00490D3B" w14:paraId="31F82D5C" w14:textId="77777777" w:rsidTr="005E505A">
        <w:tc>
          <w:tcPr>
            <w:tcW w:w="1264" w:type="dxa"/>
            <w:tcBorders>
              <w:top w:val="nil"/>
              <w:left w:val="nil"/>
            </w:tcBorders>
            <w:shd w:val="clear" w:color="auto" w:fill="auto"/>
          </w:tcPr>
          <w:p w14:paraId="000000C7" w14:textId="77777777" w:rsidR="00AD17D4" w:rsidRPr="00490D3B" w:rsidRDefault="00AD17D4" w:rsidP="009F4EA9">
            <w:pPr>
              <w:pStyle w:val="Normal0"/>
              <w:rPr>
                <w:sz w:val="20"/>
                <w:szCs w:val="20"/>
              </w:rPr>
            </w:pPr>
          </w:p>
        </w:tc>
        <w:tc>
          <w:tcPr>
            <w:tcW w:w="1855" w:type="dxa"/>
            <w:shd w:val="clear" w:color="auto" w:fill="auto"/>
          </w:tcPr>
          <w:p w14:paraId="000000C8" w14:textId="77777777" w:rsidR="00AD17D4" w:rsidRPr="00490D3B" w:rsidRDefault="00025888" w:rsidP="009F4EA9">
            <w:pPr>
              <w:pStyle w:val="Normal0"/>
              <w:rPr>
                <w:sz w:val="20"/>
                <w:szCs w:val="20"/>
              </w:rPr>
            </w:pPr>
            <w:r w:rsidRPr="00490D3B">
              <w:rPr>
                <w:sz w:val="20"/>
                <w:szCs w:val="20"/>
              </w:rPr>
              <w:t>Nombre</w:t>
            </w:r>
          </w:p>
        </w:tc>
        <w:tc>
          <w:tcPr>
            <w:tcW w:w="1701" w:type="dxa"/>
            <w:shd w:val="clear" w:color="auto" w:fill="auto"/>
          </w:tcPr>
          <w:p w14:paraId="000000C9" w14:textId="77777777" w:rsidR="00AD17D4" w:rsidRPr="00490D3B" w:rsidRDefault="00025888" w:rsidP="009F4EA9">
            <w:pPr>
              <w:pStyle w:val="Normal0"/>
              <w:rPr>
                <w:sz w:val="20"/>
                <w:szCs w:val="20"/>
              </w:rPr>
            </w:pPr>
            <w:r w:rsidRPr="00490D3B">
              <w:rPr>
                <w:sz w:val="20"/>
                <w:szCs w:val="20"/>
              </w:rPr>
              <w:t>Cargo</w:t>
            </w:r>
          </w:p>
        </w:tc>
        <w:tc>
          <w:tcPr>
            <w:tcW w:w="1843" w:type="dxa"/>
            <w:shd w:val="clear" w:color="auto" w:fill="auto"/>
          </w:tcPr>
          <w:p w14:paraId="000000CA" w14:textId="77777777" w:rsidR="00AD17D4" w:rsidRPr="00490D3B" w:rsidRDefault="00025888" w:rsidP="009F4EA9">
            <w:pPr>
              <w:pStyle w:val="Normal0"/>
              <w:rPr>
                <w:sz w:val="20"/>
                <w:szCs w:val="20"/>
              </w:rPr>
            </w:pPr>
            <w:r w:rsidRPr="00490D3B">
              <w:rPr>
                <w:sz w:val="20"/>
                <w:szCs w:val="20"/>
              </w:rPr>
              <w:t>Dependencia</w:t>
            </w:r>
          </w:p>
        </w:tc>
        <w:tc>
          <w:tcPr>
            <w:tcW w:w="1275" w:type="dxa"/>
            <w:shd w:val="clear" w:color="auto" w:fill="auto"/>
          </w:tcPr>
          <w:p w14:paraId="000000CB" w14:textId="77777777" w:rsidR="00AD17D4" w:rsidRPr="00490D3B" w:rsidRDefault="00025888" w:rsidP="009F4EA9">
            <w:pPr>
              <w:pStyle w:val="Normal0"/>
              <w:rPr>
                <w:sz w:val="20"/>
                <w:szCs w:val="20"/>
              </w:rPr>
            </w:pPr>
            <w:r w:rsidRPr="00490D3B">
              <w:rPr>
                <w:sz w:val="20"/>
                <w:szCs w:val="20"/>
              </w:rPr>
              <w:t>Fecha</w:t>
            </w:r>
          </w:p>
        </w:tc>
        <w:tc>
          <w:tcPr>
            <w:tcW w:w="1977" w:type="dxa"/>
            <w:shd w:val="clear" w:color="auto" w:fill="auto"/>
          </w:tcPr>
          <w:p w14:paraId="000000CC" w14:textId="77777777" w:rsidR="00AD17D4" w:rsidRPr="00490D3B" w:rsidRDefault="00025888" w:rsidP="009F4EA9">
            <w:pPr>
              <w:pStyle w:val="Normal0"/>
              <w:rPr>
                <w:sz w:val="20"/>
                <w:szCs w:val="20"/>
              </w:rPr>
            </w:pPr>
            <w:r w:rsidRPr="00490D3B">
              <w:rPr>
                <w:sz w:val="20"/>
                <w:szCs w:val="20"/>
              </w:rPr>
              <w:t>Razón del Cambio</w:t>
            </w:r>
          </w:p>
        </w:tc>
      </w:tr>
      <w:tr w:rsidR="004A0024" w:rsidRPr="00490D3B" w14:paraId="5565E3ED" w14:textId="77777777" w:rsidTr="005E505A">
        <w:tc>
          <w:tcPr>
            <w:tcW w:w="1264" w:type="dxa"/>
            <w:shd w:val="clear" w:color="auto" w:fill="auto"/>
          </w:tcPr>
          <w:p w14:paraId="000000CD" w14:textId="17AC3ED8" w:rsidR="004A0024" w:rsidRPr="00490D3B" w:rsidRDefault="004A0024" w:rsidP="009F4EA9">
            <w:pPr>
              <w:pStyle w:val="Normal0"/>
              <w:rPr>
                <w:sz w:val="20"/>
                <w:szCs w:val="20"/>
              </w:rPr>
            </w:pPr>
          </w:p>
        </w:tc>
        <w:tc>
          <w:tcPr>
            <w:tcW w:w="1855" w:type="dxa"/>
            <w:shd w:val="clear" w:color="auto" w:fill="auto"/>
          </w:tcPr>
          <w:p w14:paraId="000000CE" w14:textId="7985A8DE" w:rsidR="004A0024" w:rsidRPr="00490D3B" w:rsidRDefault="004A0024" w:rsidP="009F4EA9">
            <w:pPr>
              <w:pStyle w:val="Normal0"/>
              <w:rPr>
                <w:b w:val="0"/>
                <w:sz w:val="20"/>
                <w:szCs w:val="20"/>
              </w:rPr>
            </w:pPr>
          </w:p>
        </w:tc>
        <w:tc>
          <w:tcPr>
            <w:tcW w:w="1701" w:type="dxa"/>
            <w:shd w:val="clear" w:color="auto" w:fill="auto"/>
          </w:tcPr>
          <w:p w14:paraId="000000CF" w14:textId="0B98A1D9" w:rsidR="004A0024" w:rsidRPr="00490D3B" w:rsidRDefault="004A0024" w:rsidP="009F4EA9">
            <w:pPr>
              <w:pStyle w:val="Normal0"/>
              <w:rPr>
                <w:b w:val="0"/>
                <w:sz w:val="20"/>
                <w:szCs w:val="20"/>
              </w:rPr>
            </w:pPr>
          </w:p>
        </w:tc>
        <w:tc>
          <w:tcPr>
            <w:tcW w:w="1843" w:type="dxa"/>
            <w:shd w:val="clear" w:color="auto" w:fill="auto"/>
          </w:tcPr>
          <w:p w14:paraId="000000D0" w14:textId="28F9A0C0" w:rsidR="004A0024" w:rsidRPr="00490D3B" w:rsidRDefault="004A0024" w:rsidP="009F4EA9">
            <w:pPr>
              <w:pStyle w:val="Normal0"/>
              <w:rPr>
                <w:b w:val="0"/>
                <w:sz w:val="20"/>
                <w:szCs w:val="20"/>
              </w:rPr>
            </w:pPr>
          </w:p>
        </w:tc>
        <w:tc>
          <w:tcPr>
            <w:tcW w:w="1275" w:type="dxa"/>
            <w:shd w:val="clear" w:color="auto" w:fill="auto"/>
          </w:tcPr>
          <w:p w14:paraId="000000D1" w14:textId="09EB7524" w:rsidR="004A0024" w:rsidRPr="00490D3B" w:rsidRDefault="004A0024" w:rsidP="009F4EA9">
            <w:pPr>
              <w:pStyle w:val="Normal0"/>
              <w:rPr>
                <w:b w:val="0"/>
                <w:sz w:val="20"/>
                <w:szCs w:val="20"/>
              </w:rPr>
            </w:pPr>
          </w:p>
        </w:tc>
        <w:tc>
          <w:tcPr>
            <w:tcW w:w="1977" w:type="dxa"/>
            <w:shd w:val="clear" w:color="auto" w:fill="auto"/>
          </w:tcPr>
          <w:p w14:paraId="000000D2" w14:textId="6E533A2B" w:rsidR="004A0024" w:rsidRPr="00490D3B" w:rsidRDefault="004A0024" w:rsidP="009F4EA9">
            <w:pPr>
              <w:pStyle w:val="Normal0"/>
              <w:rPr>
                <w:b w:val="0"/>
                <w:sz w:val="20"/>
                <w:szCs w:val="20"/>
              </w:rPr>
            </w:pPr>
          </w:p>
        </w:tc>
      </w:tr>
      <w:tr w:rsidR="004A0024" w:rsidRPr="00490D3B" w14:paraId="56D81916" w14:textId="77777777" w:rsidTr="005E505A">
        <w:tc>
          <w:tcPr>
            <w:tcW w:w="1264" w:type="dxa"/>
            <w:shd w:val="clear" w:color="auto" w:fill="auto"/>
          </w:tcPr>
          <w:p w14:paraId="719F7413" w14:textId="37314CA7" w:rsidR="004A0024" w:rsidRPr="00490D3B" w:rsidRDefault="004A0024" w:rsidP="009F4EA9">
            <w:pPr>
              <w:pStyle w:val="Normal0"/>
              <w:rPr>
                <w:sz w:val="20"/>
                <w:szCs w:val="20"/>
              </w:rPr>
            </w:pPr>
          </w:p>
        </w:tc>
        <w:tc>
          <w:tcPr>
            <w:tcW w:w="1855" w:type="dxa"/>
            <w:shd w:val="clear" w:color="auto" w:fill="auto"/>
          </w:tcPr>
          <w:p w14:paraId="0D34E103" w14:textId="03C85353" w:rsidR="004A0024" w:rsidRPr="00490D3B" w:rsidRDefault="004A0024" w:rsidP="009F4EA9">
            <w:pPr>
              <w:pStyle w:val="Normal0"/>
              <w:rPr>
                <w:bCs/>
                <w:sz w:val="20"/>
                <w:szCs w:val="20"/>
              </w:rPr>
            </w:pPr>
          </w:p>
        </w:tc>
        <w:tc>
          <w:tcPr>
            <w:tcW w:w="1701" w:type="dxa"/>
            <w:shd w:val="clear" w:color="auto" w:fill="auto"/>
          </w:tcPr>
          <w:p w14:paraId="40A8D6FA" w14:textId="67AD70AC" w:rsidR="004A0024" w:rsidRPr="00490D3B" w:rsidRDefault="004A0024" w:rsidP="009F4EA9">
            <w:pPr>
              <w:pStyle w:val="Normal0"/>
              <w:rPr>
                <w:bCs/>
                <w:sz w:val="20"/>
                <w:szCs w:val="20"/>
              </w:rPr>
            </w:pPr>
          </w:p>
        </w:tc>
        <w:tc>
          <w:tcPr>
            <w:tcW w:w="1843" w:type="dxa"/>
            <w:shd w:val="clear" w:color="auto" w:fill="auto"/>
          </w:tcPr>
          <w:p w14:paraId="284C1913" w14:textId="0F8475F2" w:rsidR="004A0024" w:rsidRPr="00490D3B" w:rsidRDefault="004A0024" w:rsidP="009F4EA9">
            <w:pPr>
              <w:pStyle w:val="Normal0"/>
              <w:rPr>
                <w:bCs/>
                <w:sz w:val="20"/>
                <w:szCs w:val="20"/>
              </w:rPr>
            </w:pPr>
          </w:p>
        </w:tc>
        <w:tc>
          <w:tcPr>
            <w:tcW w:w="1275" w:type="dxa"/>
            <w:shd w:val="clear" w:color="auto" w:fill="auto"/>
          </w:tcPr>
          <w:p w14:paraId="0A6AC918" w14:textId="2C107C7C" w:rsidR="004A0024" w:rsidRPr="00490D3B" w:rsidRDefault="004A0024" w:rsidP="009F4EA9">
            <w:pPr>
              <w:pStyle w:val="Normal0"/>
              <w:rPr>
                <w:sz w:val="20"/>
                <w:szCs w:val="20"/>
              </w:rPr>
            </w:pPr>
          </w:p>
        </w:tc>
        <w:tc>
          <w:tcPr>
            <w:tcW w:w="1977" w:type="dxa"/>
            <w:shd w:val="clear" w:color="auto" w:fill="auto"/>
          </w:tcPr>
          <w:p w14:paraId="3DB1535E" w14:textId="45F3910D" w:rsidR="004A0024" w:rsidRPr="00490D3B" w:rsidRDefault="004A0024" w:rsidP="009F4EA9">
            <w:pPr>
              <w:pStyle w:val="Normal0"/>
              <w:rPr>
                <w:sz w:val="20"/>
                <w:szCs w:val="20"/>
              </w:rPr>
            </w:pPr>
          </w:p>
        </w:tc>
      </w:tr>
    </w:tbl>
    <w:p w14:paraId="000000D5" w14:textId="77777777" w:rsidR="00AD17D4" w:rsidRPr="00490D3B" w:rsidRDefault="00AD17D4" w:rsidP="00FB274C">
      <w:pPr>
        <w:pStyle w:val="Normal0"/>
        <w:rPr>
          <w:sz w:val="20"/>
          <w:szCs w:val="20"/>
        </w:rPr>
      </w:pPr>
    </w:p>
    <w:sectPr w:rsidR="00AD17D4" w:rsidRPr="00490D3B">
      <w:headerReference w:type="default" r:id="rId67"/>
      <w:footerReference w:type="default" r:id="rId68"/>
      <w:pgSz w:w="12240" w:h="15840"/>
      <w:pgMar w:top="1701" w:right="1134" w:bottom="1134" w:left="1134" w:header="720" w:footer="0" w:gutter="0"/>
      <w:pgNumType w:start="1"/>
      <w:cols w:space="720"/>
    </w:sectPr>
  </w:body>
</w:document>
</file>

<file path=word/comments.xml><?xml version="1.0" encoding="utf-8"?>
<w:comment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comment w:id="0" w:author="Viviana Herrera" w:date="2026-10-01T10:52:00Z" w:initials="VH">
    <w:p w14:paraId="5D189442" w14:textId="77777777" w:rsidR="004A3922" w:rsidRDefault="004A3922" w:rsidP="004A3922">
      <w:pPr>
        <w:pStyle w:val="Textocomentario"/>
      </w:pPr>
      <w:r>
        <w:rPr>
          <w:rStyle w:val="Refdecomentario"/>
        </w:rPr>
        <w:annotationRef/>
      </w:r>
      <w:r>
        <w:t xml:space="preserve">Texto alternativo: </w:t>
      </w:r>
      <w:r w:rsidRPr="00E4694D">
        <w:rPr>
          <w:highlight w:val="green"/>
        </w:rPr>
        <w:t xml:space="preserve">En la síntesis se presenta el proceso de </w:t>
      </w:r>
      <w:r w:rsidRPr="00E4694D">
        <w:rPr>
          <w:rStyle w:val="Textoennegrita"/>
          <w:b w:val="0"/>
          <w:highlight w:val="green"/>
        </w:rPr>
        <w:t>elaboración y validación de la nota técnica</w:t>
      </w:r>
      <w:r w:rsidRPr="00E4694D">
        <w:rPr>
          <w:highlight w:val="green"/>
        </w:rPr>
        <w:t>, desde la identificación de sus elementos y la organización de la información, hasta su revisión, ajuste, seguimiento y mejoramiento.</w:t>
      </w:r>
    </w:p>
  </w:comment>
</w:comments>
</file>

<file path=word/commentsExtended.xml><?xml version="1.0" encoding="utf-8"?>
<w15:commentsEx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15:commentEx w15:paraId="5D189442" w15:done="0"/>
</w15:commentsEx>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4053E07A" w14:textId="77777777" w:rsidR="000B3F8C" w:rsidRDefault="000B3F8C">
      <w:pPr>
        <w:spacing w:line="240" w:lineRule="auto"/>
      </w:pPr>
      <w:r>
        <w:separator/>
      </w:r>
    </w:p>
  </w:endnote>
  <w:endnote w:type="continuationSeparator" w:id="0">
    <w:p w14:paraId="244FBD8F" w14:textId="77777777" w:rsidR="000B3F8C" w:rsidRDefault="000B3F8C">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MS Mincho">
    <w:altName w:val="ＭＳ 明朝"/>
    <w:panose1 w:val="020206090402050803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000000DA" w14:textId="77777777" w:rsidR="004A3922" w:rsidRDefault="004A3922">
    <w:pPr>
      <w:pStyle w:val="Normal0"/>
      <w:tabs>
        <w:tab w:val="center" w:pos="4419"/>
        <w:tab w:val="right" w:pos="8838"/>
        <w:tab w:val="left" w:pos="10255"/>
      </w:tabs>
      <w:spacing w:line="240" w:lineRule="auto"/>
      <w:jc w:val="right"/>
      <w:rPr>
        <w:i/>
        <w:color w:val="000000"/>
        <w:sz w:val="20"/>
        <w:szCs w:val="20"/>
      </w:rPr>
    </w:pPr>
  </w:p>
  <w:p w14:paraId="000000DB" w14:textId="77777777" w:rsidR="004A3922" w:rsidRDefault="004A3922">
    <w:pPr>
      <w:pStyle w:val="Normal0"/>
      <w:spacing w:line="240" w:lineRule="auto"/>
      <w:ind w:left="-2" w:hanging="2"/>
      <w:jc w:val="right"/>
      <w:rPr>
        <w:rFonts w:ascii="Times New Roman" w:eastAsia="Times New Roman" w:hAnsi="Times New Roman" w:cs="Times New Roman"/>
        <w:sz w:val="24"/>
        <w:szCs w:val="24"/>
      </w:rPr>
    </w:pPr>
  </w:p>
  <w:p w14:paraId="000000DC" w14:textId="77777777" w:rsidR="004A3922" w:rsidRDefault="004A3922">
    <w:pPr>
      <w:pStyle w:val="Normal0"/>
      <w:spacing w:line="240" w:lineRule="auto"/>
      <w:rPr>
        <w:rFonts w:ascii="Times New Roman" w:eastAsia="Times New Roman" w:hAnsi="Times New Roman" w:cs="Times New Roman"/>
        <w:sz w:val="24"/>
        <w:szCs w:val="24"/>
      </w:rPr>
    </w:pPr>
  </w:p>
  <w:p w14:paraId="000000DD" w14:textId="77777777" w:rsidR="004A3922" w:rsidRDefault="004A3922">
    <w:pPr>
      <w:pStyle w:val="Normal0"/>
      <w:tabs>
        <w:tab w:val="center" w:pos="4419"/>
        <w:tab w:val="right" w:pos="8838"/>
        <w:tab w:val="left" w:pos="10255"/>
      </w:tabs>
      <w:spacing w:line="240" w:lineRule="auto"/>
      <w:jc w:val="right"/>
      <w:rPr>
        <w:i/>
        <w:color w:val="000000"/>
        <w:sz w:val="16"/>
        <w:szCs w:val="16"/>
      </w:rPr>
    </w:pPr>
  </w:p>
  <w:p w14:paraId="000000DE" w14:textId="77777777" w:rsidR="004A3922" w:rsidRDefault="004A3922">
    <w:pPr>
      <w:pStyle w:val="Normal0"/>
      <w:tabs>
        <w:tab w:val="center" w:pos="4419"/>
        <w:tab w:val="right" w:pos="8838"/>
        <w:tab w:val="left" w:pos="10255"/>
      </w:tabs>
      <w:spacing w:line="240" w:lineRule="auto"/>
      <w:jc w:val="right"/>
      <w:rPr>
        <w:i/>
        <w:color w:val="000000"/>
        <w:sz w:val="16"/>
        <w:szCs w:val="16"/>
      </w:rPr>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300804BD" w14:textId="77777777" w:rsidR="000B3F8C" w:rsidRDefault="000B3F8C">
      <w:r>
        <w:separator/>
      </w:r>
    </w:p>
  </w:footnote>
  <w:footnote w:type="continuationSeparator" w:id="0">
    <w:p w14:paraId="30555D45" w14:textId="77777777" w:rsidR="000B3F8C" w:rsidRDefault="000B3F8C">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000000D8" w14:textId="6CD15F02" w:rsidR="004A3922" w:rsidRDefault="004A3922">
    <w:pPr>
      <w:pStyle w:val="Normal0"/>
      <w:tabs>
        <w:tab w:val="center" w:pos="4419"/>
        <w:tab w:val="right" w:pos="8838"/>
      </w:tabs>
      <w:spacing w:line="240" w:lineRule="auto"/>
      <w:jc w:val="center"/>
      <w:rPr>
        <w:color w:val="000000"/>
      </w:rPr>
    </w:pPr>
    <w:r w:rsidRPr="001A74F0">
      <w:rPr>
        <w:noProof/>
        <w:lang w:val="en-US" w:eastAsia="en-US"/>
      </w:rPr>
      <w:drawing>
        <wp:anchor distT="0" distB="0" distL="114300" distR="114300" simplePos="0" relativeHeight="251659264" behindDoc="0" locked="0" layoutInCell="1" allowOverlap="1" wp14:anchorId="3736BBB3" wp14:editId="07A664C3">
          <wp:simplePos x="0" y="0"/>
          <wp:positionH relativeFrom="column">
            <wp:posOffset>2733675</wp:posOffset>
          </wp:positionH>
          <wp:positionV relativeFrom="paragraph">
            <wp:posOffset>-95250</wp:posOffset>
          </wp:positionV>
          <wp:extent cx="592455" cy="561340"/>
          <wp:effectExtent l="0" t="0" r="4445" b="0"/>
          <wp:wrapSquare wrapText="bothSides"/>
          <wp:docPr id="138875671" name="Imagen 138875671">
            <a:extLst xmlns:a="http://schemas.openxmlformats.org/drawingml/2006/main">
              <a:ext uri="{C183D7F6-B498-43B3-948B-1728B52AA6E4}">
                <adec:decorative xmlns:arto="http://schemas.microsoft.com/office/word/2006/arto" xmlns:adec="http://schemas.microsoft.com/office/drawing/2017/decorative"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w="http://schemas.openxmlformats.org/wordprocessingml/2006/main" xmlns:w10="urn:schemas-microsoft-com:office:word" xmlns:v="urn:schemas-microsoft-com:vml" xmlns:oel="http://schemas.microsoft.com/office/2019/extlst" xmlns:o="urn:schemas-microsoft-com:office:office"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Imagen 7">
                    <a:extLst>
                      <a:ext uri="{C183D7F6-B498-43B3-948B-1728B52AA6E4}">
                        <adec:decorative xmlns:arto="http://schemas.microsoft.com/office/word/2006/arto" xmlns:adec="http://schemas.microsoft.com/office/drawing/2017/decorative"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w="http://schemas.openxmlformats.org/wordprocessingml/2006/main" xmlns:w10="urn:schemas-microsoft-com:office:word" xmlns:v="urn:schemas-microsoft-com:vml" xmlns:oel="http://schemas.microsoft.com/office/2019/extlst" xmlns:o="urn:schemas-microsoft-com:office:office"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 val="1"/>
                      </a:ext>
                    </a:extLst>
                  </pic:cNvPr>
                  <pic:cNvPicPr/>
                </pic:nvPicPr>
                <pic:blipFill>
                  <a:blip r:embed="rId1">
                    <a:extLst>
                      <a:ext uri="{28A0092B-C50C-407E-A947-70E740481C1C}">
                        <a14:useLocalDpi xmlns:a14="http://schemas.microsoft.com/office/drawing/2010/main" val="0"/>
                      </a:ext>
                    </a:extLst>
                  </a:blip>
                  <a:stretch>
                    <a:fillRect/>
                  </a:stretch>
                </pic:blipFill>
                <pic:spPr>
                  <a:xfrm>
                    <a:off x="0" y="0"/>
                    <a:ext cx="592455" cy="561340"/>
                  </a:xfrm>
                  <a:prstGeom prst="rect">
                    <a:avLst/>
                  </a:prstGeom>
                </pic:spPr>
              </pic:pic>
            </a:graphicData>
          </a:graphic>
          <wp14:sizeRelH relativeFrom="page">
            <wp14:pctWidth>0</wp14:pctWidth>
          </wp14:sizeRelH>
          <wp14:sizeRelV relativeFrom="page">
            <wp14:pctHeight>0</wp14:pctHeight>
          </wp14:sizeRelV>
        </wp:anchor>
      </w:drawing>
    </w:r>
  </w:p>
  <w:p w14:paraId="000000D9" w14:textId="77777777" w:rsidR="004A3922" w:rsidRDefault="004A3922">
    <w:pPr>
      <w:pStyle w:val="Normal0"/>
      <w:tabs>
        <w:tab w:val="center" w:pos="4419"/>
        <w:tab w:val="right" w:pos="8838"/>
      </w:tabs>
      <w:spacing w:line="240" w:lineRule="auto"/>
      <w:rPr>
        <w:color w:val="000000"/>
      </w:rPr>
    </w:pP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955206B"/>
    <w:multiLevelType w:val="hybridMultilevel"/>
    <w:tmpl w:val="D5DC057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C5D75B7"/>
    <w:multiLevelType w:val="hybridMultilevel"/>
    <w:tmpl w:val="9586DA6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10C63435"/>
    <w:multiLevelType w:val="hybridMultilevel"/>
    <w:tmpl w:val="3572ADB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12C2415B"/>
    <w:multiLevelType w:val="multilevel"/>
    <w:tmpl w:val="F84E566C"/>
    <w:lvl w:ilvl="0">
      <w:start w:val="1"/>
      <w:numFmt w:val="decimal"/>
      <w:lvlText w:val="%1."/>
      <w:lvlJc w:val="left"/>
      <w:pPr>
        <w:ind w:left="360" w:hanging="360"/>
      </w:pPr>
    </w:lvl>
    <w:lvl w:ilvl="1">
      <w:start w:val="1"/>
      <w:numFmt w:val="decimal"/>
      <w:lvlText w:val="%1.%2."/>
      <w:lvlJc w:val="left"/>
      <w:pPr>
        <w:ind w:left="792" w:hanging="432"/>
      </w:pPr>
      <w:rPr>
        <w:b w:val="0"/>
      </w:r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4" w15:restartNumberingAfterBreak="0">
    <w:nsid w:val="14400B15"/>
    <w:multiLevelType w:val="hybridMultilevel"/>
    <w:tmpl w:val="8BC463F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1CEA777E"/>
    <w:multiLevelType w:val="hybridMultilevel"/>
    <w:tmpl w:val="E5FA59F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1F6C3B1F"/>
    <w:multiLevelType w:val="hybridMultilevel"/>
    <w:tmpl w:val="B1189D9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23E253F0"/>
    <w:multiLevelType w:val="hybridMultilevel"/>
    <w:tmpl w:val="B4EA0CF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280C02FC"/>
    <w:multiLevelType w:val="hybridMultilevel"/>
    <w:tmpl w:val="6B72914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28254B48"/>
    <w:multiLevelType w:val="hybridMultilevel"/>
    <w:tmpl w:val="9B34C620"/>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2EC20D63"/>
    <w:multiLevelType w:val="hybridMultilevel"/>
    <w:tmpl w:val="CE564672"/>
    <w:lvl w:ilvl="0" w:tplc="0898F596">
      <w:start w:val="1"/>
      <w:numFmt w:val="lowerLetter"/>
      <w:lvlText w:val="%1)"/>
      <w:lvlJc w:val="left"/>
      <w:pPr>
        <w:ind w:left="720" w:hanging="360"/>
      </w:pPr>
      <w:rPr>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308A5E84"/>
    <w:multiLevelType w:val="hybridMultilevel"/>
    <w:tmpl w:val="8EF4B05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31AF4B16"/>
    <w:multiLevelType w:val="multilevel"/>
    <w:tmpl w:val="6DB0719C"/>
    <w:lvl w:ilvl="0">
      <w:start w:val="1"/>
      <w:numFmt w:val="decimal"/>
      <w:lvlText w:val="%1."/>
      <w:lvlJc w:val="left"/>
      <w:pPr>
        <w:ind w:left="360" w:hanging="360"/>
      </w:pPr>
    </w:lvl>
    <w:lvl w:ilvl="1">
      <w:start w:val="1"/>
      <w:numFmt w:val="decimal"/>
      <w:lvlText w:val="%1.%2."/>
      <w:lvlJc w:val="left"/>
      <w:pPr>
        <w:ind w:left="792" w:hanging="432"/>
      </w:pPr>
      <w:rPr>
        <w:b w:val="0"/>
      </w:r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3" w15:restartNumberingAfterBreak="0">
    <w:nsid w:val="36CA2F1A"/>
    <w:multiLevelType w:val="hybridMultilevel"/>
    <w:tmpl w:val="6FA20D9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389A35E2"/>
    <w:multiLevelType w:val="hybridMultilevel"/>
    <w:tmpl w:val="A2C044C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39066095"/>
    <w:multiLevelType w:val="hybridMultilevel"/>
    <w:tmpl w:val="0E8C4E78"/>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6" w15:restartNumberingAfterBreak="0">
    <w:nsid w:val="3C066BBC"/>
    <w:multiLevelType w:val="hybridMultilevel"/>
    <w:tmpl w:val="B82E37A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3E904853"/>
    <w:multiLevelType w:val="hybridMultilevel"/>
    <w:tmpl w:val="A954AE5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40412BFB"/>
    <w:multiLevelType w:val="hybridMultilevel"/>
    <w:tmpl w:val="C9A8AB3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424C1F4C"/>
    <w:multiLevelType w:val="hybridMultilevel"/>
    <w:tmpl w:val="AE268D8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476A60B4"/>
    <w:multiLevelType w:val="hybridMultilevel"/>
    <w:tmpl w:val="6BD8B02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47874660"/>
    <w:multiLevelType w:val="hybridMultilevel"/>
    <w:tmpl w:val="2AAA3CB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54FC201C"/>
    <w:multiLevelType w:val="hybridMultilevel"/>
    <w:tmpl w:val="2CF896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55E213D0"/>
    <w:multiLevelType w:val="multilevel"/>
    <w:tmpl w:val="79E838E2"/>
    <w:lvl w:ilvl="0">
      <w:start w:val="1"/>
      <w:numFmt w:val="decimal"/>
      <w:lvlText w:val="%1."/>
      <w:lvlJc w:val="left"/>
      <w:pPr>
        <w:ind w:left="360" w:hanging="360"/>
      </w:pPr>
    </w:lvl>
    <w:lvl w:ilvl="1">
      <w:start w:val="1"/>
      <w:numFmt w:val="decimal"/>
      <w:lvlText w:val="%1.%2."/>
      <w:lvlJc w:val="left"/>
      <w:pPr>
        <w:ind w:left="792" w:hanging="432"/>
      </w:pPr>
      <w:rPr>
        <w:b/>
      </w:r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4" w15:restartNumberingAfterBreak="0">
    <w:nsid w:val="6040395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5" w15:restartNumberingAfterBreak="0">
    <w:nsid w:val="617D0445"/>
    <w:multiLevelType w:val="multilevel"/>
    <w:tmpl w:val="617D0445"/>
    <w:lvl w:ilvl="0">
      <w:start w:val="1"/>
      <w:numFmt w:val="upperLetter"/>
      <w:lvlText w:val="%1."/>
      <w:lvlJc w:val="left"/>
      <w:pPr>
        <w:ind w:left="720" w:hanging="360"/>
      </w:pPr>
      <w:rPr>
        <w:color w:val="auto"/>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6" w15:restartNumberingAfterBreak="0">
    <w:nsid w:val="68530752"/>
    <w:multiLevelType w:val="hybridMultilevel"/>
    <w:tmpl w:val="01C8CE3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15:restartNumberingAfterBreak="0">
    <w:nsid w:val="6A47775B"/>
    <w:multiLevelType w:val="hybridMultilevel"/>
    <w:tmpl w:val="50E48B4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6AE21FE6"/>
    <w:multiLevelType w:val="hybridMultilevel"/>
    <w:tmpl w:val="0AB8A68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6CE67150"/>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0" w15:restartNumberingAfterBreak="0">
    <w:nsid w:val="742C085C"/>
    <w:multiLevelType w:val="hybridMultilevel"/>
    <w:tmpl w:val="B678AA4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7C59349B"/>
    <w:multiLevelType w:val="hybridMultilevel"/>
    <w:tmpl w:val="C52E311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15:restartNumberingAfterBreak="0">
    <w:nsid w:val="7D143E9F"/>
    <w:multiLevelType w:val="hybridMultilevel"/>
    <w:tmpl w:val="32D45382"/>
    <w:lvl w:ilvl="0" w:tplc="08F62652">
      <w:start w:val="1"/>
      <w:numFmt w:val="lowerLetter"/>
      <w:lvlText w:val="%1)"/>
      <w:lvlJc w:val="left"/>
      <w:pPr>
        <w:ind w:left="720" w:hanging="360"/>
      </w:pPr>
      <w:rPr>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3" w15:restartNumberingAfterBreak="0">
    <w:nsid w:val="7E93200A"/>
    <w:multiLevelType w:val="hybridMultilevel"/>
    <w:tmpl w:val="D66A2FA2"/>
    <w:lvl w:ilvl="0" w:tplc="E4D207AC">
      <w:start w:val="1"/>
      <w:numFmt w:val="lowerLetter"/>
      <w:lvlText w:val="%1)"/>
      <w:lvlJc w:val="left"/>
      <w:pPr>
        <w:ind w:left="720" w:hanging="360"/>
      </w:pPr>
      <w:rPr>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4" w15:restartNumberingAfterBreak="0">
    <w:nsid w:val="7F012643"/>
    <w:multiLevelType w:val="hybridMultilevel"/>
    <w:tmpl w:val="3D06843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25"/>
  </w:num>
  <w:num w:numId="2">
    <w:abstractNumId w:val="12"/>
  </w:num>
  <w:num w:numId="3">
    <w:abstractNumId w:val="24"/>
  </w:num>
  <w:num w:numId="4">
    <w:abstractNumId w:val="14"/>
  </w:num>
  <w:num w:numId="5">
    <w:abstractNumId w:val="31"/>
  </w:num>
  <w:num w:numId="6">
    <w:abstractNumId w:val="27"/>
  </w:num>
  <w:num w:numId="7">
    <w:abstractNumId w:val="4"/>
  </w:num>
  <w:num w:numId="8">
    <w:abstractNumId w:val="30"/>
  </w:num>
  <w:num w:numId="9">
    <w:abstractNumId w:val="22"/>
  </w:num>
  <w:num w:numId="10">
    <w:abstractNumId w:val="1"/>
  </w:num>
  <w:num w:numId="11">
    <w:abstractNumId w:val="33"/>
  </w:num>
  <w:num w:numId="12">
    <w:abstractNumId w:val="15"/>
  </w:num>
  <w:num w:numId="13">
    <w:abstractNumId w:val="5"/>
  </w:num>
  <w:num w:numId="14">
    <w:abstractNumId w:val="21"/>
  </w:num>
  <w:num w:numId="15">
    <w:abstractNumId w:val="13"/>
  </w:num>
  <w:num w:numId="16">
    <w:abstractNumId w:val="32"/>
  </w:num>
  <w:num w:numId="17">
    <w:abstractNumId w:val="20"/>
  </w:num>
  <w:num w:numId="18">
    <w:abstractNumId w:val="19"/>
  </w:num>
  <w:num w:numId="19">
    <w:abstractNumId w:val="2"/>
  </w:num>
  <w:num w:numId="20">
    <w:abstractNumId w:val="18"/>
  </w:num>
  <w:num w:numId="21">
    <w:abstractNumId w:val="0"/>
  </w:num>
  <w:num w:numId="22">
    <w:abstractNumId w:val="6"/>
  </w:num>
  <w:num w:numId="23">
    <w:abstractNumId w:val="34"/>
  </w:num>
  <w:num w:numId="24">
    <w:abstractNumId w:val="28"/>
  </w:num>
  <w:num w:numId="25">
    <w:abstractNumId w:val="8"/>
  </w:num>
  <w:num w:numId="26">
    <w:abstractNumId w:val="17"/>
  </w:num>
  <w:num w:numId="27">
    <w:abstractNumId w:val="29"/>
  </w:num>
  <w:num w:numId="28">
    <w:abstractNumId w:val="26"/>
  </w:num>
  <w:num w:numId="29">
    <w:abstractNumId w:val="3"/>
  </w:num>
  <w:num w:numId="30">
    <w:abstractNumId w:val="23"/>
  </w:num>
  <w:num w:numId="31">
    <w:abstractNumId w:val="10"/>
  </w:num>
  <w:num w:numId="32">
    <w:abstractNumId w:val="9"/>
  </w:num>
  <w:num w:numId="33">
    <w:abstractNumId w:val="11"/>
  </w:num>
  <w:num w:numId="34">
    <w:abstractNumId w:val="16"/>
  </w:num>
  <w:num w:numId="35">
    <w:abstractNumId w:val="7"/>
  </w:num>
  <w:numIdMacAtCleanup w:val="19"/>
</w:numbering>
</file>

<file path=word/people.xml><?xml version="1.0" encoding="utf-8"?>
<w15:people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15:person w15:author="Viviana Herrera">
    <w15:presenceInfo w15:providerId="Windows Live" w15:userId="0b9d80a4d799ac89"/>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10"/>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72A27"/>
    <w:rsid w:val="00001B87"/>
    <w:rsid w:val="0000291B"/>
    <w:rsid w:val="00004E20"/>
    <w:rsid w:val="00007066"/>
    <w:rsid w:val="00011C67"/>
    <w:rsid w:val="00011F29"/>
    <w:rsid w:val="00012CDA"/>
    <w:rsid w:val="000216E8"/>
    <w:rsid w:val="00023D65"/>
    <w:rsid w:val="000240B7"/>
    <w:rsid w:val="000241D8"/>
    <w:rsid w:val="0002511A"/>
    <w:rsid w:val="00025888"/>
    <w:rsid w:val="000275C2"/>
    <w:rsid w:val="000316A5"/>
    <w:rsid w:val="00032E07"/>
    <w:rsid w:val="00033308"/>
    <w:rsid w:val="00034E0D"/>
    <w:rsid w:val="00036086"/>
    <w:rsid w:val="00037C98"/>
    <w:rsid w:val="000443BD"/>
    <w:rsid w:val="0004591F"/>
    <w:rsid w:val="00046AE9"/>
    <w:rsid w:val="00051EE1"/>
    <w:rsid w:val="00052F14"/>
    <w:rsid w:val="00054B9F"/>
    <w:rsid w:val="00061FA9"/>
    <w:rsid w:val="0006211A"/>
    <w:rsid w:val="00064130"/>
    <w:rsid w:val="00067F77"/>
    <w:rsid w:val="000744B5"/>
    <w:rsid w:val="000773BA"/>
    <w:rsid w:val="00077A47"/>
    <w:rsid w:val="000866F0"/>
    <w:rsid w:val="000915CE"/>
    <w:rsid w:val="000931BC"/>
    <w:rsid w:val="0009656D"/>
    <w:rsid w:val="00096FA2"/>
    <w:rsid w:val="00097B40"/>
    <w:rsid w:val="000A5318"/>
    <w:rsid w:val="000A64F3"/>
    <w:rsid w:val="000B0D00"/>
    <w:rsid w:val="000B3F8C"/>
    <w:rsid w:val="000C6A06"/>
    <w:rsid w:val="000D04CD"/>
    <w:rsid w:val="000D0AC3"/>
    <w:rsid w:val="000E18B4"/>
    <w:rsid w:val="000E31FA"/>
    <w:rsid w:val="000E5030"/>
    <w:rsid w:val="000E5127"/>
    <w:rsid w:val="000E7312"/>
    <w:rsid w:val="000F189D"/>
    <w:rsid w:val="000F38C3"/>
    <w:rsid w:val="000F3F23"/>
    <w:rsid w:val="000F5813"/>
    <w:rsid w:val="000F5F8B"/>
    <w:rsid w:val="00100579"/>
    <w:rsid w:val="0010392F"/>
    <w:rsid w:val="00103A0C"/>
    <w:rsid w:val="00104EAC"/>
    <w:rsid w:val="001059EA"/>
    <w:rsid w:val="0010612D"/>
    <w:rsid w:val="0011312D"/>
    <w:rsid w:val="00114F9C"/>
    <w:rsid w:val="00116656"/>
    <w:rsid w:val="00121B38"/>
    <w:rsid w:val="00122169"/>
    <w:rsid w:val="00126258"/>
    <w:rsid w:val="00126870"/>
    <w:rsid w:val="00126F3A"/>
    <w:rsid w:val="001322FB"/>
    <w:rsid w:val="00132578"/>
    <w:rsid w:val="001379C7"/>
    <w:rsid w:val="0014488D"/>
    <w:rsid w:val="00145C84"/>
    <w:rsid w:val="00151018"/>
    <w:rsid w:val="0015569D"/>
    <w:rsid w:val="00160AF5"/>
    <w:rsid w:val="00161D41"/>
    <w:rsid w:val="001624D8"/>
    <w:rsid w:val="00162AAC"/>
    <w:rsid w:val="001640A5"/>
    <w:rsid w:val="001674E1"/>
    <w:rsid w:val="00167710"/>
    <w:rsid w:val="001725F9"/>
    <w:rsid w:val="00172A27"/>
    <w:rsid w:val="00172CA1"/>
    <w:rsid w:val="00173F7A"/>
    <w:rsid w:val="00174F4D"/>
    <w:rsid w:val="00177B62"/>
    <w:rsid w:val="00177F7C"/>
    <w:rsid w:val="00183649"/>
    <w:rsid w:val="0018462D"/>
    <w:rsid w:val="001908E6"/>
    <w:rsid w:val="0019129F"/>
    <w:rsid w:val="00191ABB"/>
    <w:rsid w:val="00192A5D"/>
    <w:rsid w:val="001A5280"/>
    <w:rsid w:val="001A5EED"/>
    <w:rsid w:val="001A7C1D"/>
    <w:rsid w:val="001A7C5B"/>
    <w:rsid w:val="001A7F6B"/>
    <w:rsid w:val="001B238C"/>
    <w:rsid w:val="001B3CB7"/>
    <w:rsid w:val="001B43B7"/>
    <w:rsid w:val="001B569F"/>
    <w:rsid w:val="001B5F0C"/>
    <w:rsid w:val="001B6AD5"/>
    <w:rsid w:val="001B7E7E"/>
    <w:rsid w:val="001C00EF"/>
    <w:rsid w:val="001C1C17"/>
    <w:rsid w:val="001C36A2"/>
    <w:rsid w:val="001C464C"/>
    <w:rsid w:val="001C7D39"/>
    <w:rsid w:val="001D18BE"/>
    <w:rsid w:val="001D685E"/>
    <w:rsid w:val="001D75AB"/>
    <w:rsid w:val="001E47BA"/>
    <w:rsid w:val="001E63C1"/>
    <w:rsid w:val="001E7AE5"/>
    <w:rsid w:val="001E7F3A"/>
    <w:rsid w:val="001F1A3A"/>
    <w:rsid w:val="001F1ADF"/>
    <w:rsid w:val="00200386"/>
    <w:rsid w:val="00201685"/>
    <w:rsid w:val="00202660"/>
    <w:rsid w:val="0020360B"/>
    <w:rsid w:val="00204DCD"/>
    <w:rsid w:val="00206F88"/>
    <w:rsid w:val="00210055"/>
    <w:rsid w:val="002104BD"/>
    <w:rsid w:val="00211029"/>
    <w:rsid w:val="0021702D"/>
    <w:rsid w:val="0022061F"/>
    <w:rsid w:val="002211E2"/>
    <w:rsid w:val="00225065"/>
    <w:rsid w:val="002318F4"/>
    <w:rsid w:val="002325E6"/>
    <w:rsid w:val="0023332F"/>
    <w:rsid w:val="00233461"/>
    <w:rsid w:val="00234756"/>
    <w:rsid w:val="0023663A"/>
    <w:rsid w:val="00241FF5"/>
    <w:rsid w:val="002429D4"/>
    <w:rsid w:val="00243415"/>
    <w:rsid w:val="00245092"/>
    <w:rsid w:val="002504DB"/>
    <w:rsid w:val="0025269A"/>
    <w:rsid w:val="00253FF0"/>
    <w:rsid w:val="00254C60"/>
    <w:rsid w:val="002565ED"/>
    <w:rsid w:val="00263873"/>
    <w:rsid w:val="0026567B"/>
    <w:rsid w:val="00267798"/>
    <w:rsid w:val="00270929"/>
    <w:rsid w:val="002754AF"/>
    <w:rsid w:val="00275915"/>
    <w:rsid w:val="00275BED"/>
    <w:rsid w:val="00276DEE"/>
    <w:rsid w:val="00276F24"/>
    <w:rsid w:val="0028298B"/>
    <w:rsid w:val="00291F16"/>
    <w:rsid w:val="002942D4"/>
    <w:rsid w:val="002948BE"/>
    <w:rsid w:val="00294B86"/>
    <w:rsid w:val="002954CF"/>
    <w:rsid w:val="00296420"/>
    <w:rsid w:val="002A2499"/>
    <w:rsid w:val="002A2D62"/>
    <w:rsid w:val="002A39C7"/>
    <w:rsid w:val="002A4EC7"/>
    <w:rsid w:val="002A5E47"/>
    <w:rsid w:val="002B0065"/>
    <w:rsid w:val="002B1115"/>
    <w:rsid w:val="002B1CE1"/>
    <w:rsid w:val="002B2FA3"/>
    <w:rsid w:val="002B2FEE"/>
    <w:rsid w:val="002B4C89"/>
    <w:rsid w:val="002B56E7"/>
    <w:rsid w:val="002C09CE"/>
    <w:rsid w:val="002C0E06"/>
    <w:rsid w:val="002C14A7"/>
    <w:rsid w:val="002C1942"/>
    <w:rsid w:val="002C1F7A"/>
    <w:rsid w:val="002C2450"/>
    <w:rsid w:val="002C3B96"/>
    <w:rsid w:val="002C3CD8"/>
    <w:rsid w:val="002C5768"/>
    <w:rsid w:val="002D258E"/>
    <w:rsid w:val="002D4C6E"/>
    <w:rsid w:val="002D7616"/>
    <w:rsid w:val="002E2479"/>
    <w:rsid w:val="002E30E8"/>
    <w:rsid w:val="002E4074"/>
    <w:rsid w:val="002E4DAA"/>
    <w:rsid w:val="002F559A"/>
    <w:rsid w:val="002F7049"/>
    <w:rsid w:val="002F73A9"/>
    <w:rsid w:val="00300EA1"/>
    <w:rsid w:val="003035B3"/>
    <w:rsid w:val="00303B68"/>
    <w:rsid w:val="00306468"/>
    <w:rsid w:val="0030720D"/>
    <w:rsid w:val="00314C04"/>
    <w:rsid w:val="00315D68"/>
    <w:rsid w:val="00317E61"/>
    <w:rsid w:val="00320FCA"/>
    <w:rsid w:val="003227F1"/>
    <w:rsid w:val="003236EA"/>
    <w:rsid w:val="00323B68"/>
    <w:rsid w:val="00325A56"/>
    <w:rsid w:val="00326D8C"/>
    <w:rsid w:val="00330021"/>
    <w:rsid w:val="003300B6"/>
    <w:rsid w:val="00330A93"/>
    <w:rsid w:val="003310C6"/>
    <w:rsid w:val="00331340"/>
    <w:rsid w:val="00331ED3"/>
    <w:rsid w:val="00337760"/>
    <w:rsid w:val="00345B63"/>
    <w:rsid w:val="00345EA6"/>
    <w:rsid w:val="003501F7"/>
    <w:rsid w:val="00351A8C"/>
    <w:rsid w:val="00353A37"/>
    <w:rsid w:val="00353D0B"/>
    <w:rsid w:val="00354943"/>
    <w:rsid w:val="00354B8A"/>
    <w:rsid w:val="003559FB"/>
    <w:rsid w:val="00361F38"/>
    <w:rsid w:val="0036254D"/>
    <w:rsid w:val="00366B94"/>
    <w:rsid w:val="00366E22"/>
    <w:rsid w:val="00367E58"/>
    <w:rsid w:val="003725E1"/>
    <w:rsid w:val="003726BD"/>
    <w:rsid w:val="00377E83"/>
    <w:rsid w:val="00381988"/>
    <w:rsid w:val="00382E37"/>
    <w:rsid w:val="00382FCC"/>
    <w:rsid w:val="00383A55"/>
    <w:rsid w:val="00390B29"/>
    <w:rsid w:val="00390D9F"/>
    <w:rsid w:val="003946CE"/>
    <w:rsid w:val="00394E48"/>
    <w:rsid w:val="00396FA1"/>
    <w:rsid w:val="003A0920"/>
    <w:rsid w:val="003A357A"/>
    <w:rsid w:val="003A5691"/>
    <w:rsid w:val="003A7AA3"/>
    <w:rsid w:val="003B1151"/>
    <w:rsid w:val="003B1659"/>
    <w:rsid w:val="003B3970"/>
    <w:rsid w:val="003B4B69"/>
    <w:rsid w:val="003D472E"/>
    <w:rsid w:val="003D52F2"/>
    <w:rsid w:val="003D5C69"/>
    <w:rsid w:val="003D72D5"/>
    <w:rsid w:val="003E0884"/>
    <w:rsid w:val="003E1BF0"/>
    <w:rsid w:val="003F0755"/>
    <w:rsid w:val="003F5AEC"/>
    <w:rsid w:val="003F6DDE"/>
    <w:rsid w:val="003F6EB6"/>
    <w:rsid w:val="004000B5"/>
    <w:rsid w:val="00404532"/>
    <w:rsid w:val="00404815"/>
    <w:rsid w:val="004077BB"/>
    <w:rsid w:val="0041075B"/>
    <w:rsid w:val="004111CD"/>
    <w:rsid w:val="00412667"/>
    <w:rsid w:val="0041303E"/>
    <w:rsid w:val="00415318"/>
    <w:rsid w:val="00415FB2"/>
    <w:rsid w:val="0041757E"/>
    <w:rsid w:val="00425F50"/>
    <w:rsid w:val="004270A1"/>
    <w:rsid w:val="004322B6"/>
    <w:rsid w:val="00437C33"/>
    <w:rsid w:val="00441C00"/>
    <w:rsid w:val="0044210A"/>
    <w:rsid w:val="00445F80"/>
    <w:rsid w:val="00450408"/>
    <w:rsid w:val="0045064F"/>
    <w:rsid w:val="00451895"/>
    <w:rsid w:val="00454411"/>
    <w:rsid w:val="00454819"/>
    <w:rsid w:val="00456EC1"/>
    <w:rsid w:val="00460C90"/>
    <w:rsid w:val="00460DE7"/>
    <w:rsid w:val="00472C8F"/>
    <w:rsid w:val="0047328B"/>
    <w:rsid w:val="00473AB4"/>
    <w:rsid w:val="00473C52"/>
    <w:rsid w:val="0047618F"/>
    <w:rsid w:val="0047737F"/>
    <w:rsid w:val="00477FF2"/>
    <w:rsid w:val="004813A0"/>
    <w:rsid w:val="004834E3"/>
    <w:rsid w:val="004859CD"/>
    <w:rsid w:val="00486178"/>
    <w:rsid w:val="00490D3B"/>
    <w:rsid w:val="00490DFD"/>
    <w:rsid w:val="00491DA2"/>
    <w:rsid w:val="00494437"/>
    <w:rsid w:val="00496A59"/>
    <w:rsid w:val="004A0024"/>
    <w:rsid w:val="004A0B32"/>
    <w:rsid w:val="004A3922"/>
    <w:rsid w:val="004A500A"/>
    <w:rsid w:val="004A5C6E"/>
    <w:rsid w:val="004B73A7"/>
    <w:rsid w:val="004C1239"/>
    <w:rsid w:val="004C39C9"/>
    <w:rsid w:val="004C400F"/>
    <w:rsid w:val="004C4233"/>
    <w:rsid w:val="004C4B91"/>
    <w:rsid w:val="004C755E"/>
    <w:rsid w:val="004D0022"/>
    <w:rsid w:val="004D0C09"/>
    <w:rsid w:val="004D1EBF"/>
    <w:rsid w:val="004D26BE"/>
    <w:rsid w:val="004D3F1F"/>
    <w:rsid w:val="004D4605"/>
    <w:rsid w:val="004D6FDD"/>
    <w:rsid w:val="004D71C3"/>
    <w:rsid w:val="004E33FC"/>
    <w:rsid w:val="004E43F2"/>
    <w:rsid w:val="004E5C76"/>
    <w:rsid w:val="004E6EB7"/>
    <w:rsid w:val="004E7906"/>
    <w:rsid w:val="004F507B"/>
    <w:rsid w:val="004F5838"/>
    <w:rsid w:val="004F6302"/>
    <w:rsid w:val="004F67F1"/>
    <w:rsid w:val="005018C0"/>
    <w:rsid w:val="0050379E"/>
    <w:rsid w:val="00503977"/>
    <w:rsid w:val="00503D01"/>
    <w:rsid w:val="00507479"/>
    <w:rsid w:val="00511D45"/>
    <w:rsid w:val="00512D26"/>
    <w:rsid w:val="0051568F"/>
    <w:rsid w:val="00521F07"/>
    <w:rsid w:val="00522D0A"/>
    <w:rsid w:val="00522E91"/>
    <w:rsid w:val="00523AEA"/>
    <w:rsid w:val="00523D3A"/>
    <w:rsid w:val="00524C75"/>
    <w:rsid w:val="00524EC6"/>
    <w:rsid w:val="005267DA"/>
    <w:rsid w:val="00527513"/>
    <w:rsid w:val="00532F0B"/>
    <w:rsid w:val="00537425"/>
    <w:rsid w:val="00537970"/>
    <w:rsid w:val="00543FD2"/>
    <w:rsid w:val="005579F6"/>
    <w:rsid w:val="00561673"/>
    <w:rsid w:val="00562285"/>
    <w:rsid w:val="0056442B"/>
    <w:rsid w:val="00564512"/>
    <w:rsid w:val="005665EE"/>
    <w:rsid w:val="005666B6"/>
    <w:rsid w:val="0057321F"/>
    <w:rsid w:val="00573E71"/>
    <w:rsid w:val="0057407C"/>
    <w:rsid w:val="00575007"/>
    <w:rsid w:val="0057529E"/>
    <w:rsid w:val="00576014"/>
    <w:rsid w:val="005776D6"/>
    <w:rsid w:val="00584210"/>
    <w:rsid w:val="005877A6"/>
    <w:rsid w:val="00587C1C"/>
    <w:rsid w:val="00590513"/>
    <w:rsid w:val="005906F3"/>
    <w:rsid w:val="00593FCE"/>
    <w:rsid w:val="00596A75"/>
    <w:rsid w:val="005A088E"/>
    <w:rsid w:val="005A1257"/>
    <w:rsid w:val="005A2275"/>
    <w:rsid w:val="005A2990"/>
    <w:rsid w:val="005A2B5D"/>
    <w:rsid w:val="005A3DC4"/>
    <w:rsid w:val="005B0597"/>
    <w:rsid w:val="005B48FF"/>
    <w:rsid w:val="005C0763"/>
    <w:rsid w:val="005C1E06"/>
    <w:rsid w:val="005C1EA7"/>
    <w:rsid w:val="005C27BB"/>
    <w:rsid w:val="005C2BBA"/>
    <w:rsid w:val="005C7AE5"/>
    <w:rsid w:val="005D0402"/>
    <w:rsid w:val="005D0582"/>
    <w:rsid w:val="005D1DA5"/>
    <w:rsid w:val="005D33ED"/>
    <w:rsid w:val="005D3B06"/>
    <w:rsid w:val="005D6C2B"/>
    <w:rsid w:val="005D6C49"/>
    <w:rsid w:val="005D6DF1"/>
    <w:rsid w:val="005D7956"/>
    <w:rsid w:val="005D7DCE"/>
    <w:rsid w:val="005E505A"/>
    <w:rsid w:val="005E7AC0"/>
    <w:rsid w:val="005F07D5"/>
    <w:rsid w:val="005F14C4"/>
    <w:rsid w:val="005F1897"/>
    <w:rsid w:val="00600402"/>
    <w:rsid w:val="00605836"/>
    <w:rsid w:val="006067DA"/>
    <w:rsid w:val="006069DD"/>
    <w:rsid w:val="006105B8"/>
    <w:rsid w:val="00613480"/>
    <w:rsid w:val="006146D8"/>
    <w:rsid w:val="0061714D"/>
    <w:rsid w:val="00621940"/>
    <w:rsid w:val="00621D58"/>
    <w:rsid w:val="00625CB3"/>
    <w:rsid w:val="00626093"/>
    <w:rsid w:val="00627332"/>
    <w:rsid w:val="00630318"/>
    <w:rsid w:val="00631EFF"/>
    <w:rsid w:val="00632A85"/>
    <w:rsid w:val="00634426"/>
    <w:rsid w:val="006347AF"/>
    <w:rsid w:val="00644764"/>
    <w:rsid w:val="006463AE"/>
    <w:rsid w:val="006464B5"/>
    <w:rsid w:val="006467B1"/>
    <w:rsid w:val="006478B1"/>
    <w:rsid w:val="00651FEC"/>
    <w:rsid w:val="0065371F"/>
    <w:rsid w:val="00654907"/>
    <w:rsid w:val="00657A8E"/>
    <w:rsid w:val="00661407"/>
    <w:rsid w:val="00665A32"/>
    <w:rsid w:val="0067262D"/>
    <w:rsid w:val="00674B13"/>
    <w:rsid w:val="0068606D"/>
    <w:rsid w:val="00686A7B"/>
    <w:rsid w:val="0069261F"/>
    <w:rsid w:val="00694255"/>
    <w:rsid w:val="00694CDD"/>
    <w:rsid w:val="00697E9A"/>
    <w:rsid w:val="006A62B9"/>
    <w:rsid w:val="006B115A"/>
    <w:rsid w:val="006B2F0D"/>
    <w:rsid w:val="006B489A"/>
    <w:rsid w:val="006B4904"/>
    <w:rsid w:val="006B703D"/>
    <w:rsid w:val="006B796E"/>
    <w:rsid w:val="006B7F6E"/>
    <w:rsid w:val="006C1FED"/>
    <w:rsid w:val="006C6262"/>
    <w:rsid w:val="006D23B9"/>
    <w:rsid w:val="006D5DB1"/>
    <w:rsid w:val="006D65C2"/>
    <w:rsid w:val="006D6C92"/>
    <w:rsid w:val="006E3772"/>
    <w:rsid w:val="006F0A16"/>
    <w:rsid w:val="006F1666"/>
    <w:rsid w:val="006F454B"/>
    <w:rsid w:val="006F6991"/>
    <w:rsid w:val="006F7034"/>
    <w:rsid w:val="00700095"/>
    <w:rsid w:val="00705B01"/>
    <w:rsid w:val="007106E2"/>
    <w:rsid w:val="00710A29"/>
    <w:rsid w:val="00710C77"/>
    <w:rsid w:val="0071129D"/>
    <w:rsid w:val="0071697E"/>
    <w:rsid w:val="00716DEA"/>
    <w:rsid w:val="007232E7"/>
    <w:rsid w:val="007237AA"/>
    <w:rsid w:val="0072587C"/>
    <w:rsid w:val="0072654B"/>
    <w:rsid w:val="007313F6"/>
    <w:rsid w:val="007314B8"/>
    <w:rsid w:val="00732BF6"/>
    <w:rsid w:val="00732EF2"/>
    <w:rsid w:val="007330F2"/>
    <w:rsid w:val="00733A64"/>
    <w:rsid w:val="007371FC"/>
    <w:rsid w:val="00737BE4"/>
    <w:rsid w:val="00742120"/>
    <w:rsid w:val="007437D2"/>
    <w:rsid w:val="00745FC9"/>
    <w:rsid w:val="007533E1"/>
    <w:rsid w:val="007611BD"/>
    <w:rsid w:val="00761D0D"/>
    <w:rsid w:val="00765F83"/>
    <w:rsid w:val="00766896"/>
    <w:rsid w:val="00766FC9"/>
    <w:rsid w:val="00767123"/>
    <w:rsid w:val="00770417"/>
    <w:rsid w:val="007739EB"/>
    <w:rsid w:val="007743B3"/>
    <w:rsid w:val="0077609E"/>
    <w:rsid w:val="007806C3"/>
    <w:rsid w:val="007818E8"/>
    <w:rsid w:val="00785A6D"/>
    <w:rsid w:val="00791A48"/>
    <w:rsid w:val="0079272D"/>
    <w:rsid w:val="007929CC"/>
    <w:rsid w:val="0079394B"/>
    <w:rsid w:val="00795959"/>
    <w:rsid w:val="00796FEE"/>
    <w:rsid w:val="007A51CA"/>
    <w:rsid w:val="007A5C2D"/>
    <w:rsid w:val="007A709A"/>
    <w:rsid w:val="007A7D8B"/>
    <w:rsid w:val="007B1AD3"/>
    <w:rsid w:val="007B3914"/>
    <w:rsid w:val="007B3F8F"/>
    <w:rsid w:val="007B687C"/>
    <w:rsid w:val="007B745E"/>
    <w:rsid w:val="007C0121"/>
    <w:rsid w:val="007C4D02"/>
    <w:rsid w:val="007C64A5"/>
    <w:rsid w:val="007C6EAD"/>
    <w:rsid w:val="007D4DC6"/>
    <w:rsid w:val="007D727F"/>
    <w:rsid w:val="007D7AD1"/>
    <w:rsid w:val="007E42C7"/>
    <w:rsid w:val="007E53C4"/>
    <w:rsid w:val="007E73EF"/>
    <w:rsid w:val="007E7D19"/>
    <w:rsid w:val="007F28EB"/>
    <w:rsid w:val="007F697A"/>
    <w:rsid w:val="007F7657"/>
    <w:rsid w:val="007F7E5F"/>
    <w:rsid w:val="008005C6"/>
    <w:rsid w:val="00801C5D"/>
    <w:rsid w:val="008025AD"/>
    <w:rsid w:val="008027A7"/>
    <w:rsid w:val="008067B6"/>
    <w:rsid w:val="00807A53"/>
    <w:rsid w:val="00810689"/>
    <w:rsid w:val="00810AC1"/>
    <w:rsid w:val="00810D03"/>
    <w:rsid w:val="00812B7B"/>
    <w:rsid w:val="008138DD"/>
    <w:rsid w:val="00813ACF"/>
    <w:rsid w:val="00814C0B"/>
    <w:rsid w:val="008159E2"/>
    <w:rsid w:val="00824F82"/>
    <w:rsid w:val="00825B19"/>
    <w:rsid w:val="00827CA9"/>
    <w:rsid w:val="008312E9"/>
    <w:rsid w:val="0083265A"/>
    <w:rsid w:val="008371D9"/>
    <w:rsid w:val="00837B11"/>
    <w:rsid w:val="00842A51"/>
    <w:rsid w:val="00844FEA"/>
    <w:rsid w:val="00846BBF"/>
    <w:rsid w:val="00846D88"/>
    <w:rsid w:val="00847E82"/>
    <w:rsid w:val="008522D2"/>
    <w:rsid w:val="00854D2C"/>
    <w:rsid w:val="00863D5C"/>
    <w:rsid w:val="0086737C"/>
    <w:rsid w:val="008721D9"/>
    <w:rsid w:val="00872F24"/>
    <w:rsid w:val="00874B83"/>
    <w:rsid w:val="00877F3E"/>
    <w:rsid w:val="00883C80"/>
    <w:rsid w:val="008840E1"/>
    <w:rsid w:val="00885649"/>
    <w:rsid w:val="008858D4"/>
    <w:rsid w:val="00890A9D"/>
    <w:rsid w:val="0089159A"/>
    <w:rsid w:val="00893271"/>
    <w:rsid w:val="00893448"/>
    <w:rsid w:val="008961F1"/>
    <w:rsid w:val="008A161D"/>
    <w:rsid w:val="008A18B1"/>
    <w:rsid w:val="008A1DC2"/>
    <w:rsid w:val="008A1F25"/>
    <w:rsid w:val="008A2DF0"/>
    <w:rsid w:val="008A4C4C"/>
    <w:rsid w:val="008A6C7A"/>
    <w:rsid w:val="008A75BE"/>
    <w:rsid w:val="008B2BF8"/>
    <w:rsid w:val="008B3FE7"/>
    <w:rsid w:val="008B7949"/>
    <w:rsid w:val="008C24D3"/>
    <w:rsid w:val="008C32A0"/>
    <w:rsid w:val="008C6EC5"/>
    <w:rsid w:val="008D01B9"/>
    <w:rsid w:val="008D038B"/>
    <w:rsid w:val="008D0B0F"/>
    <w:rsid w:val="008D167C"/>
    <w:rsid w:val="008D1F14"/>
    <w:rsid w:val="008D20F9"/>
    <w:rsid w:val="008D526B"/>
    <w:rsid w:val="008D568B"/>
    <w:rsid w:val="008D5B02"/>
    <w:rsid w:val="008D5C08"/>
    <w:rsid w:val="008E0716"/>
    <w:rsid w:val="008E1842"/>
    <w:rsid w:val="008E268E"/>
    <w:rsid w:val="008E3604"/>
    <w:rsid w:val="008E4401"/>
    <w:rsid w:val="008E5A15"/>
    <w:rsid w:val="008E6DCB"/>
    <w:rsid w:val="008F016E"/>
    <w:rsid w:val="008F4495"/>
    <w:rsid w:val="00902A5B"/>
    <w:rsid w:val="00902CCD"/>
    <w:rsid w:val="00902DB1"/>
    <w:rsid w:val="00906E0F"/>
    <w:rsid w:val="00907613"/>
    <w:rsid w:val="00912631"/>
    <w:rsid w:val="009155C9"/>
    <w:rsid w:val="00916412"/>
    <w:rsid w:val="0092194C"/>
    <w:rsid w:val="00922D73"/>
    <w:rsid w:val="00923161"/>
    <w:rsid w:val="00923E9F"/>
    <w:rsid w:val="009263BC"/>
    <w:rsid w:val="00927773"/>
    <w:rsid w:val="00927FD4"/>
    <w:rsid w:val="009304DB"/>
    <w:rsid w:val="00931E07"/>
    <w:rsid w:val="009327E3"/>
    <w:rsid w:val="0093618C"/>
    <w:rsid w:val="00946F39"/>
    <w:rsid w:val="00947D9E"/>
    <w:rsid w:val="00947E5B"/>
    <w:rsid w:val="00956C7A"/>
    <w:rsid w:val="00970D52"/>
    <w:rsid w:val="009719E0"/>
    <w:rsid w:val="009723E7"/>
    <w:rsid w:val="0097386B"/>
    <w:rsid w:val="00975048"/>
    <w:rsid w:val="00980A07"/>
    <w:rsid w:val="009847CE"/>
    <w:rsid w:val="00992B6B"/>
    <w:rsid w:val="00994757"/>
    <w:rsid w:val="009A30EE"/>
    <w:rsid w:val="009A51AF"/>
    <w:rsid w:val="009A6DBD"/>
    <w:rsid w:val="009A6FF4"/>
    <w:rsid w:val="009B1481"/>
    <w:rsid w:val="009B1E3F"/>
    <w:rsid w:val="009B49E3"/>
    <w:rsid w:val="009B53CF"/>
    <w:rsid w:val="009B5CEB"/>
    <w:rsid w:val="009C1359"/>
    <w:rsid w:val="009C1D0C"/>
    <w:rsid w:val="009C5BD3"/>
    <w:rsid w:val="009C67EE"/>
    <w:rsid w:val="009D3509"/>
    <w:rsid w:val="009D39F1"/>
    <w:rsid w:val="009D3E81"/>
    <w:rsid w:val="009D4EC2"/>
    <w:rsid w:val="009D6854"/>
    <w:rsid w:val="009E0B3C"/>
    <w:rsid w:val="009E175C"/>
    <w:rsid w:val="009E4771"/>
    <w:rsid w:val="009F4EA9"/>
    <w:rsid w:val="009F6F7F"/>
    <w:rsid w:val="00A024AE"/>
    <w:rsid w:val="00A05295"/>
    <w:rsid w:val="00A05B00"/>
    <w:rsid w:val="00A069B3"/>
    <w:rsid w:val="00A11EF6"/>
    <w:rsid w:val="00A12113"/>
    <w:rsid w:val="00A12454"/>
    <w:rsid w:val="00A13EB6"/>
    <w:rsid w:val="00A13F1C"/>
    <w:rsid w:val="00A1538F"/>
    <w:rsid w:val="00A15D57"/>
    <w:rsid w:val="00A246A1"/>
    <w:rsid w:val="00A30043"/>
    <w:rsid w:val="00A322B6"/>
    <w:rsid w:val="00A333BD"/>
    <w:rsid w:val="00A34F34"/>
    <w:rsid w:val="00A36A6C"/>
    <w:rsid w:val="00A36E63"/>
    <w:rsid w:val="00A415DC"/>
    <w:rsid w:val="00A423DB"/>
    <w:rsid w:val="00A4352F"/>
    <w:rsid w:val="00A44708"/>
    <w:rsid w:val="00A45943"/>
    <w:rsid w:val="00A51020"/>
    <w:rsid w:val="00A5377D"/>
    <w:rsid w:val="00A55BD2"/>
    <w:rsid w:val="00A56171"/>
    <w:rsid w:val="00A56F0C"/>
    <w:rsid w:val="00A61679"/>
    <w:rsid w:val="00A61907"/>
    <w:rsid w:val="00A74366"/>
    <w:rsid w:val="00A82162"/>
    <w:rsid w:val="00A9240A"/>
    <w:rsid w:val="00A937B0"/>
    <w:rsid w:val="00A95489"/>
    <w:rsid w:val="00AA2511"/>
    <w:rsid w:val="00AA45A3"/>
    <w:rsid w:val="00AB2621"/>
    <w:rsid w:val="00AB2CA9"/>
    <w:rsid w:val="00AB3F8B"/>
    <w:rsid w:val="00AC0132"/>
    <w:rsid w:val="00AC1989"/>
    <w:rsid w:val="00AC4257"/>
    <w:rsid w:val="00AC4A8E"/>
    <w:rsid w:val="00AC4E80"/>
    <w:rsid w:val="00AC7491"/>
    <w:rsid w:val="00AD17D4"/>
    <w:rsid w:val="00AD48C5"/>
    <w:rsid w:val="00AD590A"/>
    <w:rsid w:val="00AD7770"/>
    <w:rsid w:val="00AE00C0"/>
    <w:rsid w:val="00AE0E3C"/>
    <w:rsid w:val="00AE1E45"/>
    <w:rsid w:val="00AE3E4F"/>
    <w:rsid w:val="00AE77F7"/>
    <w:rsid w:val="00AE7F45"/>
    <w:rsid w:val="00AF153A"/>
    <w:rsid w:val="00AF2B21"/>
    <w:rsid w:val="00AF609D"/>
    <w:rsid w:val="00AF7072"/>
    <w:rsid w:val="00AF70A8"/>
    <w:rsid w:val="00B000E4"/>
    <w:rsid w:val="00B02BFA"/>
    <w:rsid w:val="00B04CA4"/>
    <w:rsid w:val="00B05998"/>
    <w:rsid w:val="00B05A25"/>
    <w:rsid w:val="00B05DEF"/>
    <w:rsid w:val="00B06CCD"/>
    <w:rsid w:val="00B06E5E"/>
    <w:rsid w:val="00B10020"/>
    <w:rsid w:val="00B101EB"/>
    <w:rsid w:val="00B11466"/>
    <w:rsid w:val="00B13E64"/>
    <w:rsid w:val="00B1604F"/>
    <w:rsid w:val="00B16340"/>
    <w:rsid w:val="00B17B67"/>
    <w:rsid w:val="00B2014E"/>
    <w:rsid w:val="00B2214D"/>
    <w:rsid w:val="00B303A1"/>
    <w:rsid w:val="00B3122A"/>
    <w:rsid w:val="00B32096"/>
    <w:rsid w:val="00B341BF"/>
    <w:rsid w:val="00B35773"/>
    <w:rsid w:val="00B36989"/>
    <w:rsid w:val="00B409AF"/>
    <w:rsid w:val="00B4469A"/>
    <w:rsid w:val="00B45497"/>
    <w:rsid w:val="00B45DD1"/>
    <w:rsid w:val="00B47F1F"/>
    <w:rsid w:val="00B501B6"/>
    <w:rsid w:val="00B53BC7"/>
    <w:rsid w:val="00B54D85"/>
    <w:rsid w:val="00B55EC5"/>
    <w:rsid w:val="00B56BB1"/>
    <w:rsid w:val="00B6092E"/>
    <w:rsid w:val="00B61E7F"/>
    <w:rsid w:val="00B631A2"/>
    <w:rsid w:val="00B66A04"/>
    <w:rsid w:val="00B67F32"/>
    <w:rsid w:val="00B70F5D"/>
    <w:rsid w:val="00B72025"/>
    <w:rsid w:val="00B76082"/>
    <w:rsid w:val="00B76460"/>
    <w:rsid w:val="00B81129"/>
    <w:rsid w:val="00B838DD"/>
    <w:rsid w:val="00B8733B"/>
    <w:rsid w:val="00B90583"/>
    <w:rsid w:val="00B91FBD"/>
    <w:rsid w:val="00B9246B"/>
    <w:rsid w:val="00B92771"/>
    <w:rsid w:val="00B935D2"/>
    <w:rsid w:val="00B97526"/>
    <w:rsid w:val="00BB1997"/>
    <w:rsid w:val="00BB2FB2"/>
    <w:rsid w:val="00BB535C"/>
    <w:rsid w:val="00BB6D7E"/>
    <w:rsid w:val="00BB6FEE"/>
    <w:rsid w:val="00BC1D73"/>
    <w:rsid w:val="00BC2651"/>
    <w:rsid w:val="00BC4B2C"/>
    <w:rsid w:val="00BC5594"/>
    <w:rsid w:val="00BC5DE8"/>
    <w:rsid w:val="00BD008D"/>
    <w:rsid w:val="00BD0C5D"/>
    <w:rsid w:val="00BD1F95"/>
    <w:rsid w:val="00BD2BDD"/>
    <w:rsid w:val="00BD5CE4"/>
    <w:rsid w:val="00BD72BA"/>
    <w:rsid w:val="00BE3F1E"/>
    <w:rsid w:val="00BE75C1"/>
    <w:rsid w:val="00BE7871"/>
    <w:rsid w:val="00BF006B"/>
    <w:rsid w:val="00BF109F"/>
    <w:rsid w:val="00BF1E30"/>
    <w:rsid w:val="00BF40D5"/>
    <w:rsid w:val="00BF4968"/>
    <w:rsid w:val="00BF5FBF"/>
    <w:rsid w:val="00C03D36"/>
    <w:rsid w:val="00C040AE"/>
    <w:rsid w:val="00C04F8C"/>
    <w:rsid w:val="00C071CE"/>
    <w:rsid w:val="00C100CE"/>
    <w:rsid w:val="00C11FAD"/>
    <w:rsid w:val="00C221B2"/>
    <w:rsid w:val="00C3044E"/>
    <w:rsid w:val="00C32274"/>
    <w:rsid w:val="00C32ACD"/>
    <w:rsid w:val="00C348DE"/>
    <w:rsid w:val="00C42D8E"/>
    <w:rsid w:val="00C45016"/>
    <w:rsid w:val="00C45A3B"/>
    <w:rsid w:val="00C4635E"/>
    <w:rsid w:val="00C545D5"/>
    <w:rsid w:val="00C55557"/>
    <w:rsid w:val="00C570DD"/>
    <w:rsid w:val="00C64873"/>
    <w:rsid w:val="00C661E1"/>
    <w:rsid w:val="00C700A6"/>
    <w:rsid w:val="00C71DDA"/>
    <w:rsid w:val="00C77BB3"/>
    <w:rsid w:val="00C77C18"/>
    <w:rsid w:val="00C809E6"/>
    <w:rsid w:val="00C827EF"/>
    <w:rsid w:val="00C84D17"/>
    <w:rsid w:val="00C8580B"/>
    <w:rsid w:val="00C9332B"/>
    <w:rsid w:val="00C94A11"/>
    <w:rsid w:val="00C94A5A"/>
    <w:rsid w:val="00C964F1"/>
    <w:rsid w:val="00C96637"/>
    <w:rsid w:val="00C97430"/>
    <w:rsid w:val="00C97CD3"/>
    <w:rsid w:val="00CA2225"/>
    <w:rsid w:val="00CA2BD8"/>
    <w:rsid w:val="00CA3C31"/>
    <w:rsid w:val="00CA41AD"/>
    <w:rsid w:val="00CB15DE"/>
    <w:rsid w:val="00CB383B"/>
    <w:rsid w:val="00CB4AD0"/>
    <w:rsid w:val="00CB513F"/>
    <w:rsid w:val="00CB52D1"/>
    <w:rsid w:val="00CC16DB"/>
    <w:rsid w:val="00CC31A2"/>
    <w:rsid w:val="00CC4A68"/>
    <w:rsid w:val="00CD014B"/>
    <w:rsid w:val="00CD144A"/>
    <w:rsid w:val="00CD16B4"/>
    <w:rsid w:val="00CD2423"/>
    <w:rsid w:val="00CD32DA"/>
    <w:rsid w:val="00CD4AB0"/>
    <w:rsid w:val="00CD5B23"/>
    <w:rsid w:val="00CD5C37"/>
    <w:rsid w:val="00CD690B"/>
    <w:rsid w:val="00CE3DFE"/>
    <w:rsid w:val="00CE4FF3"/>
    <w:rsid w:val="00CE6A88"/>
    <w:rsid w:val="00CF072D"/>
    <w:rsid w:val="00CF3BA7"/>
    <w:rsid w:val="00CF43C6"/>
    <w:rsid w:val="00D03D24"/>
    <w:rsid w:val="00D072A1"/>
    <w:rsid w:val="00D07940"/>
    <w:rsid w:val="00D146E9"/>
    <w:rsid w:val="00D14784"/>
    <w:rsid w:val="00D17C1F"/>
    <w:rsid w:val="00D17EDE"/>
    <w:rsid w:val="00D20382"/>
    <w:rsid w:val="00D23772"/>
    <w:rsid w:val="00D26F7F"/>
    <w:rsid w:val="00D2742B"/>
    <w:rsid w:val="00D31D83"/>
    <w:rsid w:val="00D3229D"/>
    <w:rsid w:val="00D36165"/>
    <w:rsid w:val="00D376E1"/>
    <w:rsid w:val="00D403AB"/>
    <w:rsid w:val="00D41572"/>
    <w:rsid w:val="00D43F42"/>
    <w:rsid w:val="00D527EF"/>
    <w:rsid w:val="00D53549"/>
    <w:rsid w:val="00D56832"/>
    <w:rsid w:val="00D56921"/>
    <w:rsid w:val="00D56950"/>
    <w:rsid w:val="00D60361"/>
    <w:rsid w:val="00D603D4"/>
    <w:rsid w:val="00D62AE9"/>
    <w:rsid w:val="00D63E5A"/>
    <w:rsid w:val="00D66240"/>
    <w:rsid w:val="00D67CD7"/>
    <w:rsid w:val="00D70200"/>
    <w:rsid w:val="00D720C1"/>
    <w:rsid w:val="00D7262C"/>
    <w:rsid w:val="00D72F07"/>
    <w:rsid w:val="00D743F1"/>
    <w:rsid w:val="00D814B0"/>
    <w:rsid w:val="00D862A7"/>
    <w:rsid w:val="00D871ED"/>
    <w:rsid w:val="00D90012"/>
    <w:rsid w:val="00D94497"/>
    <w:rsid w:val="00D94C20"/>
    <w:rsid w:val="00D9751D"/>
    <w:rsid w:val="00DA1584"/>
    <w:rsid w:val="00DA5959"/>
    <w:rsid w:val="00DA62D4"/>
    <w:rsid w:val="00DA64A7"/>
    <w:rsid w:val="00DA6E2C"/>
    <w:rsid w:val="00DA72FB"/>
    <w:rsid w:val="00DA76B1"/>
    <w:rsid w:val="00DB3A14"/>
    <w:rsid w:val="00DB405A"/>
    <w:rsid w:val="00DB6B55"/>
    <w:rsid w:val="00DB7196"/>
    <w:rsid w:val="00DC164D"/>
    <w:rsid w:val="00DC497E"/>
    <w:rsid w:val="00DD1960"/>
    <w:rsid w:val="00DD1B24"/>
    <w:rsid w:val="00DD5EF7"/>
    <w:rsid w:val="00DD6659"/>
    <w:rsid w:val="00DE177A"/>
    <w:rsid w:val="00DE2224"/>
    <w:rsid w:val="00DE22CC"/>
    <w:rsid w:val="00DE29A0"/>
    <w:rsid w:val="00DE4A57"/>
    <w:rsid w:val="00DF5A82"/>
    <w:rsid w:val="00DF69E7"/>
    <w:rsid w:val="00E002F9"/>
    <w:rsid w:val="00E00741"/>
    <w:rsid w:val="00E025D0"/>
    <w:rsid w:val="00E02DD8"/>
    <w:rsid w:val="00E04AD0"/>
    <w:rsid w:val="00E05C04"/>
    <w:rsid w:val="00E06A0D"/>
    <w:rsid w:val="00E10513"/>
    <w:rsid w:val="00E109B6"/>
    <w:rsid w:val="00E11A96"/>
    <w:rsid w:val="00E12732"/>
    <w:rsid w:val="00E15061"/>
    <w:rsid w:val="00E24CC1"/>
    <w:rsid w:val="00E27218"/>
    <w:rsid w:val="00E347E5"/>
    <w:rsid w:val="00E350E1"/>
    <w:rsid w:val="00E35E7C"/>
    <w:rsid w:val="00E37FCC"/>
    <w:rsid w:val="00E4420B"/>
    <w:rsid w:val="00E44D36"/>
    <w:rsid w:val="00E45168"/>
    <w:rsid w:val="00E46A2B"/>
    <w:rsid w:val="00E517D6"/>
    <w:rsid w:val="00E51B5B"/>
    <w:rsid w:val="00E54573"/>
    <w:rsid w:val="00E5557B"/>
    <w:rsid w:val="00E5740C"/>
    <w:rsid w:val="00E6387C"/>
    <w:rsid w:val="00E714F8"/>
    <w:rsid w:val="00E77B65"/>
    <w:rsid w:val="00E8034C"/>
    <w:rsid w:val="00E812C0"/>
    <w:rsid w:val="00E84F9C"/>
    <w:rsid w:val="00E859CE"/>
    <w:rsid w:val="00E86E25"/>
    <w:rsid w:val="00E87BDC"/>
    <w:rsid w:val="00E9018B"/>
    <w:rsid w:val="00E9122D"/>
    <w:rsid w:val="00E9494F"/>
    <w:rsid w:val="00EA06A0"/>
    <w:rsid w:val="00EA3023"/>
    <w:rsid w:val="00EA3F10"/>
    <w:rsid w:val="00EA53EB"/>
    <w:rsid w:val="00EA7B33"/>
    <w:rsid w:val="00EB0597"/>
    <w:rsid w:val="00EB16F9"/>
    <w:rsid w:val="00EB2078"/>
    <w:rsid w:val="00EB43FC"/>
    <w:rsid w:val="00EB58F4"/>
    <w:rsid w:val="00EB67E9"/>
    <w:rsid w:val="00EB6C9A"/>
    <w:rsid w:val="00EB7A51"/>
    <w:rsid w:val="00EC1D0E"/>
    <w:rsid w:val="00EC1E9D"/>
    <w:rsid w:val="00EC31FC"/>
    <w:rsid w:val="00EC4E97"/>
    <w:rsid w:val="00EC5CD6"/>
    <w:rsid w:val="00EC61CE"/>
    <w:rsid w:val="00EC79FE"/>
    <w:rsid w:val="00EC7EB0"/>
    <w:rsid w:val="00ED03A7"/>
    <w:rsid w:val="00ED24CE"/>
    <w:rsid w:val="00ED3A06"/>
    <w:rsid w:val="00ED4C73"/>
    <w:rsid w:val="00ED6CCE"/>
    <w:rsid w:val="00ED7283"/>
    <w:rsid w:val="00ED7962"/>
    <w:rsid w:val="00EE5C75"/>
    <w:rsid w:val="00EE6356"/>
    <w:rsid w:val="00EE6D57"/>
    <w:rsid w:val="00EE7B63"/>
    <w:rsid w:val="00EF0751"/>
    <w:rsid w:val="00EF3853"/>
    <w:rsid w:val="00EF391B"/>
    <w:rsid w:val="00EF46F0"/>
    <w:rsid w:val="00EF6044"/>
    <w:rsid w:val="00EF61E5"/>
    <w:rsid w:val="00EF69A0"/>
    <w:rsid w:val="00F014EF"/>
    <w:rsid w:val="00F032DD"/>
    <w:rsid w:val="00F03602"/>
    <w:rsid w:val="00F0751B"/>
    <w:rsid w:val="00F10591"/>
    <w:rsid w:val="00F1154B"/>
    <w:rsid w:val="00F1171B"/>
    <w:rsid w:val="00F11B9D"/>
    <w:rsid w:val="00F1291A"/>
    <w:rsid w:val="00F14DEB"/>
    <w:rsid w:val="00F16CBF"/>
    <w:rsid w:val="00F242F6"/>
    <w:rsid w:val="00F24D8F"/>
    <w:rsid w:val="00F24EED"/>
    <w:rsid w:val="00F30551"/>
    <w:rsid w:val="00F41061"/>
    <w:rsid w:val="00F44C96"/>
    <w:rsid w:val="00F51312"/>
    <w:rsid w:val="00F54E3C"/>
    <w:rsid w:val="00F56D89"/>
    <w:rsid w:val="00F57344"/>
    <w:rsid w:val="00F576FE"/>
    <w:rsid w:val="00F61969"/>
    <w:rsid w:val="00F634DF"/>
    <w:rsid w:val="00F67E1C"/>
    <w:rsid w:val="00F71B20"/>
    <w:rsid w:val="00F802FC"/>
    <w:rsid w:val="00F814CC"/>
    <w:rsid w:val="00F85244"/>
    <w:rsid w:val="00F85473"/>
    <w:rsid w:val="00F855FD"/>
    <w:rsid w:val="00F91114"/>
    <w:rsid w:val="00F91B66"/>
    <w:rsid w:val="00F95315"/>
    <w:rsid w:val="00FA04EB"/>
    <w:rsid w:val="00FA1F11"/>
    <w:rsid w:val="00FA6CA1"/>
    <w:rsid w:val="00FA736F"/>
    <w:rsid w:val="00FA7584"/>
    <w:rsid w:val="00FB19B2"/>
    <w:rsid w:val="00FB274C"/>
    <w:rsid w:val="00FB538F"/>
    <w:rsid w:val="00FB5554"/>
    <w:rsid w:val="00FB5B11"/>
    <w:rsid w:val="00FC1E7F"/>
    <w:rsid w:val="00FC3304"/>
    <w:rsid w:val="00FC7CCF"/>
    <w:rsid w:val="00FD14AF"/>
    <w:rsid w:val="00FD2437"/>
    <w:rsid w:val="00FD7E7E"/>
    <w:rsid w:val="00FE38C5"/>
    <w:rsid w:val="00FF258C"/>
    <w:rsid w:val="00FF2675"/>
    <w:rsid w:val="00FF27A9"/>
    <w:rsid w:val="00FF2DE9"/>
    <w:rsid w:val="00FF3D71"/>
    <w:rsid w:val="00FF658C"/>
    <w:rsid w:val="069F2340"/>
    <w:rsid w:val="07E5C681"/>
    <w:rsid w:val="08F82A93"/>
    <w:rsid w:val="09383A70"/>
    <w:rsid w:val="0D36461C"/>
    <w:rsid w:val="0F4877E2"/>
    <w:rsid w:val="0FDD4F1D"/>
    <w:rsid w:val="111CE1CB"/>
    <w:rsid w:val="157B1DD0"/>
    <w:rsid w:val="173BEBC0"/>
    <w:rsid w:val="1AF84121"/>
    <w:rsid w:val="1CD12C3D"/>
    <w:rsid w:val="263E04E5"/>
    <w:rsid w:val="26A9C12F"/>
    <w:rsid w:val="27320803"/>
    <w:rsid w:val="297578F6"/>
    <w:rsid w:val="2B104EC5"/>
    <w:rsid w:val="302BD327"/>
    <w:rsid w:val="346C6C7A"/>
    <w:rsid w:val="37E63973"/>
    <w:rsid w:val="38D77691"/>
    <w:rsid w:val="38E7A1EB"/>
    <w:rsid w:val="3C466523"/>
    <w:rsid w:val="3C663C1A"/>
    <w:rsid w:val="3DC8EA8C"/>
    <w:rsid w:val="427A4242"/>
    <w:rsid w:val="493668C1"/>
    <w:rsid w:val="4C1C68A3"/>
    <w:rsid w:val="50F4B6E6"/>
    <w:rsid w:val="51918227"/>
    <w:rsid w:val="55530FDC"/>
    <w:rsid w:val="57978176"/>
    <w:rsid w:val="5C726EE8"/>
    <w:rsid w:val="5FF82039"/>
    <w:rsid w:val="607E8F23"/>
    <w:rsid w:val="64656A2A"/>
    <w:rsid w:val="6588FE05"/>
    <w:rsid w:val="65F9FCD2"/>
    <w:rsid w:val="690AD51B"/>
    <w:rsid w:val="6B138103"/>
    <w:rsid w:val="6BDD5338"/>
    <w:rsid w:val="6E4BF495"/>
    <w:rsid w:val="6FB55CFF"/>
    <w:rsid w:val="701BB868"/>
    <w:rsid w:val="7293C1ED"/>
    <w:rsid w:val="72F42720"/>
    <w:rsid w:val="73D28970"/>
    <w:rsid w:val="78E37C20"/>
    <w:rsid w:val="799FA5CA"/>
    <w:rsid w:val="7BC44E54"/>
    <w:rsid w:val="7EDBBFDD"/>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fillcolor="white">
      <v:fill color="white"/>
    </o:shapedefaults>
    <o:shapelayout v:ext="edit">
      <o:idmap v:ext="edit" data="1"/>
    </o:shapelayout>
  </w:shapeDefaults>
  <w:decimalSymbol w:val="."/>
  <w:listSeparator w:val=","/>
  <w14:docId w14:val="11464037"/>
  <w15:docId w15:val="{728E25F9-67E5-4B77-B89B-09B76667E30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Arial" w:eastAsia="Arial" w:hAnsi="Arial" w:cs="Arial"/>
        <w:lang w:val="en-US" w:eastAsia="en-US"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qFormat="1"/>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qFormat="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qFormat="1"/>
    <w:lsdException w:name="FollowedHyperlink" w:semiHidden="1" w:unhideWhenUsed="1" w:qFormat="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qFormat="1"/>
    <w:lsdException w:name="Table Grid" w:uiPriority="39"/>
    <w:lsdException w:name="Table Theme" w:semiHidden="1" w:unhideWhenUsed="1"/>
    <w:lsdException w:name="Placeholder Text" w:semiHidden="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List Paragraph" w:uiPriority="1" w:qFormat="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uiPriority="34" w:qFormat="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pPr>
      <w:spacing w:line="276" w:lineRule="auto"/>
    </w:pPr>
    <w:rPr>
      <w:sz w:val="22"/>
      <w:szCs w:val="22"/>
      <w:lang w:val="es-CO" w:eastAsia="ja-JP"/>
    </w:rPr>
  </w:style>
  <w:style w:type="paragraph" w:styleId="Ttulo1">
    <w:name w:val="heading 1"/>
    <w:basedOn w:val="Normal"/>
    <w:next w:val="Normal"/>
    <w:uiPriority w:val="9"/>
    <w:qFormat/>
    <w:pPr>
      <w:keepNext/>
      <w:keepLines/>
      <w:spacing w:before="400" w:after="120"/>
      <w:outlineLvl w:val="0"/>
    </w:pPr>
    <w:rPr>
      <w:sz w:val="40"/>
      <w:szCs w:val="40"/>
    </w:rPr>
  </w:style>
  <w:style w:type="paragraph" w:styleId="Ttulo2">
    <w:name w:val="heading 2"/>
    <w:basedOn w:val="Normal"/>
    <w:next w:val="Normal"/>
    <w:uiPriority w:val="9"/>
    <w:semiHidden/>
    <w:unhideWhenUsed/>
    <w:qFormat/>
    <w:pPr>
      <w:keepNext/>
      <w:keepLines/>
      <w:spacing w:before="360" w:after="120"/>
      <w:outlineLvl w:val="1"/>
    </w:pPr>
    <w:rPr>
      <w:sz w:val="32"/>
      <w:szCs w:val="32"/>
    </w:rPr>
  </w:style>
  <w:style w:type="paragraph" w:styleId="Ttulo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Ttulo4">
    <w:name w:val="heading 4"/>
    <w:basedOn w:val="Normal"/>
    <w:next w:val="Normal"/>
    <w:link w:val="Ttulo4Car"/>
    <w:uiPriority w:val="9"/>
    <w:semiHidden/>
    <w:unhideWhenUsed/>
    <w:qFormat/>
    <w:pPr>
      <w:keepNext/>
      <w:keepLines/>
      <w:spacing w:before="280" w:after="80"/>
      <w:outlineLvl w:val="3"/>
    </w:pPr>
    <w:rPr>
      <w:color w:val="666666"/>
      <w:sz w:val="24"/>
      <w:szCs w:val="24"/>
    </w:rPr>
  </w:style>
  <w:style w:type="paragraph" w:styleId="Ttulo5">
    <w:name w:val="heading 5"/>
    <w:basedOn w:val="Normal"/>
    <w:next w:val="Normal"/>
    <w:uiPriority w:val="9"/>
    <w:semiHidden/>
    <w:unhideWhenUsed/>
    <w:qFormat/>
    <w:pPr>
      <w:keepNext/>
      <w:keepLines/>
      <w:spacing w:before="240" w:after="80"/>
      <w:outlineLvl w:val="4"/>
    </w:pPr>
    <w:rPr>
      <w:color w:val="666666"/>
    </w:rPr>
  </w:style>
  <w:style w:type="paragraph" w:styleId="Ttulo6">
    <w:name w:val="heading 6"/>
    <w:basedOn w:val="Normal"/>
    <w:next w:val="Normal"/>
    <w:uiPriority w:val="9"/>
    <w:semiHidden/>
    <w:unhideWhenUsed/>
    <w:qFormat/>
    <w:pPr>
      <w:keepNext/>
      <w:keepLines/>
      <w:spacing w:before="240" w:after="80"/>
      <w:outlineLvl w:val="5"/>
    </w:pPr>
    <w:rPr>
      <w:i/>
      <w:color w:val="666666"/>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styleId="Refdecomentario">
    <w:name w:val="annotation reference"/>
    <w:basedOn w:val="Fuentedeprrafopredeter"/>
    <w:uiPriority w:val="99"/>
    <w:semiHidden/>
    <w:unhideWhenUsed/>
    <w:qFormat/>
    <w:rPr>
      <w:sz w:val="16"/>
      <w:szCs w:val="16"/>
    </w:rPr>
  </w:style>
  <w:style w:type="character" w:styleId="nfasis">
    <w:name w:val="Emphasis"/>
    <w:basedOn w:val="Fuentedeprrafopredeter"/>
    <w:uiPriority w:val="20"/>
    <w:qFormat/>
    <w:rPr>
      <w:i/>
      <w:iCs/>
    </w:rPr>
  </w:style>
  <w:style w:type="character" w:styleId="Hipervnculo">
    <w:name w:val="Hyperlink"/>
    <w:basedOn w:val="Fuentedeprrafopredeter"/>
    <w:uiPriority w:val="99"/>
    <w:unhideWhenUsed/>
    <w:qFormat/>
    <w:rPr>
      <w:color w:val="0000FF" w:themeColor="hyperlink"/>
      <w:u w:val="single"/>
    </w:rPr>
  </w:style>
  <w:style w:type="character" w:styleId="Hipervnculovisitado">
    <w:name w:val="FollowedHyperlink"/>
    <w:basedOn w:val="Fuentedeprrafopredeter"/>
    <w:uiPriority w:val="99"/>
    <w:semiHidden/>
    <w:unhideWhenUsed/>
    <w:qFormat/>
    <w:rPr>
      <w:color w:val="800080" w:themeColor="followedHyperlink"/>
      <w:u w:val="single"/>
    </w:rPr>
  </w:style>
  <w:style w:type="paragraph" w:styleId="Asuntodelcomentario">
    <w:name w:val="annotation subject"/>
    <w:basedOn w:val="Textocomentario"/>
    <w:next w:val="Textocomentario"/>
    <w:link w:val="AsuntodelcomentarioCar"/>
    <w:uiPriority w:val="99"/>
    <w:semiHidden/>
    <w:unhideWhenUsed/>
    <w:rPr>
      <w:b/>
      <w:bCs/>
    </w:rPr>
  </w:style>
  <w:style w:type="paragraph" w:styleId="Textocomentario">
    <w:name w:val="annotation text"/>
    <w:basedOn w:val="Normal0"/>
    <w:link w:val="TextocomentarioCar"/>
    <w:uiPriority w:val="99"/>
    <w:semiHidden/>
    <w:unhideWhenUsed/>
    <w:qFormat/>
    <w:pPr>
      <w:spacing w:line="240" w:lineRule="auto"/>
    </w:pPr>
    <w:rPr>
      <w:sz w:val="20"/>
      <w:szCs w:val="20"/>
    </w:rPr>
  </w:style>
  <w:style w:type="paragraph" w:customStyle="1" w:styleId="Normal0">
    <w:name w:val="Normal0"/>
    <w:qFormat/>
    <w:pPr>
      <w:spacing w:line="276" w:lineRule="auto"/>
    </w:pPr>
    <w:rPr>
      <w:sz w:val="22"/>
      <w:szCs w:val="22"/>
      <w:lang w:val="es-CO" w:eastAsia="ja-JP"/>
    </w:rPr>
  </w:style>
  <w:style w:type="paragraph" w:styleId="Textodeglobo">
    <w:name w:val="Balloon Text"/>
    <w:basedOn w:val="Normal0"/>
    <w:link w:val="TextodegloboCar"/>
    <w:uiPriority w:val="99"/>
    <w:semiHidden/>
    <w:unhideWhenUsed/>
    <w:qFormat/>
    <w:pPr>
      <w:spacing w:line="240" w:lineRule="auto"/>
    </w:pPr>
    <w:rPr>
      <w:rFonts w:ascii="Times New Roman" w:hAnsi="Times New Roman" w:cs="Times New Roman"/>
      <w:sz w:val="18"/>
      <w:szCs w:val="18"/>
    </w:rPr>
  </w:style>
  <w:style w:type="paragraph" w:styleId="Encabezado">
    <w:name w:val="header"/>
    <w:basedOn w:val="Normal0"/>
    <w:link w:val="EncabezadoCar"/>
    <w:uiPriority w:val="99"/>
    <w:unhideWhenUsed/>
    <w:qFormat/>
    <w:pPr>
      <w:tabs>
        <w:tab w:val="center" w:pos="4419"/>
        <w:tab w:val="right" w:pos="8838"/>
      </w:tabs>
      <w:spacing w:line="240" w:lineRule="auto"/>
    </w:pPr>
  </w:style>
  <w:style w:type="paragraph" w:styleId="NormalWeb">
    <w:name w:val="Normal (Web)"/>
    <w:basedOn w:val="Normal0"/>
    <w:uiPriority w:val="99"/>
    <w:unhideWhenUsed/>
    <w:qFormat/>
    <w:pPr>
      <w:spacing w:before="100" w:beforeAutospacing="1" w:after="100" w:afterAutospacing="1" w:line="240" w:lineRule="auto"/>
    </w:pPr>
    <w:rPr>
      <w:rFonts w:ascii="Times New Roman" w:eastAsia="Times New Roman" w:hAnsi="Times New Roman" w:cs="Times New Roman"/>
      <w:sz w:val="24"/>
      <w:szCs w:val="24"/>
    </w:rPr>
  </w:style>
  <w:style w:type="paragraph" w:styleId="Piedepgina">
    <w:name w:val="footer"/>
    <w:basedOn w:val="Normal0"/>
    <w:link w:val="PiedepginaCar"/>
    <w:uiPriority w:val="99"/>
    <w:unhideWhenUsed/>
    <w:qFormat/>
    <w:pPr>
      <w:tabs>
        <w:tab w:val="center" w:pos="4419"/>
        <w:tab w:val="right" w:pos="8838"/>
      </w:tabs>
      <w:spacing w:line="240" w:lineRule="auto"/>
    </w:pPr>
  </w:style>
  <w:style w:type="paragraph" w:styleId="Subttulo">
    <w:name w:val="Subtitle"/>
    <w:basedOn w:val="Normal0"/>
    <w:next w:val="Normal0"/>
    <w:uiPriority w:val="11"/>
    <w:qFormat/>
    <w:pPr>
      <w:keepNext/>
      <w:keepLines/>
      <w:spacing w:after="320"/>
    </w:pPr>
    <w:rPr>
      <w:color w:val="666666"/>
      <w:sz w:val="30"/>
      <w:szCs w:val="30"/>
    </w:rPr>
  </w:style>
  <w:style w:type="paragraph" w:styleId="Ttulo">
    <w:name w:val="Title"/>
    <w:basedOn w:val="Normal"/>
    <w:next w:val="Normal"/>
    <w:uiPriority w:val="10"/>
    <w:qFormat/>
    <w:pPr>
      <w:keepNext/>
      <w:keepLines/>
      <w:spacing w:after="60"/>
    </w:pPr>
    <w:rPr>
      <w:sz w:val="52"/>
      <w:szCs w:val="52"/>
    </w:rPr>
  </w:style>
  <w:style w:type="table" w:styleId="Tablaconcuadrcula">
    <w:name w:val="Table Grid"/>
    <w:basedOn w:val="NormalTable0"/>
    <w:uiPriority w:val="39"/>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NormalTable0">
    <w:name w:val="Normal Table0"/>
    <w:uiPriority w:val="99"/>
    <w:semiHidden/>
    <w:unhideWhenUsed/>
    <w:qFormat/>
    <w:tblPr>
      <w:tblCellMar>
        <w:top w:w="0" w:type="dxa"/>
        <w:left w:w="108" w:type="dxa"/>
        <w:bottom w:w="0" w:type="dxa"/>
        <w:right w:w="108" w:type="dxa"/>
      </w:tblCellMar>
    </w:tblPr>
  </w:style>
  <w:style w:type="paragraph" w:customStyle="1" w:styleId="heading10">
    <w:name w:val="heading 10"/>
    <w:basedOn w:val="Normal0"/>
    <w:next w:val="Normal0"/>
    <w:uiPriority w:val="9"/>
    <w:qFormat/>
    <w:pPr>
      <w:keepNext/>
      <w:keepLines/>
      <w:spacing w:before="400" w:after="120"/>
      <w:outlineLvl w:val="0"/>
    </w:pPr>
    <w:rPr>
      <w:sz w:val="40"/>
      <w:szCs w:val="40"/>
    </w:rPr>
  </w:style>
  <w:style w:type="paragraph" w:customStyle="1" w:styleId="heading20">
    <w:name w:val="heading 20"/>
    <w:basedOn w:val="Normal0"/>
    <w:next w:val="Normal0"/>
    <w:uiPriority w:val="9"/>
    <w:semiHidden/>
    <w:unhideWhenUsed/>
    <w:qFormat/>
    <w:pPr>
      <w:keepNext/>
      <w:keepLines/>
      <w:spacing w:before="360" w:after="120"/>
      <w:outlineLvl w:val="1"/>
    </w:pPr>
    <w:rPr>
      <w:sz w:val="32"/>
      <w:szCs w:val="32"/>
    </w:rPr>
  </w:style>
  <w:style w:type="paragraph" w:customStyle="1" w:styleId="heading30">
    <w:name w:val="heading 30"/>
    <w:basedOn w:val="Normal0"/>
    <w:next w:val="Normal0"/>
    <w:uiPriority w:val="9"/>
    <w:semiHidden/>
    <w:unhideWhenUsed/>
    <w:qFormat/>
    <w:pPr>
      <w:keepNext/>
      <w:keepLines/>
      <w:spacing w:before="320" w:after="80"/>
      <w:outlineLvl w:val="2"/>
    </w:pPr>
    <w:rPr>
      <w:color w:val="434343"/>
      <w:sz w:val="28"/>
      <w:szCs w:val="28"/>
    </w:rPr>
  </w:style>
  <w:style w:type="paragraph" w:customStyle="1" w:styleId="heading40">
    <w:name w:val="heading 40"/>
    <w:basedOn w:val="Normal0"/>
    <w:next w:val="Normal0"/>
    <w:uiPriority w:val="9"/>
    <w:semiHidden/>
    <w:unhideWhenUsed/>
    <w:qFormat/>
    <w:pPr>
      <w:keepNext/>
      <w:keepLines/>
      <w:spacing w:before="280" w:after="80"/>
      <w:outlineLvl w:val="3"/>
    </w:pPr>
    <w:rPr>
      <w:color w:val="666666"/>
      <w:sz w:val="24"/>
      <w:szCs w:val="24"/>
    </w:rPr>
  </w:style>
  <w:style w:type="paragraph" w:customStyle="1" w:styleId="heading50">
    <w:name w:val="heading 50"/>
    <w:basedOn w:val="Normal0"/>
    <w:next w:val="Normal0"/>
    <w:uiPriority w:val="9"/>
    <w:semiHidden/>
    <w:unhideWhenUsed/>
    <w:qFormat/>
    <w:pPr>
      <w:keepNext/>
      <w:keepLines/>
      <w:spacing w:before="240" w:after="80"/>
      <w:outlineLvl w:val="4"/>
    </w:pPr>
    <w:rPr>
      <w:color w:val="666666"/>
    </w:rPr>
  </w:style>
  <w:style w:type="paragraph" w:customStyle="1" w:styleId="heading60">
    <w:name w:val="heading 60"/>
    <w:basedOn w:val="Normal0"/>
    <w:next w:val="Normal0"/>
    <w:uiPriority w:val="9"/>
    <w:semiHidden/>
    <w:unhideWhenUsed/>
    <w:qFormat/>
    <w:pPr>
      <w:keepNext/>
      <w:keepLines/>
      <w:spacing w:before="240" w:after="80"/>
      <w:outlineLvl w:val="5"/>
    </w:pPr>
    <w:rPr>
      <w:i/>
      <w:color w:val="666666"/>
    </w:rPr>
  </w:style>
  <w:style w:type="table" w:customStyle="1" w:styleId="NormalTable1">
    <w:name w:val="Normal Table1"/>
    <w:qFormat/>
    <w:tblPr>
      <w:tblCellMar>
        <w:top w:w="0" w:type="dxa"/>
        <w:left w:w="0" w:type="dxa"/>
        <w:bottom w:w="0" w:type="dxa"/>
        <w:right w:w="0" w:type="dxa"/>
      </w:tblCellMar>
    </w:tblPr>
  </w:style>
  <w:style w:type="paragraph" w:customStyle="1" w:styleId="Title0">
    <w:name w:val="Title0"/>
    <w:basedOn w:val="Normal0"/>
    <w:next w:val="Normal0"/>
    <w:uiPriority w:val="10"/>
    <w:qFormat/>
    <w:pPr>
      <w:keepNext/>
      <w:keepLines/>
      <w:spacing w:after="60"/>
    </w:pPr>
    <w:rPr>
      <w:sz w:val="52"/>
      <w:szCs w:val="52"/>
    </w:rPr>
  </w:style>
  <w:style w:type="table" w:customStyle="1" w:styleId="TableNormal">
    <w:name w:val="Table Normal"/>
    <w:qFormat/>
    <w:tblPr>
      <w:tblCellMar>
        <w:top w:w="0" w:type="dxa"/>
        <w:left w:w="0" w:type="dxa"/>
        <w:bottom w:w="0" w:type="dxa"/>
        <w:right w:w="0" w:type="dxa"/>
      </w:tblCellMar>
    </w:tblPr>
  </w:style>
  <w:style w:type="table" w:customStyle="1" w:styleId="Style22">
    <w:name w:val="_Style 22"/>
    <w:basedOn w:val="NormalTable0"/>
    <w:qFormat/>
    <w:tblPr>
      <w:tblCellMar>
        <w:top w:w="100" w:type="dxa"/>
        <w:left w:w="100" w:type="dxa"/>
        <w:bottom w:w="100" w:type="dxa"/>
        <w:right w:w="100" w:type="dxa"/>
      </w:tblCellMar>
    </w:tblPr>
  </w:style>
  <w:style w:type="table" w:customStyle="1" w:styleId="Style23">
    <w:name w:val="_Style 23"/>
    <w:basedOn w:val="NormalTable0"/>
    <w:qFormat/>
    <w:tblPr>
      <w:tblCellMar>
        <w:top w:w="100" w:type="dxa"/>
        <w:left w:w="100" w:type="dxa"/>
        <w:bottom w:w="100" w:type="dxa"/>
        <w:right w:w="100" w:type="dxa"/>
      </w:tblCellMar>
    </w:tblPr>
  </w:style>
  <w:style w:type="table" w:customStyle="1" w:styleId="Style24">
    <w:name w:val="_Style 24"/>
    <w:basedOn w:val="NormalTable0"/>
    <w:qFormat/>
    <w:tblPr>
      <w:tblCellMar>
        <w:top w:w="100" w:type="dxa"/>
        <w:left w:w="100" w:type="dxa"/>
        <w:bottom w:w="100" w:type="dxa"/>
        <w:right w:w="100" w:type="dxa"/>
      </w:tblCellMar>
    </w:tblPr>
  </w:style>
  <w:style w:type="character" w:customStyle="1" w:styleId="EncabezadoCar">
    <w:name w:val="Encabezado Car"/>
    <w:basedOn w:val="Fuentedeprrafopredeter"/>
    <w:link w:val="Encabezado"/>
    <w:uiPriority w:val="99"/>
    <w:qFormat/>
  </w:style>
  <w:style w:type="character" w:customStyle="1" w:styleId="PiedepginaCar">
    <w:name w:val="Pie de página Car"/>
    <w:basedOn w:val="Fuentedeprrafopredeter"/>
    <w:link w:val="Piedepgina"/>
    <w:uiPriority w:val="99"/>
    <w:qFormat/>
  </w:style>
  <w:style w:type="character" w:customStyle="1" w:styleId="Listavistosa-nfasis1Car">
    <w:name w:val="Lista vistosa - Énfasis 1 Car"/>
    <w:uiPriority w:val="34"/>
    <w:qFormat/>
    <w:rPr>
      <w:rFonts w:ascii="Arial" w:hAnsi="Arial"/>
      <w:b/>
      <w:sz w:val="24"/>
      <w:szCs w:val="24"/>
      <w:lang w:eastAsia="es-ES"/>
    </w:rPr>
  </w:style>
  <w:style w:type="table" w:styleId="Listavistosa-nfasis1">
    <w:name w:val="Colorful List Accent 1"/>
    <w:basedOn w:val="NormalTable0"/>
    <w:uiPriority w:val="34"/>
    <w:semiHidden/>
    <w:unhideWhenUsed/>
    <w:qFormat/>
    <w:rPr>
      <w:b/>
      <w:sz w:val="24"/>
      <w:szCs w:val="24"/>
      <w:lang w:eastAsia="es-ES"/>
    </w:rPr>
    <w:tblPr/>
    <w:tcPr>
      <w:shd w:val="clear" w:color="auto" w:fill="EDF2F8" w:themeFill="accent1" w:themeFillTint="19"/>
    </w:tcPr>
    <w:tblStylePr w:type="firstRow">
      <w:tblPr/>
      <w:tcPr>
        <w:tcBorders>
          <w:bottom w:val="single" w:sz="12" w:space="0" w:color="FFFFFF" w:themeColor="background1"/>
        </w:tcBorders>
        <w:shd w:val="clear" w:color="auto" w:fill="9E3A38" w:themeFill="accent2" w:themeFillShade="CC"/>
      </w:tcPr>
    </w:tblStylePr>
    <w:tblStylePr w:type="lastRow">
      <w:tblPr/>
      <w:tcPr>
        <w:tcBorders>
          <w:top w:val="single" w:sz="12" w:space="0" w:color="000000" w:themeColor="text1"/>
        </w:tcBorders>
        <w:shd w:val="clear" w:color="auto" w:fill="FFFFFF" w:themeFill="background1"/>
      </w:tc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paragraph" w:styleId="Prrafodelista">
    <w:name w:val="List Paragraph"/>
    <w:basedOn w:val="Normal0"/>
    <w:uiPriority w:val="1"/>
    <w:qFormat/>
    <w:pPr>
      <w:ind w:left="720"/>
      <w:contextualSpacing/>
    </w:pPr>
  </w:style>
  <w:style w:type="character" w:customStyle="1" w:styleId="Mencinsinresolver1">
    <w:name w:val="Mención sin resolver1"/>
    <w:basedOn w:val="Fuentedeprrafopredeter"/>
    <w:uiPriority w:val="99"/>
    <w:semiHidden/>
    <w:unhideWhenUsed/>
    <w:qFormat/>
    <w:rPr>
      <w:color w:val="605E5C"/>
      <w:shd w:val="clear" w:color="auto" w:fill="E1DFDD"/>
    </w:rPr>
  </w:style>
  <w:style w:type="character" w:customStyle="1" w:styleId="TextodegloboCar">
    <w:name w:val="Texto de globo Car"/>
    <w:basedOn w:val="Fuentedeprrafopredeter"/>
    <w:link w:val="Textodeglobo"/>
    <w:uiPriority w:val="99"/>
    <w:semiHidden/>
    <w:rPr>
      <w:rFonts w:ascii="Times New Roman" w:hAnsi="Times New Roman" w:cs="Times New Roman"/>
      <w:sz w:val="18"/>
      <w:szCs w:val="18"/>
    </w:rPr>
  </w:style>
  <w:style w:type="character" w:customStyle="1" w:styleId="TextocomentarioCar">
    <w:name w:val="Texto comentario Car"/>
    <w:basedOn w:val="Fuentedeprrafopredeter"/>
    <w:link w:val="Textocomentario"/>
    <w:uiPriority w:val="99"/>
    <w:semiHidden/>
    <w:qFormat/>
    <w:rPr>
      <w:sz w:val="20"/>
      <w:szCs w:val="20"/>
    </w:rPr>
  </w:style>
  <w:style w:type="character" w:customStyle="1" w:styleId="AsuntodelcomentarioCar">
    <w:name w:val="Asunto del comentario Car"/>
    <w:basedOn w:val="TextocomentarioCar"/>
    <w:link w:val="Asuntodelcomentario"/>
    <w:uiPriority w:val="99"/>
    <w:semiHidden/>
    <w:qFormat/>
    <w:rPr>
      <w:b/>
      <w:bCs/>
      <w:sz w:val="20"/>
      <w:szCs w:val="20"/>
    </w:rPr>
  </w:style>
  <w:style w:type="table" w:customStyle="1" w:styleId="Style44">
    <w:name w:val="_Style 44"/>
    <w:basedOn w:val="TableNormal"/>
    <w:qFormat/>
    <w:rPr>
      <w:b/>
      <w:sz w:val="24"/>
      <w:szCs w:val="24"/>
    </w:rPr>
    <w:tblPr>
      <w:tblCellMar>
        <w:left w:w="115" w:type="dxa"/>
        <w:right w:w="115" w:type="dxa"/>
      </w:tblCellMar>
    </w:tblPr>
    <w:tcPr>
      <w:shd w:val="clear" w:color="auto" w:fill="EDF2F8"/>
    </w:tcPr>
  </w:style>
  <w:style w:type="table" w:customStyle="1" w:styleId="Style45">
    <w:name w:val="_Style 45"/>
    <w:basedOn w:val="TableNormal"/>
    <w:qFormat/>
    <w:rPr>
      <w:b/>
      <w:sz w:val="24"/>
      <w:szCs w:val="24"/>
    </w:rPr>
    <w:tblPr>
      <w:tblCellMar>
        <w:left w:w="115" w:type="dxa"/>
        <w:right w:w="115" w:type="dxa"/>
      </w:tblCellMar>
    </w:tblPr>
    <w:tcPr>
      <w:shd w:val="clear" w:color="auto" w:fill="EDF2F8"/>
    </w:tcPr>
  </w:style>
  <w:style w:type="table" w:customStyle="1" w:styleId="Style46">
    <w:name w:val="_Style 46"/>
    <w:basedOn w:val="TableNormal"/>
    <w:qFormat/>
    <w:rPr>
      <w:b/>
      <w:sz w:val="24"/>
      <w:szCs w:val="24"/>
    </w:rPr>
    <w:tblPr>
      <w:tblCellMar>
        <w:left w:w="115" w:type="dxa"/>
        <w:right w:w="115" w:type="dxa"/>
      </w:tblCellMar>
    </w:tblPr>
    <w:tcPr>
      <w:shd w:val="clear" w:color="auto" w:fill="EDF2F8"/>
    </w:tcPr>
  </w:style>
  <w:style w:type="table" w:customStyle="1" w:styleId="Style47">
    <w:name w:val="_Style 47"/>
    <w:basedOn w:val="TableNormal"/>
    <w:qFormat/>
    <w:rPr>
      <w:b/>
      <w:sz w:val="24"/>
      <w:szCs w:val="24"/>
    </w:rPr>
    <w:tblPr>
      <w:tblCellMar>
        <w:left w:w="115" w:type="dxa"/>
        <w:right w:w="115" w:type="dxa"/>
      </w:tblCellMar>
    </w:tblPr>
    <w:tcPr>
      <w:shd w:val="clear" w:color="auto" w:fill="EDF2F8"/>
    </w:tcPr>
  </w:style>
  <w:style w:type="table" w:customStyle="1" w:styleId="Style48">
    <w:name w:val="_Style 48"/>
    <w:basedOn w:val="TableNormal"/>
    <w:tblPr>
      <w:tblCellMar>
        <w:left w:w="70" w:type="dxa"/>
        <w:right w:w="70" w:type="dxa"/>
      </w:tblCellMar>
    </w:tblPr>
  </w:style>
  <w:style w:type="table" w:customStyle="1" w:styleId="Style49">
    <w:name w:val="_Style 49"/>
    <w:basedOn w:val="TableNormal"/>
    <w:qFormat/>
    <w:tblPr>
      <w:tblCellMar>
        <w:top w:w="15" w:type="dxa"/>
        <w:left w:w="15" w:type="dxa"/>
        <w:bottom w:w="15" w:type="dxa"/>
        <w:right w:w="15" w:type="dxa"/>
      </w:tblCellMar>
    </w:tblPr>
  </w:style>
  <w:style w:type="table" w:customStyle="1" w:styleId="Style50">
    <w:name w:val="_Style 50"/>
    <w:basedOn w:val="TableNormal"/>
    <w:qFormat/>
    <w:tblPr>
      <w:tblCellMar>
        <w:top w:w="15" w:type="dxa"/>
        <w:left w:w="15" w:type="dxa"/>
        <w:bottom w:w="15" w:type="dxa"/>
        <w:right w:w="15" w:type="dxa"/>
      </w:tblCellMar>
    </w:tblPr>
  </w:style>
  <w:style w:type="table" w:customStyle="1" w:styleId="Style51">
    <w:name w:val="_Style 51"/>
    <w:basedOn w:val="TableNormal"/>
    <w:qFormat/>
    <w:tblPr>
      <w:tblCellMar>
        <w:left w:w="115" w:type="dxa"/>
        <w:right w:w="115" w:type="dxa"/>
      </w:tblCellMar>
    </w:tblPr>
  </w:style>
  <w:style w:type="table" w:customStyle="1" w:styleId="Style52">
    <w:name w:val="_Style 52"/>
    <w:basedOn w:val="TableNormal"/>
    <w:qFormat/>
    <w:tblPr>
      <w:tblCellMar>
        <w:left w:w="115" w:type="dxa"/>
        <w:right w:w="115" w:type="dxa"/>
      </w:tblCellMar>
    </w:tblPr>
  </w:style>
  <w:style w:type="table" w:customStyle="1" w:styleId="Style53">
    <w:name w:val="_Style 53"/>
    <w:basedOn w:val="TableNormal"/>
    <w:qFormat/>
    <w:rPr>
      <w:b/>
      <w:sz w:val="24"/>
      <w:szCs w:val="24"/>
    </w:rPr>
    <w:tblPr>
      <w:tblCellMar>
        <w:left w:w="115" w:type="dxa"/>
        <w:right w:w="115" w:type="dxa"/>
      </w:tblCellMar>
    </w:tblPr>
    <w:tcPr>
      <w:shd w:val="clear" w:color="auto" w:fill="EDF2F8"/>
    </w:tcPr>
  </w:style>
  <w:style w:type="table" w:customStyle="1" w:styleId="Style54">
    <w:name w:val="_Style 54"/>
    <w:basedOn w:val="TableNormal"/>
    <w:qFormat/>
    <w:rPr>
      <w:b/>
      <w:sz w:val="24"/>
      <w:szCs w:val="24"/>
    </w:rPr>
    <w:tblPr>
      <w:tblCellMar>
        <w:left w:w="115" w:type="dxa"/>
        <w:right w:w="115" w:type="dxa"/>
      </w:tblCellMar>
    </w:tblPr>
    <w:tcPr>
      <w:shd w:val="clear" w:color="auto" w:fill="EDF2F8"/>
    </w:tcPr>
  </w:style>
  <w:style w:type="table" w:customStyle="1" w:styleId="Style55">
    <w:name w:val="_Style 55"/>
    <w:basedOn w:val="TableNormal"/>
    <w:qFormat/>
    <w:rPr>
      <w:b/>
      <w:sz w:val="24"/>
      <w:szCs w:val="24"/>
    </w:rPr>
    <w:tblPr>
      <w:tblCellMar>
        <w:left w:w="115" w:type="dxa"/>
        <w:right w:w="115" w:type="dxa"/>
      </w:tblCellMar>
    </w:tblPr>
    <w:tcPr>
      <w:shd w:val="clear" w:color="auto" w:fill="EDF2F8"/>
    </w:tcPr>
  </w:style>
  <w:style w:type="table" w:customStyle="1" w:styleId="Style56">
    <w:name w:val="_Style 56"/>
    <w:basedOn w:val="TableNormal"/>
    <w:qFormat/>
    <w:rPr>
      <w:b/>
      <w:sz w:val="24"/>
      <w:szCs w:val="24"/>
    </w:rPr>
    <w:tblPr>
      <w:tblCellMar>
        <w:left w:w="115" w:type="dxa"/>
        <w:right w:w="115" w:type="dxa"/>
      </w:tblCellMar>
    </w:tblPr>
    <w:tcPr>
      <w:shd w:val="clear" w:color="auto" w:fill="EDF2F8"/>
    </w:tcPr>
  </w:style>
  <w:style w:type="table" w:customStyle="1" w:styleId="Style57">
    <w:name w:val="_Style 57"/>
    <w:basedOn w:val="TableNormal"/>
    <w:qFormat/>
    <w:rPr>
      <w:b/>
      <w:sz w:val="24"/>
      <w:szCs w:val="24"/>
    </w:rPr>
    <w:tblPr>
      <w:tblCellMar>
        <w:left w:w="115" w:type="dxa"/>
        <w:right w:w="115" w:type="dxa"/>
      </w:tblCellMar>
    </w:tblPr>
    <w:tcPr>
      <w:shd w:val="clear" w:color="auto" w:fill="EDF2F8"/>
    </w:tcPr>
  </w:style>
  <w:style w:type="table" w:customStyle="1" w:styleId="Style58">
    <w:name w:val="_Style 58"/>
    <w:basedOn w:val="TableNormal"/>
    <w:qFormat/>
    <w:rPr>
      <w:b/>
      <w:sz w:val="24"/>
      <w:szCs w:val="24"/>
    </w:rPr>
    <w:tblPr>
      <w:tblCellMar>
        <w:left w:w="115" w:type="dxa"/>
        <w:right w:w="115" w:type="dxa"/>
      </w:tblCellMar>
    </w:tblPr>
    <w:tcPr>
      <w:shd w:val="clear" w:color="auto" w:fill="EDF2F8"/>
    </w:tcPr>
  </w:style>
  <w:style w:type="table" w:customStyle="1" w:styleId="Style59">
    <w:name w:val="_Style 59"/>
    <w:basedOn w:val="TableNormal"/>
    <w:qFormat/>
    <w:rPr>
      <w:b/>
      <w:sz w:val="24"/>
      <w:szCs w:val="24"/>
    </w:rPr>
    <w:tblPr>
      <w:tblCellMar>
        <w:left w:w="115" w:type="dxa"/>
        <w:right w:w="115" w:type="dxa"/>
      </w:tblCellMar>
    </w:tblPr>
    <w:tcPr>
      <w:shd w:val="clear" w:color="auto" w:fill="EDF2F8"/>
    </w:tcPr>
  </w:style>
  <w:style w:type="table" w:customStyle="1" w:styleId="Style60">
    <w:name w:val="_Style 60"/>
    <w:basedOn w:val="TableNormal"/>
    <w:qFormat/>
    <w:rPr>
      <w:b/>
      <w:sz w:val="24"/>
      <w:szCs w:val="24"/>
    </w:rPr>
    <w:tblPr>
      <w:tblCellMar>
        <w:left w:w="115" w:type="dxa"/>
        <w:right w:w="115" w:type="dxa"/>
      </w:tblCellMar>
    </w:tblPr>
    <w:tcPr>
      <w:shd w:val="clear" w:color="auto" w:fill="EDF2F8"/>
    </w:tcPr>
  </w:style>
  <w:style w:type="table" w:customStyle="1" w:styleId="Style61">
    <w:name w:val="_Style 61"/>
    <w:basedOn w:val="TableNormal"/>
    <w:qFormat/>
    <w:rPr>
      <w:b/>
      <w:sz w:val="24"/>
      <w:szCs w:val="24"/>
    </w:rPr>
    <w:tblPr>
      <w:tblCellMar>
        <w:left w:w="115" w:type="dxa"/>
        <w:right w:w="115" w:type="dxa"/>
      </w:tblCellMar>
    </w:tblPr>
    <w:tcPr>
      <w:shd w:val="clear" w:color="auto" w:fill="EDF2F8"/>
    </w:tcPr>
  </w:style>
  <w:style w:type="character" w:customStyle="1" w:styleId="Mencinsinresolver2">
    <w:name w:val="Mención sin resolver2"/>
    <w:basedOn w:val="Fuentedeprrafopredeter"/>
    <w:uiPriority w:val="99"/>
    <w:semiHidden/>
    <w:unhideWhenUsed/>
    <w:qFormat/>
    <w:rPr>
      <w:color w:val="605E5C"/>
      <w:shd w:val="clear" w:color="auto" w:fill="E1DFDD"/>
    </w:rPr>
  </w:style>
  <w:style w:type="paragraph" w:customStyle="1" w:styleId="Subtitle0">
    <w:name w:val="Subtitle0"/>
    <w:basedOn w:val="Normal0"/>
    <w:next w:val="Normal0"/>
    <w:qFormat/>
    <w:pPr>
      <w:keepNext/>
      <w:keepLines/>
      <w:spacing w:after="320"/>
    </w:pPr>
    <w:rPr>
      <w:color w:val="666666"/>
      <w:sz w:val="30"/>
      <w:szCs w:val="30"/>
    </w:rPr>
  </w:style>
  <w:style w:type="table" w:customStyle="1" w:styleId="Style64">
    <w:name w:val="_Style 64"/>
    <w:basedOn w:val="NormalTable1"/>
    <w:qFormat/>
    <w:rPr>
      <w:b/>
      <w:sz w:val="24"/>
      <w:szCs w:val="24"/>
    </w:rPr>
    <w:tblPr>
      <w:tblCellMar>
        <w:left w:w="115" w:type="dxa"/>
        <w:right w:w="115" w:type="dxa"/>
      </w:tblCellMar>
    </w:tblPr>
    <w:tcPr>
      <w:shd w:val="clear" w:color="auto" w:fill="EDF2F8"/>
    </w:tcPr>
  </w:style>
  <w:style w:type="table" w:customStyle="1" w:styleId="Style65">
    <w:name w:val="_Style 65"/>
    <w:basedOn w:val="NormalTable1"/>
    <w:qFormat/>
    <w:rPr>
      <w:b/>
      <w:sz w:val="24"/>
      <w:szCs w:val="24"/>
    </w:rPr>
    <w:tblPr>
      <w:tblCellMar>
        <w:left w:w="115" w:type="dxa"/>
        <w:right w:w="115" w:type="dxa"/>
      </w:tblCellMar>
    </w:tblPr>
    <w:tcPr>
      <w:shd w:val="clear" w:color="auto" w:fill="EDF2F8"/>
    </w:tcPr>
  </w:style>
  <w:style w:type="table" w:customStyle="1" w:styleId="Style66">
    <w:name w:val="_Style 66"/>
    <w:basedOn w:val="NormalTable1"/>
    <w:qFormat/>
    <w:rPr>
      <w:b/>
      <w:sz w:val="24"/>
      <w:szCs w:val="24"/>
    </w:rPr>
    <w:tblPr>
      <w:tblCellMar>
        <w:left w:w="115" w:type="dxa"/>
        <w:right w:w="115" w:type="dxa"/>
      </w:tblCellMar>
    </w:tblPr>
    <w:tcPr>
      <w:shd w:val="clear" w:color="auto" w:fill="EDF2F8"/>
    </w:tcPr>
  </w:style>
  <w:style w:type="table" w:customStyle="1" w:styleId="Style67">
    <w:name w:val="_Style 67"/>
    <w:basedOn w:val="NormalTable1"/>
    <w:qFormat/>
    <w:rPr>
      <w:b/>
      <w:sz w:val="24"/>
      <w:szCs w:val="24"/>
    </w:rPr>
    <w:tblPr>
      <w:tblCellMar>
        <w:left w:w="115" w:type="dxa"/>
        <w:right w:w="115" w:type="dxa"/>
      </w:tblCellMar>
    </w:tblPr>
    <w:tcPr>
      <w:shd w:val="clear" w:color="auto" w:fill="EDF2F8"/>
    </w:tcPr>
  </w:style>
  <w:style w:type="table" w:customStyle="1" w:styleId="Style68">
    <w:name w:val="_Style 68"/>
    <w:basedOn w:val="NormalTable1"/>
    <w:tblPr>
      <w:tblCellMar>
        <w:top w:w="100" w:type="dxa"/>
        <w:left w:w="100" w:type="dxa"/>
        <w:bottom w:w="100" w:type="dxa"/>
        <w:right w:w="100" w:type="dxa"/>
      </w:tblCellMar>
    </w:tblPr>
  </w:style>
  <w:style w:type="table" w:customStyle="1" w:styleId="Style69">
    <w:name w:val="_Style 69"/>
    <w:basedOn w:val="NormalTable1"/>
    <w:qFormat/>
    <w:tblPr>
      <w:tblCellMar>
        <w:top w:w="100" w:type="dxa"/>
        <w:left w:w="100" w:type="dxa"/>
        <w:bottom w:w="100" w:type="dxa"/>
        <w:right w:w="100" w:type="dxa"/>
      </w:tblCellMar>
    </w:tblPr>
  </w:style>
  <w:style w:type="table" w:customStyle="1" w:styleId="Style70">
    <w:name w:val="_Style 70"/>
    <w:basedOn w:val="NormalTable1"/>
    <w:qFormat/>
    <w:rPr>
      <w:b/>
      <w:sz w:val="24"/>
      <w:szCs w:val="24"/>
    </w:rPr>
    <w:tblPr>
      <w:tblCellMar>
        <w:left w:w="115" w:type="dxa"/>
        <w:right w:w="115" w:type="dxa"/>
      </w:tblCellMar>
    </w:tblPr>
    <w:tcPr>
      <w:shd w:val="clear" w:color="auto" w:fill="EDF2F8"/>
    </w:tcPr>
  </w:style>
  <w:style w:type="table" w:customStyle="1" w:styleId="Style71">
    <w:name w:val="_Style 71"/>
    <w:basedOn w:val="NormalTable1"/>
    <w:qFormat/>
    <w:rPr>
      <w:b/>
      <w:sz w:val="24"/>
      <w:szCs w:val="24"/>
    </w:rPr>
    <w:tblPr>
      <w:tblCellMar>
        <w:left w:w="115" w:type="dxa"/>
        <w:right w:w="115" w:type="dxa"/>
      </w:tblCellMar>
    </w:tblPr>
    <w:tcPr>
      <w:shd w:val="clear" w:color="auto" w:fill="EDF2F8"/>
    </w:tcPr>
  </w:style>
  <w:style w:type="table" w:customStyle="1" w:styleId="Style72">
    <w:name w:val="_Style 72"/>
    <w:basedOn w:val="NormalTable1"/>
    <w:qFormat/>
    <w:rPr>
      <w:b/>
      <w:sz w:val="24"/>
      <w:szCs w:val="24"/>
    </w:rPr>
    <w:tblPr>
      <w:tblCellMar>
        <w:left w:w="115" w:type="dxa"/>
        <w:right w:w="115" w:type="dxa"/>
      </w:tblCellMar>
    </w:tblPr>
    <w:tcPr>
      <w:shd w:val="clear" w:color="auto" w:fill="EDF2F8"/>
    </w:tcPr>
  </w:style>
  <w:style w:type="table" w:customStyle="1" w:styleId="Style73">
    <w:name w:val="_Style 73"/>
    <w:basedOn w:val="NormalTable1"/>
    <w:qFormat/>
    <w:rPr>
      <w:b/>
      <w:sz w:val="24"/>
      <w:szCs w:val="24"/>
    </w:rPr>
    <w:tblPr>
      <w:tblCellMar>
        <w:left w:w="115" w:type="dxa"/>
        <w:right w:w="115" w:type="dxa"/>
      </w:tblCellMar>
    </w:tblPr>
    <w:tcPr>
      <w:shd w:val="clear" w:color="auto" w:fill="EDF2F8"/>
    </w:tcPr>
  </w:style>
  <w:style w:type="table" w:customStyle="1" w:styleId="Style74">
    <w:name w:val="_Style 74"/>
    <w:basedOn w:val="NormalTable1"/>
    <w:qFormat/>
    <w:rPr>
      <w:b/>
      <w:sz w:val="24"/>
      <w:szCs w:val="24"/>
    </w:rPr>
    <w:tblPr>
      <w:tblCellMar>
        <w:left w:w="115" w:type="dxa"/>
        <w:right w:w="115" w:type="dxa"/>
      </w:tblCellMar>
    </w:tblPr>
    <w:tcPr>
      <w:shd w:val="clear" w:color="auto" w:fill="EDF2F8"/>
    </w:tcPr>
  </w:style>
  <w:style w:type="paragraph" w:customStyle="1" w:styleId="Default">
    <w:name w:val="Default"/>
    <w:qFormat/>
    <w:pPr>
      <w:autoSpaceDE w:val="0"/>
      <w:autoSpaceDN w:val="0"/>
      <w:adjustRightInd w:val="0"/>
    </w:pPr>
    <w:rPr>
      <w:color w:val="000000"/>
      <w:sz w:val="24"/>
      <w:szCs w:val="24"/>
      <w:lang w:eastAsia="ja-JP"/>
    </w:rPr>
  </w:style>
  <w:style w:type="character" w:customStyle="1" w:styleId="Ttulo4Car">
    <w:name w:val="Título 4 Car"/>
    <w:basedOn w:val="Fuentedeprrafopredeter"/>
    <w:link w:val="Ttulo4"/>
    <w:uiPriority w:val="9"/>
    <w:semiHidden/>
    <w:rsid w:val="00FD7E7E"/>
    <w:rPr>
      <w:color w:val="666666"/>
      <w:sz w:val="24"/>
      <w:szCs w:val="24"/>
      <w:lang w:val="es-CO" w:eastAsia="ja-JP"/>
    </w:rPr>
  </w:style>
  <w:style w:type="character" w:styleId="Textoennegrita">
    <w:name w:val="Strong"/>
    <w:basedOn w:val="Fuentedeprrafopredeter"/>
    <w:uiPriority w:val="22"/>
    <w:qFormat/>
    <w:rsid w:val="00FD7E7E"/>
    <w:rPr>
      <w:b/>
      <w:bCs/>
    </w:rPr>
  </w:style>
  <w:style w:type="table" w:styleId="Tabladecuadrcula4-nfasis1">
    <w:name w:val="Grid Table 4 Accent 1"/>
    <w:basedOn w:val="Tablanormal"/>
    <w:uiPriority w:val="49"/>
    <w:rsid w:val="00BD5CE4"/>
    <w:rPr>
      <w:sz w:val="22"/>
      <w:szCs w:val="22"/>
      <w:lang w:val="es-CO" w:eastAsia="ja-JP"/>
    </w:rPr>
    <w:tblPr>
      <w:tblStyleRowBandSize w:val="1"/>
      <w:tblStyleColBandSize w:val="1"/>
      <w:tblBorders>
        <w:top w:val="single" w:sz="4" w:space="0" w:color="95B3D7" w:themeColor="accent1" w:themeTint="99"/>
        <w:left w:val="single" w:sz="4" w:space="0" w:color="95B3D7" w:themeColor="accent1" w:themeTint="99"/>
        <w:bottom w:val="single" w:sz="4" w:space="0" w:color="95B3D7" w:themeColor="accent1" w:themeTint="99"/>
        <w:right w:val="single" w:sz="4" w:space="0" w:color="95B3D7" w:themeColor="accent1" w:themeTint="99"/>
        <w:insideH w:val="single" w:sz="4" w:space="0" w:color="95B3D7" w:themeColor="accent1" w:themeTint="99"/>
        <w:insideV w:val="single" w:sz="4" w:space="0" w:color="95B3D7" w:themeColor="accent1" w:themeTint="99"/>
      </w:tblBorders>
    </w:tblPr>
    <w:tblStylePr w:type="firstRow">
      <w:rPr>
        <w:b/>
        <w:bCs/>
        <w:color w:val="FFFFFF" w:themeColor="background1"/>
      </w:rPr>
      <w:tblPr/>
      <w:tcPr>
        <w:tcBorders>
          <w:top w:val="single" w:sz="4" w:space="0" w:color="4F81BD" w:themeColor="accent1"/>
          <w:left w:val="single" w:sz="4" w:space="0" w:color="4F81BD" w:themeColor="accent1"/>
          <w:bottom w:val="single" w:sz="4" w:space="0" w:color="4F81BD" w:themeColor="accent1"/>
          <w:right w:val="single" w:sz="4" w:space="0" w:color="4F81BD" w:themeColor="accent1"/>
          <w:insideH w:val="nil"/>
          <w:insideV w:val="nil"/>
        </w:tcBorders>
        <w:shd w:val="clear" w:color="auto" w:fill="4F81BD" w:themeFill="accent1"/>
      </w:tcPr>
    </w:tblStylePr>
    <w:tblStylePr w:type="lastRow">
      <w:rPr>
        <w:b/>
        <w:bCs/>
      </w:rPr>
      <w:tblPr/>
      <w:tcPr>
        <w:tcBorders>
          <w:top w:val="double" w:sz="4" w:space="0" w:color="4F81BD" w:themeColor="accent1"/>
        </w:tcBorders>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table" w:styleId="Tabladecuadrcula4-nfasis5">
    <w:name w:val="Grid Table 4 Accent 5"/>
    <w:basedOn w:val="Tablanormal"/>
    <w:uiPriority w:val="49"/>
    <w:rsid w:val="00DA6E2C"/>
    <w:rPr>
      <w:sz w:val="22"/>
      <w:szCs w:val="22"/>
      <w:lang w:val="es-CO" w:eastAsia="ja-JP"/>
    </w:rPr>
    <w:tblPr>
      <w:tblStyleRowBandSize w:val="1"/>
      <w:tblStyleColBandSize w:val="1"/>
      <w:tblBorders>
        <w:top w:val="single" w:sz="4" w:space="0" w:color="92CDDC" w:themeColor="accent5" w:themeTint="99"/>
        <w:left w:val="single" w:sz="4" w:space="0" w:color="92CDDC" w:themeColor="accent5" w:themeTint="99"/>
        <w:bottom w:val="single" w:sz="4" w:space="0" w:color="92CDDC" w:themeColor="accent5" w:themeTint="99"/>
        <w:right w:val="single" w:sz="4" w:space="0" w:color="92CDDC" w:themeColor="accent5" w:themeTint="99"/>
        <w:insideH w:val="single" w:sz="4" w:space="0" w:color="92CDDC" w:themeColor="accent5" w:themeTint="99"/>
        <w:insideV w:val="single" w:sz="4" w:space="0" w:color="92CDDC" w:themeColor="accent5" w:themeTint="99"/>
      </w:tblBorders>
    </w:tblPr>
    <w:tblStylePr w:type="firstRow">
      <w:rPr>
        <w:b/>
        <w:bCs/>
        <w:color w:val="FFFFFF" w:themeColor="background1"/>
      </w:rPr>
      <w:tblPr/>
      <w:tcPr>
        <w:tcBorders>
          <w:top w:val="single" w:sz="4" w:space="0" w:color="4BACC6" w:themeColor="accent5"/>
          <w:left w:val="single" w:sz="4" w:space="0" w:color="4BACC6" w:themeColor="accent5"/>
          <w:bottom w:val="single" w:sz="4" w:space="0" w:color="4BACC6" w:themeColor="accent5"/>
          <w:right w:val="single" w:sz="4" w:space="0" w:color="4BACC6" w:themeColor="accent5"/>
          <w:insideH w:val="nil"/>
          <w:insideV w:val="nil"/>
        </w:tcBorders>
        <w:shd w:val="clear" w:color="auto" w:fill="4BACC6" w:themeFill="accent5"/>
      </w:tcPr>
    </w:tblStylePr>
    <w:tblStylePr w:type="lastRow">
      <w:rPr>
        <w:b/>
        <w:bCs/>
      </w:rPr>
      <w:tblPr/>
      <w:tcPr>
        <w:tcBorders>
          <w:top w:val="double" w:sz="4" w:space="0" w:color="4BACC6" w:themeColor="accent5"/>
        </w:tcBorders>
      </w:tcPr>
    </w:tblStylePr>
    <w:tblStylePr w:type="firstCol">
      <w:rPr>
        <w:b/>
        <w:bCs/>
      </w:rPr>
    </w:tblStylePr>
    <w:tblStylePr w:type="lastCol">
      <w:rPr>
        <w:b/>
        <w:bCs/>
      </w:rPr>
    </w:tblStylePr>
    <w:tblStylePr w:type="band1Vert">
      <w:tblPr/>
      <w:tcPr>
        <w:shd w:val="clear" w:color="auto" w:fill="DAEEF3" w:themeFill="accent5" w:themeFillTint="33"/>
      </w:tcPr>
    </w:tblStylePr>
    <w:tblStylePr w:type="band1Horz">
      <w:tblPr/>
      <w:tcPr>
        <w:shd w:val="clear" w:color="auto" w:fill="DAEEF3" w:themeFill="accent5" w:themeFillTint="33"/>
      </w:tcPr>
    </w:tblStylePr>
  </w:style>
  <w:style w:type="table" w:customStyle="1" w:styleId="Tablaconcuadrcula1">
    <w:name w:val="Tabla con cuadrícula1"/>
    <w:basedOn w:val="NormalTable0"/>
    <w:next w:val="Tablaconcuadrcula"/>
    <w:uiPriority w:val="39"/>
    <w:rsid w:val="00151018"/>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aconcuadrcula2">
    <w:name w:val="Tabla con cuadrícula2"/>
    <w:basedOn w:val="NormalTable0"/>
    <w:next w:val="Tablaconcuadrcula"/>
    <w:uiPriority w:val="39"/>
    <w:rsid w:val="00234756"/>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Textodelmarcadordeposicin">
    <w:name w:val="Placeholder Text"/>
    <w:basedOn w:val="Fuentedeprrafopredeter"/>
    <w:uiPriority w:val="99"/>
    <w:semiHidden/>
    <w:rsid w:val="00D2742B"/>
    <w:rPr>
      <w:color w:val="80808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401872454">
      <w:bodyDiv w:val="1"/>
      <w:marLeft w:val="0"/>
      <w:marRight w:val="0"/>
      <w:marTop w:val="0"/>
      <w:marBottom w:val="0"/>
      <w:divBdr>
        <w:top w:val="none" w:sz="0" w:space="0" w:color="auto"/>
        <w:left w:val="none" w:sz="0" w:space="0" w:color="auto"/>
        <w:bottom w:val="none" w:sz="0" w:space="0" w:color="auto"/>
        <w:right w:val="none" w:sz="0" w:space="0" w:color="auto"/>
      </w:divBdr>
    </w:div>
    <w:div w:id="596057490">
      <w:bodyDiv w:val="1"/>
      <w:marLeft w:val="0"/>
      <w:marRight w:val="0"/>
      <w:marTop w:val="0"/>
      <w:marBottom w:val="0"/>
      <w:divBdr>
        <w:top w:val="none" w:sz="0" w:space="0" w:color="auto"/>
        <w:left w:val="none" w:sz="0" w:space="0" w:color="auto"/>
        <w:bottom w:val="none" w:sz="0" w:space="0" w:color="auto"/>
        <w:right w:val="none" w:sz="0" w:space="0" w:color="auto"/>
      </w:divBdr>
    </w:div>
    <w:div w:id="1143158006">
      <w:bodyDiv w:val="1"/>
      <w:marLeft w:val="0"/>
      <w:marRight w:val="0"/>
      <w:marTop w:val="0"/>
      <w:marBottom w:val="0"/>
      <w:divBdr>
        <w:top w:val="none" w:sz="0" w:space="0" w:color="auto"/>
        <w:left w:val="none" w:sz="0" w:space="0" w:color="auto"/>
        <w:bottom w:val="none" w:sz="0" w:space="0" w:color="auto"/>
        <w:right w:val="none" w:sz="0" w:space="0" w:color="auto"/>
      </w:divBdr>
      <w:divsChild>
        <w:div w:id="405348647">
          <w:marLeft w:val="547"/>
          <w:marRight w:val="0"/>
          <w:marTop w:val="0"/>
          <w:marBottom w:val="0"/>
          <w:divBdr>
            <w:top w:val="none" w:sz="0" w:space="0" w:color="auto"/>
            <w:left w:val="none" w:sz="0" w:space="0" w:color="auto"/>
            <w:bottom w:val="none" w:sz="0" w:space="0" w:color="auto"/>
            <w:right w:val="none" w:sz="0" w:space="0" w:color="auto"/>
          </w:divBdr>
        </w:div>
        <w:div w:id="422383621">
          <w:marLeft w:val="547"/>
          <w:marRight w:val="0"/>
          <w:marTop w:val="0"/>
          <w:marBottom w:val="0"/>
          <w:divBdr>
            <w:top w:val="none" w:sz="0" w:space="0" w:color="auto"/>
            <w:left w:val="none" w:sz="0" w:space="0" w:color="auto"/>
            <w:bottom w:val="none" w:sz="0" w:space="0" w:color="auto"/>
            <w:right w:val="none" w:sz="0" w:space="0" w:color="auto"/>
          </w:divBdr>
        </w:div>
        <w:div w:id="576869356">
          <w:marLeft w:val="547"/>
          <w:marRight w:val="0"/>
          <w:marTop w:val="0"/>
          <w:marBottom w:val="0"/>
          <w:divBdr>
            <w:top w:val="none" w:sz="0" w:space="0" w:color="auto"/>
            <w:left w:val="none" w:sz="0" w:space="0" w:color="auto"/>
            <w:bottom w:val="none" w:sz="0" w:space="0" w:color="auto"/>
            <w:right w:val="none" w:sz="0" w:space="0" w:color="auto"/>
          </w:divBdr>
        </w:div>
        <w:div w:id="739595398">
          <w:marLeft w:val="1166"/>
          <w:marRight w:val="0"/>
          <w:marTop w:val="0"/>
          <w:marBottom w:val="0"/>
          <w:divBdr>
            <w:top w:val="none" w:sz="0" w:space="0" w:color="auto"/>
            <w:left w:val="none" w:sz="0" w:space="0" w:color="auto"/>
            <w:bottom w:val="none" w:sz="0" w:space="0" w:color="auto"/>
            <w:right w:val="none" w:sz="0" w:space="0" w:color="auto"/>
          </w:divBdr>
        </w:div>
        <w:div w:id="782303906">
          <w:marLeft w:val="547"/>
          <w:marRight w:val="0"/>
          <w:marTop w:val="0"/>
          <w:marBottom w:val="0"/>
          <w:divBdr>
            <w:top w:val="none" w:sz="0" w:space="0" w:color="auto"/>
            <w:left w:val="none" w:sz="0" w:space="0" w:color="auto"/>
            <w:bottom w:val="none" w:sz="0" w:space="0" w:color="auto"/>
            <w:right w:val="none" w:sz="0" w:space="0" w:color="auto"/>
          </w:divBdr>
        </w:div>
        <w:div w:id="1262645705">
          <w:marLeft w:val="1166"/>
          <w:marRight w:val="0"/>
          <w:marTop w:val="0"/>
          <w:marBottom w:val="0"/>
          <w:divBdr>
            <w:top w:val="none" w:sz="0" w:space="0" w:color="auto"/>
            <w:left w:val="none" w:sz="0" w:space="0" w:color="auto"/>
            <w:bottom w:val="none" w:sz="0" w:space="0" w:color="auto"/>
            <w:right w:val="none" w:sz="0" w:space="0" w:color="auto"/>
          </w:divBdr>
        </w:div>
        <w:div w:id="1832141107">
          <w:marLeft w:val="1166"/>
          <w:marRight w:val="0"/>
          <w:marTop w:val="0"/>
          <w:marBottom w:val="0"/>
          <w:divBdr>
            <w:top w:val="none" w:sz="0" w:space="0" w:color="auto"/>
            <w:left w:val="none" w:sz="0" w:space="0" w:color="auto"/>
            <w:bottom w:val="none" w:sz="0" w:space="0" w:color="auto"/>
            <w:right w:val="none" w:sz="0" w:space="0" w:color="auto"/>
          </w:divBdr>
        </w:div>
        <w:div w:id="2124379313">
          <w:marLeft w:val="1166"/>
          <w:marRight w:val="0"/>
          <w:marTop w:val="0"/>
          <w:marBottom w:val="0"/>
          <w:divBdr>
            <w:top w:val="none" w:sz="0" w:space="0" w:color="auto"/>
            <w:left w:val="none" w:sz="0" w:space="0" w:color="auto"/>
            <w:bottom w:val="none" w:sz="0" w:space="0" w:color="auto"/>
            <w:right w:val="none" w:sz="0" w:space="0" w:color="auto"/>
          </w:divBdr>
        </w:div>
      </w:divsChild>
    </w:div>
    <w:div w:id="1292133169">
      <w:bodyDiv w:val="1"/>
      <w:marLeft w:val="0"/>
      <w:marRight w:val="0"/>
      <w:marTop w:val="0"/>
      <w:marBottom w:val="0"/>
      <w:divBdr>
        <w:top w:val="none" w:sz="0" w:space="0" w:color="auto"/>
        <w:left w:val="none" w:sz="0" w:space="0" w:color="auto"/>
        <w:bottom w:val="none" w:sz="0" w:space="0" w:color="auto"/>
        <w:right w:val="none" w:sz="0" w:space="0" w:color="auto"/>
      </w:divBdr>
    </w:div>
    <w:div w:id="1524510002">
      <w:bodyDiv w:val="1"/>
      <w:marLeft w:val="0"/>
      <w:marRight w:val="0"/>
      <w:marTop w:val="0"/>
      <w:marBottom w:val="0"/>
      <w:divBdr>
        <w:top w:val="none" w:sz="0" w:space="0" w:color="auto"/>
        <w:left w:val="none" w:sz="0" w:space="0" w:color="auto"/>
        <w:bottom w:val="none" w:sz="0" w:space="0" w:color="auto"/>
        <w:right w:val="none" w:sz="0" w:space="0" w:color="auto"/>
      </w:divBdr>
    </w:div>
    <w:div w:id="1842770243">
      <w:bodyDiv w:val="1"/>
      <w:marLeft w:val="0"/>
      <w:marRight w:val="0"/>
      <w:marTop w:val="0"/>
      <w:marBottom w:val="0"/>
      <w:divBdr>
        <w:top w:val="none" w:sz="0" w:space="0" w:color="auto"/>
        <w:left w:val="none" w:sz="0" w:space="0" w:color="auto"/>
        <w:bottom w:val="none" w:sz="0" w:space="0" w:color="auto"/>
        <w:right w:val="none" w:sz="0" w:space="0" w:color="auto"/>
      </w:divBdr>
    </w:div>
    <w:div w:id="1922371449">
      <w:bodyDiv w:val="1"/>
      <w:marLeft w:val="0"/>
      <w:marRight w:val="0"/>
      <w:marTop w:val="0"/>
      <w:marBottom w:val="0"/>
      <w:divBdr>
        <w:top w:val="none" w:sz="0" w:space="0" w:color="auto"/>
        <w:left w:val="none" w:sz="0" w:space="0" w:color="auto"/>
        <w:bottom w:val="none" w:sz="0" w:space="0" w:color="auto"/>
        <w:right w:val="none" w:sz="0" w:space="0" w:color="auto"/>
      </w:divBdr>
      <w:divsChild>
        <w:div w:id="1860658243">
          <w:marLeft w:val="547"/>
          <w:marRight w:val="0"/>
          <w:marTop w:val="0"/>
          <w:marBottom w:val="0"/>
          <w:divBdr>
            <w:top w:val="none" w:sz="0" w:space="0" w:color="auto"/>
            <w:left w:val="none" w:sz="0" w:space="0" w:color="auto"/>
            <w:bottom w:val="none" w:sz="0" w:space="0" w:color="auto"/>
            <w:right w:val="none" w:sz="0" w:space="0" w:color="auto"/>
          </w:divBdr>
        </w:div>
      </w:divsChild>
    </w:div>
    <w:div w:id="2110813716">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13" Type="http://schemas.openxmlformats.org/officeDocument/2006/relationships/diagramLayout" Target="diagrams/layout1.xml"/><Relationship Id="rId18" Type="http://schemas.openxmlformats.org/officeDocument/2006/relationships/diagramLayout" Target="diagrams/layout2.xml"/><Relationship Id="rId26" Type="http://schemas.microsoft.com/office/2007/relationships/diagramDrawing" Target="diagrams/drawing3.xml"/><Relationship Id="rId39" Type="http://schemas.openxmlformats.org/officeDocument/2006/relationships/diagramData" Target="diagrams/data6.xml"/><Relationship Id="rId21" Type="http://schemas.microsoft.com/office/2007/relationships/diagramDrawing" Target="diagrams/drawing2.xml"/><Relationship Id="rId34" Type="http://schemas.openxmlformats.org/officeDocument/2006/relationships/diagramData" Target="diagrams/data5.xml"/><Relationship Id="rId42" Type="http://schemas.openxmlformats.org/officeDocument/2006/relationships/diagramColors" Target="diagrams/colors6.xml"/><Relationship Id="rId47" Type="http://schemas.openxmlformats.org/officeDocument/2006/relationships/diagramColors" Target="diagrams/colors7.xml"/><Relationship Id="rId50" Type="http://schemas.openxmlformats.org/officeDocument/2006/relationships/diagramLayout" Target="diagrams/layout8.xml"/><Relationship Id="rId55" Type="http://schemas.openxmlformats.org/officeDocument/2006/relationships/diagramLayout" Target="diagrams/layout9.xml"/><Relationship Id="rId63" Type="http://schemas.openxmlformats.org/officeDocument/2006/relationships/hyperlink" Target="https://www.minsalud.gov.co/Normatividad_Nuevo/Decreto%20No.%20441%20de%202022.pdf" TargetMode="External"/><Relationship Id="rId68" Type="http://schemas.openxmlformats.org/officeDocument/2006/relationships/footer" Target="footer1.xml"/><Relationship Id="rId7" Type="http://schemas.openxmlformats.org/officeDocument/2006/relationships/styles" Target="styles.xml"/><Relationship Id="rId71" Type="http://schemas.openxmlformats.org/officeDocument/2006/relationships/theme" Target="theme/theme1.xml"/><Relationship Id="rId2" Type="http://schemas.openxmlformats.org/officeDocument/2006/relationships/customXml" Target="../customXml/item2.xml"/><Relationship Id="rId16" Type="http://schemas.microsoft.com/office/2007/relationships/diagramDrawing" Target="diagrams/drawing1.xml"/><Relationship Id="rId29" Type="http://schemas.openxmlformats.org/officeDocument/2006/relationships/diagramData" Target="diagrams/data4.xm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24" Type="http://schemas.openxmlformats.org/officeDocument/2006/relationships/diagramQuickStyle" Target="diagrams/quickStyle3.xml"/><Relationship Id="rId32" Type="http://schemas.openxmlformats.org/officeDocument/2006/relationships/diagramColors" Target="diagrams/colors4.xml"/><Relationship Id="rId37" Type="http://schemas.openxmlformats.org/officeDocument/2006/relationships/diagramColors" Target="diagrams/colors5.xml"/><Relationship Id="rId40" Type="http://schemas.openxmlformats.org/officeDocument/2006/relationships/diagramLayout" Target="diagrams/layout6.xml"/><Relationship Id="rId45" Type="http://schemas.openxmlformats.org/officeDocument/2006/relationships/diagramLayout" Target="diagrams/layout7.xml"/><Relationship Id="rId53" Type="http://schemas.microsoft.com/office/2007/relationships/diagramDrawing" Target="diagrams/drawing8.xml"/><Relationship Id="rId58" Type="http://schemas.microsoft.com/office/2007/relationships/diagramDrawing" Target="diagrams/drawing9.xml"/><Relationship Id="rId66" Type="http://schemas.openxmlformats.org/officeDocument/2006/relationships/hyperlink" Target="https://www.funcionpublica.gov.co/eva/gestornormativo/norma.php?i=77813" TargetMode="External"/><Relationship Id="rId5" Type="http://schemas.openxmlformats.org/officeDocument/2006/relationships/customXml" Target="../customXml/item5.xml"/><Relationship Id="rId15" Type="http://schemas.openxmlformats.org/officeDocument/2006/relationships/diagramColors" Target="diagrams/colors1.xml"/><Relationship Id="rId23" Type="http://schemas.openxmlformats.org/officeDocument/2006/relationships/diagramLayout" Target="diagrams/layout3.xml"/><Relationship Id="rId28" Type="http://schemas.openxmlformats.org/officeDocument/2006/relationships/hyperlink" Target="https://www.minsalud.gov.co/sites/rid/Lists/BibliotecaDigital/RIDE/VP/DOA/nota-tecnica-decreto-441-de-2022.pdf" TargetMode="External"/><Relationship Id="rId36" Type="http://schemas.openxmlformats.org/officeDocument/2006/relationships/diagramQuickStyle" Target="diagrams/quickStyle5.xml"/><Relationship Id="rId49" Type="http://schemas.openxmlformats.org/officeDocument/2006/relationships/diagramData" Target="diagrams/data8.xml"/><Relationship Id="rId57" Type="http://schemas.openxmlformats.org/officeDocument/2006/relationships/diagramColors" Target="diagrams/colors9.xml"/><Relationship Id="rId61" Type="http://schemas.openxmlformats.org/officeDocument/2006/relationships/image" Target="media/image41.png"/><Relationship Id="rId10" Type="http://schemas.openxmlformats.org/officeDocument/2006/relationships/footnotes" Target="footnotes.xml"/><Relationship Id="rId19" Type="http://schemas.openxmlformats.org/officeDocument/2006/relationships/diagramQuickStyle" Target="diagrams/quickStyle2.xml"/><Relationship Id="rId31" Type="http://schemas.openxmlformats.org/officeDocument/2006/relationships/diagramQuickStyle" Target="diagrams/quickStyle4.xml"/><Relationship Id="rId44" Type="http://schemas.openxmlformats.org/officeDocument/2006/relationships/diagramData" Target="diagrams/data7.xml"/><Relationship Id="rId52" Type="http://schemas.openxmlformats.org/officeDocument/2006/relationships/diagramColors" Target="diagrams/colors8.xml"/><Relationship Id="rId60" Type="http://schemas.microsoft.com/office/2011/relationships/commentsExtended" Target="commentsExtended.xml"/><Relationship Id="rId65" Type="http://schemas.openxmlformats.org/officeDocument/2006/relationships/hyperlink" Target="https://www.funcionpublica.gov.co/eva/gestornormativo/norma.php?i=76014" TargetMode="External"/><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diagramQuickStyle" Target="diagrams/quickStyle1.xml"/><Relationship Id="rId22" Type="http://schemas.openxmlformats.org/officeDocument/2006/relationships/diagramData" Target="diagrams/data3.xml"/><Relationship Id="rId27" Type="http://schemas.openxmlformats.org/officeDocument/2006/relationships/hyperlink" Target="https://www.minsalud.gov.co/sites/rid/Lists/BibliotecaDigital/RIDE/VP/DOA/nota-tecnica-decreto-441-de-2022.pdf" TargetMode="External"/><Relationship Id="rId30" Type="http://schemas.openxmlformats.org/officeDocument/2006/relationships/diagramLayout" Target="diagrams/layout4.xml"/><Relationship Id="rId35" Type="http://schemas.openxmlformats.org/officeDocument/2006/relationships/diagramLayout" Target="diagrams/layout5.xml"/><Relationship Id="rId43" Type="http://schemas.microsoft.com/office/2007/relationships/diagramDrawing" Target="diagrams/drawing6.xml"/><Relationship Id="rId48" Type="http://schemas.microsoft.com/office/2007/relationships/diagramDrawing" Target="diagrams/drawing7.xml"/><Relationship Id="rId56" Type="http://schemas.openxmlformats.org/officeDocument/2006/relationships/diagramQuickStyle" Target="diagrams/quickStyle9.xml"/><Relationship Id="rId64" Type="http://schemas.openxmlformats.org/officeDocument/2006/relationships/hyperlink" Target="https://www.minsalud.gov.co/sites/rid/Lists/BibliotecaDigital/RIDE/VP/DOA/nota-tecnica-decreto-441-de-2022.pdf" TargetMode="External"/><Relationship Id="rId69" Type="http://schemas.openxmlformats.org/officeDocument/2006/relationships/fontTable" Target="fontTable.xml"/><Relationship Id="rId8" Type="http://schemas.openxmlformats.org/officeDocument/2006/relationships/settings" Target="settings.xml"/><Relationship Id="rId51" Type="http://schemas.openxmlformats.org/officeDocument/2006/relationships/diagramQuickStyle" Target="diagrams/quickStyle8.xml"/><Relationship Id="rId3" Type="http://schemas.openxmlformats.org/officeDocument/2006/relationships/customXml" Target="../customXml/item3.xml"/><Relationship Id="rId12" Type="http://schemas.openxmlformats.org/officeDocument/2006/relationships/diagramData" Target="diagrams/data1.xml"/><Relationship Id="rId17" Type="http://schemas.openxmlformats.org/officeDocument/2006/relationships/diagramData" Target="diagrams/data2.xml"/><Relationship Id="rId25" Type="http://schemas.openxmlformats.org/officeDocument/2006/relationships/diagramColors" Target="diagrams/colors3.xml"/><Relationship Id="rId33" Type="http://schemas.microsoft.com/office/2007/relationships/diagramDrawing" Target="diagrams/drawing4.xml"/><Relationship Id="rId38" Type="http://schemas.microsoft.com/office/2007/relationships/diagramDrawing" Target="diagrams/drawing5.xml"/><Relationship Id="rId46" Type="http://schemas.openxmlformats.org/officeDocument/2006/relationships/diagramQuickStyle" Target="diagrams/quickStyle7.xml"/><Relationship Id="rId59" Type="http://schemas.openxmlformats.org/officeDocument/2006/relationships/comments" Target="comments.xml"/><Relationship Id="rId67" Type="http://schemas.openxmlformats.org/officeDocument/2006/relationships/header" Target="header1.xml"/><Relationship Id="rId20" Type="http://schemas.openxmlformats.org/officeDocument/2006/relationships/diagramColors" Target="diagrams/colors2.xml"/><Relationship Id="rId41" Type="http://schemas.openxmlformats.org/officeDocument/2006/relationships/diagramQuickStyle" Target="diagrams/quickStyle6.xml"/><Relationship Id="rId54" Type="http://schemas.openxmlformats.org/officeDocument/2006/relationships/diagramData" Target="diagrams/data9.xml"/><Relationship Id="rId62" Type="http://schemas.openxmlformats.org/officeDocument/2006/relationships/image" Target="media/image42.png"/><Relationship Id="rId70" Type="http://schemas.microsoft.com/office/2011/relationships/people" Target="people.xml"/></Relationships>
</file>

<file path=word/_rels/header1.xml.rels><?xml version="1.0" encoding="UTF-8" standalone="yes"?>
<Relationships xmlns="http://schemas.openxmlformats.org/package/2006/relationships"><Relationship Id="rId1" Type="http://schemas.openxmlformats.org/officeDocument/2006/relationships/image" Target="media/image43.png"/></Relationships>
</file>

<file path=word/diagrams/_rels/data2.xml.rels><?xml version="1.0" encoding="UTF-8" standalone="yes"?>
<Relationships xmlns="http://schemas.openxmlformats.org/package/2006/relationships"><Relationship Id="rId3" Type="http://schemas.openxmlformats.org/officeDocument/2006/relationships/image" Target="../media/image3.png"/><Relationship Id="rId2" Type="http://schemas.openxmlformats.org/officeDocument/2006/relationships/image" Target="../media/image2.png"/><Relationship Id="rId1" Type="http://schemas.openxmlformats.org/officeDocument/2006/relationships/image" Target="../media/image1.png"/></Relationships>
</file>

<file path=word/diagrams/_rels/data3.xml.rels><?xml version="1.0" encoding="UTF-8" standalone="yes"?>
<Relationships xmlns="http://schemas.openxmlformats.org/package/2006/relationships"><Relationship Id="rId3" Type="http://schemas.openxmlformats.org/officeDocument/2006/relationships/image" Target="../media/image6.png"/><Relationship Id="rId2" Type="http://schemas.openxmlformats.org/officeDocument/2006/relationships/image" Target="../media/image5.png"/><Relationship Id="rId1" Type="http://schemas.openxmlformats.org/officeDocument/2006/relationships/image" Target="../media/image4.png"/><Relationship Id="rId5" Type="http://schemas.openxmlformats.org/officeDocument/2006/relationships/image" Target="../media/image8.png"/><Relationship Id="rId4" Type="http://schemas.openxmlformats.org/officeDocument/2006/relationships/image" Target="../media/image7.png"/></Relationships>
</file>

<file path=word/diagrams/_rels/data5.xml.rels><?xml version="1.0" encoding="UTF-8" standalone="yes"?>
<Relationships xmlns="http://schemas.openxmlformats.org/package/2006/relationships"><Relationship Id="rId3" Type="http://schemas.openxmlformats.org/officeDocument/2006/relationships/image" Target="../media/image11.png"/><Relationship Id="rId7" Type="http://schemas.openxmlformats.org/officeDocument/2006/relationships/image" Target="../media/image15.png"/><Relationship Id="rId2" Type="http://schemas.openxmlformats.org/officeDocument/2006/relationships/image" Target="../media/image10.png"/><Relationship Id="rId1" Type="http://schemas.openxmlformats.org/officeDocument/2006/relationships/image" Target="../media/image9.png"/><Relationship Id="rId6" Type="http://schemas.openxmlformats.org/officeDocument/2006/relationships/image" Target="../media/image14.png"/><Relationship Id="rId5" Type="http://schemas.openxmlformats.org/officeDocument/2006/relationships/image" Target="../media/image13.png"/><Relationship Id="rId4" Type="http://schemas.openxmlformats.org/officeDocument/2006/relationships/image" Target="../media/image12.png"/></Relationships>
</file>

<file path=word/diagrams/_rels/data6.xml.rels><?xml version="1.0" encoding="UTF-8" standalone="yes"?>
<Relationships xmlns="http://schemas.openxmlformats.org/package/2006/relationships"><Relationship Id="rId3" Type="http://schemas.openxmlformats.org/officeDocument/2006/relationships/image" Target="../media/image18.png"/><Relationship Id="rId7" Type="http://schemas.openxmlformats.org/officeDocument/2006/relationships/image" Target="../media/image22.png"/><Relationship Id="rId2" Type="http://schemas.openxmlformats.org/officeDocument/2006/relationships/image" Target="../media/image17.png"/><Relationship Id="rId1" Type="http://schemas.openxmlformats.org/officeDocument/2006/relationships/image" Target="../media/image16.png"/><Relationship Id="rId6" Type="http://schemas.openxmlformats.org/officeDocument/2006/relationships/image" Target="../media/image21.png"/><Relationship Id="rId5" Type="http://schemas.openxmlformats.org/officeDocument/2006/relationships/image" Target="../media/image20.png"/><Relationship Id="rId4" Type="http://schemas.openxmlformats.org/officeDocument/2006/relationships/image" Target="../media/image19.png"/></Relationships>
</file>

<file path=word/diagrams/_rels/data7.xml.rels><?xml version="1.0" encoding="UTF-8" standalone="yes"?>
<Relationships xmlns="http://schemas.openxmlformats.org/package/2006/relationships"><Relationship Id="rId3" Type="http://schemas.openxmlformats.org/officeDocument/2006/relationships/image" Target="../media/image25.png"/><Relationship Id="rId2" Type="http://schemas.openxmlformats.org/officeDocument/2006/relationships/image" Target="../media/image24.png"/><Relationship Id="rId1" Type="http://schemas.openxmlformats.org/officeDocument/2006/relationships/image" Target="../media/image23.png"/><Relationship Id="rId6" Type="http://schemas.openxmlformats.org/officeDocument/2006/relationships/image" Target="../media/image28.png"/><Relationship Id="rId5" Type="http://schemas.openxmlformats.org/officeDocument/2006/relationships/image" Target="../media/image27.png"/><Relationship Id="rId4" Type="http://schemas.openxmlformats.org/officeDocument/2006/relationships/image" Target="../media/image26.png"/></Relationships>
</file>

<file path=word/diagrams/_rels/data8.xml.rels><?xml version="1.0" encoding="UTF-8" standalone="yes"?>
<Relationships xmlns="http://schemas.openxmlformats.org/package/2006/relationships"><Relationship Id="rId3" Type="http://schemas.openxmlformats.org/officeDocument/2006/relationships/image" Target="../media/image31.png"/><Relationship Id="rId2" Type="http://schemas.openxmlformats.org/officeDocument/2006/relationships/image" Target="../media/image30.png"/><Relationship Id="rId1" Type="http://schemas.openxmlformats.org/officeDocument/2006/relationships/image" Target="../media/image29.png"/><Relationship Id="rId6" Type="http://schemas.openxmlformats.org/officeDocument/2006/relationships/image" Target="../media/image34.png"/><Relationship Id="rId5" Type="http://schemas.openxmlformats.org/officeDocument/2006/relationships/image" Target="../media/image33.png"/><Relationship Id="rId4" Type="http://schemas.openxmlformats.org/officeDocument/2006/relationships/image" Target="../media/image32.png"/></Relationships>
</file>

<file path=word/diagrams/_rels/data9.xml.rels><?xml version="1.0" encoding="UTF-8" standalone="yes"?>
<Relationships xmlns="http://schemas.openxmlformats.org/package/2006/relationships"><Relationship Id="rId3" Type="http://schemas.openxmlformats.org/officeDocument/2006/relationships/image" Target="../media/image37.png"/><Relationship Id="rId2" Type="http://schemas.openxmlformats.org/officeDocument/2006/relationships/image" Target="../media/image36.png"/><Relationship Id="rId1" Type="http://schemas.openxmlformats.org/officeDocument/2006/relationships/image" Target="../media/image35.png"/><Relationship Id="rId6" Type="http://schemas.openxmlformats.org/officeDocument/2006/relationships/image" Target="../media/image40.png"/><Relationship Id="rId5" Type="http://schemas.openxmlformats.org/officeDocument/2006/relationships/image" Target="../media/image39.png"/><Relationship Id="rId4" Type="http://schemas.openxmlformats.org/officeDocument/2006/relationships/image" Target="../media/image38.png"/></Relationships>
</file>

<file path=word/diagrams/_rels/drawing2.xml.rels><?xml version="1.0" encoding="UTF-8" standalone="yes"?>
<Relationships xmlns="http://schemas.openxmlformats.org/package/2006/relationships"><Relationship Id="rId3" Type="http://schemas.openxmlformats.org/officeDocument/2006/relationships/image" Target="../media/image3.png"/><Relationship Id="rId2" Type="http://schemas.openxmlformats.org/officeDocument/2006/relationships/image" Target="../media/image2.png"/><Relationship Id="rId1" Type="http://schemas.openxmlformats.org/officeDocument/2006/relationships/image" Target="../media/image1.png"/></Relationships>
</file>

<file path=word/diagrams/_rels/drawing3.xml.rels><?xml version="1.0" encoding="UTF-8" standalone="yes"?>
<Relationships xmlns="http://schemas.openxmlformats.org/package/2006/relationships"><Relationship Id="rId3" Type="http://schemas.openxmlformats.org/officeDocument/2006/relationships/image" Target="../media/image6.png"/><Relationship Id="rId2" Type="http://schemas.openxmlformats.org/officeDocument/2006/relationships/image" Target="../media/image5.png"/><Relationship Id="rId1" Type="http://schemas.openxmlformats.org/officeDocument/2006/relationships/image" Target="../media/image4.png"/><Relationship Id="rId5" Type="http://schemas.openxmlformats.org/officeDocument/2006/relationships/image" Target="../media/image8.png"/><Relationship Id="rId4" Type="http://schemas.openxmlformats.org/officeDocument/2006/relationships/image" Target="../media/image7.png"/></Relationships>
</file>

<file path=word/diagrams/_rels/drawing5.xml.rels><?xml version="1.0" encoding="UTF-8" standalone="yes"?>
<Relationships xmlns="http://schemas.openxmlformats.org/package/2006/relationships"><Relationship Id="rId3" Type="http://schemas.openxmlformats.org/officeDocument/2006/relationships/image" Target="../media/image11.png"/><Relationship Id="rId7" Type="http://schemas.openxmlformats.org/officeDocument/2006/relationships/image" Target="../media/image15.png"/><Relationship Id="rId2" Type="http://schemas.openxmlformats.org/officeDocument/2006/relationships/image" Target="../media/image10.png"/><Relationship Id="rId1" Type="http://schemas.openxmlformats.org/officeDocument/2006/relationships/image" Target="../media/image9.png"/><Relationship Id="rId6" Type="http://schemas.openxmlformats.org/officeDocument/2006/relationships/image" Target="../media/image14.png"/><Relationship Id="rId5" Type="http://schemas.openxmlformats.org/officeDocument/2006/relationships/image" Target="../media/image13.png"/><Relationship Id="rId4" Type="http://schemas.openxmlformats.org/officeDocument/2006/relationships/image" Target="../media/image12.png"/></Relationships>
</file>

<file path=word/diagrams/_rels/drawing6.xml.rels><?xml version="1.0" encoding="UTF-8" standalone="yes"?>
<Relationships xmlns="http://schemas.openxmlformats.org/package/2006/relationships"><Relationship Id="rId3" Type="http://schemas.openxmlformats.org/officeDocument/2006/relationships/image" Target="../media/image18.png"/><Relationship Id="rId7" Type="http://schemas.openxmlformats.org/officeDocument/2006/relationships/image" Target="../media/image22.png"/><Relationship Id="rId2" Type="http://schemas.openxmlformats.org/officeDocument/2006/relationships/image" Target="../media/image17.png"/><Relationship Id="rId1" Type="http://schemas.openxmlformats.org/officeDocument/2006/relationships/image" Target="../media/image16.png"/><Relationship Id="rId6" Type="http://schemas.openxmlformats.org/officeDocument/2006/relationships/image" Target="../media/image21.png"/><Relationship Id="rId5" Type="http://schemas.openxmlformats.org/officeDocument/2006/relationships/image" Target="../media/image20.png"/><Relationship Id="rId4" Type="http://schemas.openxmlformats.org/officeDocument/2006/relationships/image" Target="../media/image19.png"/></Relationships>
</file>

<file path=word/diagrams/_rels/drawing7.xml.rels><?xml version="1.0" encoding="UTF-8" standalone="yes"?>
<Relationships xmlns="http://schemas.openxmlformats.org/package/2006/relationships"><Relationship Id="rId3" Type="http://schemas.openxmlformats.org/officeDocument/2006/relationships/image" Target="../media/image25.png"/><Relationship Id="rId2" Type="http://schemas.openxmlformats.org/officeDocument/2006/relationships/image" Target="../media/image24.png"/><Relationship Id="rId1" Type="http://schemas.openxmlformats.org/officeDocument/2006/relationships/image" Target="../media/image23.png"/><Relationship Id="rId6" Type="http://schemas.openxmlformats.org/officeDocument/2006/relationships/image" Target="../media/image28.png"/><Relationship Id="rId5" Type="http://schemas.openxmlformats.org/officeDocument/2006/relationships/image" Target="../media/image27.png"/><Relationship Id="rId4" Type="http://schemas.openxmlformats.org/officeDocument/2006/relationships/image" Target="../media/image26.png"/></Relationships>
</file>

<file path=word/diagrams/_rels/drawing8.xml.rels><?xml version="1.0" encoding="UTF-8" standalone="yes"?>
<Relationships xmlns="http://schemas.openxmlformats.org/package/2006/relationships"><Relationship Id="rId3" Type="http://schemas.openxmlformats.org/officeDocument/2006/relationships/image" Target="../media/image31.png"/><Relationship Id="rId2" Type="http://schemas.openxmlformats.org/officeDocument/2006/relationships/image" Target="../media/image30.png"/><Relationship Id="rId1" Type="http://schemas.openxmlformats.org/officeDocument/2006/relationships/image" Target="../media/image29.png"/><Relationship Id="rId6" Type="http://schemas.openxmlformats.org/officeDocument/2006/relationships/image" Target="../media/image34.png"/><Relationship Id="rId5" Type="http://schemas.openxmlformats.org/officeDocument/2006/relationships/image" Target="../media/image33.png"/><Relationship Id="rId4" Type="http://schemas.openxmlformats.org/officeDocument/2006/relationships/image" Target="../media/image32.png"/></Relationships>
</file>

<file path=word/diagrams/_rels/drawing9.xml.rels><?xml version="1.0" encoding="UTF-8" standalone="yes"?>
<Relationships xmlns="http://schemas.openxmlformats.org/package/2006/relationships"><Relationship Id="rId3" Type="http://schemas.openxmlformats.org/officeDocument/2006/relationships/image" Target="../media/image37.png"/><Relationship Id="rId2" Type="http://schemas.openxmlformats.org/officeDocument/2006/relationships/image" Target="../media/image36.png"/><Relationship Id="rId1" Type="http://schemas.openxmlformats.org/officeDocument/2006/relationships/image" Target="../media/image35.png"/><Relationship Id="rId6" Type="http://schemas.openxmlformats.org/officeDocument/2006/relationships/image" Target="../media/image40.png"/><Relationship Id="rId5" Type="http://schemas.openxmlformats.org/officeDocument/2006/relationships/image" Target="../media/image39.png"/><Relationship Id="rId4" Type="http://schemas.openxmlformats.org/officeDocument/2006/relationships/image" Target="../media/image38.png"/></Relationships>
</file>

<file path=word/diagrams/colors1.xml><?xml version="1.0" encoding="utf-8"?>
<dgm:colorsDef xmlns:dgm="http://schemas.openxmlformats.org/drawingml/2006/diagram" xmlns:a="http://schemas.openxmlformats.org/drawingml/2006/main" uniqueId="urn:microsoft.com/office/officeart/2005/8/colors/accent1_2">
  <dgm:title val=""/>
  <dgm:desc val=""/>
  <dgm:catLst>
    <dgm:cat type="accent1" pri="11200"/>
  </dgm:catLst>
  <dgm:styleLbl name="node0">
    <dgm:fillClrLst meth="repeat">
      <a:schemeClr val="accent1"/>
    </dgm:fillClrLst>
    <dgm:linClrLst meth="repeat">
      <a:schemeClr val="lt1"/>
    </dgm:linClrLst>
    <dgm:effectClrLst/>
    <dgm:txLinClrLst/>
    <dgm:txFillClrLst/>
    <dgm:txEffectClrLst/>
  </dgm:styleLbl>
  <dgm:styleLbl name="alignNode1">
    <dgm:fillClrLst meth="repeat">
      <a:schemeClr val="accent1"/>
    </dgm:fillClrLst>
    <dgm:linClrLst meth="repeat">
      <a:schemeClr val="accent1"/>
    </dgm:linClrLst>
    <dgm:effectClrLst/>
    <dgm:txLinClrLst/>
    <dgm:txFillClrLst/>
    <dgm:txEffectClrLst/>
  </dgm:styleLbl>
  <dgm:styleLbl name="node1">
    <dgm:fillClrLst meth="repeat">
      <a:schemeClr val="accent1"/>
    </dgm:fillClrLst>
    <dgm:linClrLst meth="repeat">
      <a:schemeClr val="lt1"/>
    </dgm:linClrLst>
    <dgm:effectClrLst/>
    <dgm:txLinClrLst/>
    <dgm:txFillClrLst/>
    <dgm:txEffectClrLst/>
  </dgm:styleLbl>
  <dgm:styleLbl name="lnNode1">
    <dgm:fillClrLst meth="repeat">
      <a:schemeClr val="accent1"/>
    </dgm:fillClrLst>
    <dgm:linClrLst meth="repeat">
      <a:schemeClr val="lt1"/>
    </dgm:linClrLst>
    <dgm:effectClrLst/>
    <dgm:txLinClrLst/>
    <dgm:txFillClrLst/>
    <dgm:txEffectClrLst/>
  </dgm:styleLbl>
  <dgm:styleLbl name="vennNode1">
    <dgm:fillClrLst meth="repeat">
      <a:schemeClr val="accent1">
        <a:alpha val="50000"/>
      </a:schemeClr>
    </dgm:fillClrLst>
    <dgm:linClrLst meth="repeat">
      <a:schemeClr val="lt1"/>
    </dgm:linClrLst>
    <dgm:effectClrLst/>
    <dgm:txLinClrLst/>
    <dgm:txFillClrLst/>
    <dgm:txEffectClrLst/>
  </dgm:styleLbl>
  <dgm:styleLbl name="node2">
    <dgm:fillClrLst meth="repeat">
      <a:schemeClr val="accent1"/>
    </dgm:fillClrLst>
    <dgm:linClrLst meth="repeat">
      <a:schemeClr val="lt1"/>
    </dgm:linClrLst>
    <dgm:effectClrLst/>
    <dgm:txLinClrLst/>
    <dgm:txFillClrLst/>
    <dgm:txEffectClrLst/>
  </dgm:styleLbl>
  <dgm:styleLbl name="node3">
    <dgm:fillClrLst meth="repeat">
      <a:schemeClr val="accent1"/>
    </dgm:fillClrLst>
    <dgm:linClrLst meth="repeat">
      <a:schemeClr val="lt1"/>
    </dgm:linClrLst>
    <dgm:effectClrLst/>
    <dgm:txLinClrLst/>
    <dgm:txFillClrLst/>
    <dgm:txEffectClrLst/>
  </dgm:styleLbl>
  <dgm:styleLbl name="node4">
    <dgm:fillClrLst meth="repeat">
      <a:schemeClr val="accent1"/>
    </dgm:fillClrLst>
    <dgm:linClrLst meth="repeat">
      <a:schemeClr val="lt1"/>
    </dgm:linClrLst>
    <dgm:effectClrLst/>
    <dgm:txLinClrLst/>
    <dgm:txFillClrLst/>
    <dgm:txEffectClrLst/>
  </dgm:styleLbl>
  <dgm:styleLbl name="f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align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b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sibTrans2D1">
    <dgm:fillClrLst meth="repeat">
      <a:schemeClr val="accent1">
        <a:tint val="60000"/>
      </a:schemeClr>
    </dgm:fillClrLst>
    <dgm:linClrLst meth="repeat">
      <a:schemeClr val="accent1">
        <a:tint val="60000"/>
      </a:schemeClr>
    </dgm:linClrLst>
    <dgm:effectClrLst/>
    <dgm:txLinClrLst/>
    <dgm:txFillClrLst/>
    <dgm:txEffectClrLst/>
  </dgm:styleLbl>
  <dgm:styleLbl name="fgSibTrans2D1">
    <dgm:fillClrLst meth="repeat">
      <a:schemeClr val="accent1">
        <a:tint val="60000"/>
      </a:schemeClr>
    </dgm:fillClrLst>
    <dgm:linClrLst meth="repeat">
      <a:schemeClr val="accent1">
        <a:tint val="60000"/>
      </a:schemeClr>
    </dgm:linClrLst>
    <dgm:effectClrLst/>
    <dgm:txLinClrLst/>
    <dgm:txFillClrLst/>
    <dgm:txEffectClrLst/>
  </dgm:styleLbl>
  <dgm:styleLbl name="bgSibTrans2D1">
    <dgm:fillClrLst meth="repeat">
      <a:schemeClr val="accent1">
        <a:tint val="60000"/>
      </a:schemeClr>
    </dgm:fillClrLst>
    <dgm:linClrLst meth="repeat">
      <a:schemeClr val="accent1">
        <a:tint val="60000"/>
      </a:schemeClr>
    </dgm:linClrLst>
    <dgm:effectClrLst/>
    <dgm:txLinClrLst/>
    <dgm:txFillClrLst/>
    <dgm:txEffectClrLst/>
  </dgm:styleLbl>
  <dgm:styleLbl name="sibTrans1D1">
    <dgm:fillClrLst meth="repeat">
      <a:schemeClr val="accent1"/>
    </dgm:fillClrLst>
    <dgm:linClrLst meth="repeat">
      <a:schemeClr val="accent1"/>
    </dgm:linClrLst>
    <dgm:effectClrLst/>
    <dgm:txLinClrLst/>
    <dgm:txFillClrLst meth="repeat">
      <a:schemeClr val="tx1"/>
    </dgm:txFillClrLst>
    <dgm:txEffectClrLst/>
  </dgm:styleLbl>
  <dgm:styleLbl name="callout">
    <dgm:fillClrLst meth="repeat">
      <a:schemeClr val="accent1"/>
    </dgm:fillClrLst>
    <dgm:linClrLst meth="repeat">
      <a:schemeClr val="accent1">
        <a:tint val="50000"/>
      </a:schemeClr>
    </dgm:linClrLst>
    <dgm:effectClrLst/>
    <dgm:txLinClrLst/>
    <dgm:txFillClrLst meth="repeat">
      <a:schemeClr val="tx1"/>
    </dgm:txFillClrLst>
    <dgm:txEffectClrLst/>
  </dgm:styleLbl>
  <dgm:styleLbl name="asst0">
    <dgm:fillClrLst meth="repeat">
      <a:schemeClr val="accent1"/>
    </dgm:fillClrLst>
    <dgm:linClrLst meth="repeat">
      <a:schemeClr val="lt1"/>
    </dgm:linClrLst>
    <dgm:effectClrLst/>
    <dgm:txLinClrLst/>
    <dgm:txFillClrLst/>
    <dgm:txEffectClrLst/>
  </dgm:styleLbl>
  <dgm:styleLbl name="asst1">
    <dgm:fillClrLst meth="repeat">
      <a:schemeClr val="accent1"/>
    </dgm:fillClrLst>
    <dgm:linClrLst meth="repeat">
      <a:schemeClr val="lt1"/>
    </dgm:linClrLst>
    <dgm:effectClrLst/>
    <dgm:txLinClrLst/>
    <dgm:txFillClrLst/>
    <dgm:txEffectClrLst/>
  </dgm:styleLbl>
  <dgm:styleLbl name="asst2">
    <dgm:fillClrLst meth="repeat">
      <a:schemeClr val="accent1"/>
    </dgm:fillClrLst>
    <dgm:linClrLst meth="repeat">
      <a:schemeClr val="lt1"/>
    </dgm:linClrLst>
    <dgm:effectClrLst/>
    <dgm:txLinClrLst/>
    <dgm:txFillClrLst/>
    <dgm:txEffectClrLst/>
  </dgm:styleLbl>
  <dgm:styleLbl name="asst3">
    <dgm:fillClrLst meth="repeat">
      <a:schemeClr val="accent1"/>
    </dgm:fillClrLst>
    <dgm:linClrLst meth="repeat">
      <a:schemeClr val="lt1"/>
    </dgm:linClrLst>
    <dgm:effectClrLst/>
    <dgm:txLinClrLst/>
    <dgm:txFillClrLst/>
    <dgm:txEffectClrLst/>
  </dgm:styleLbl>
  <dgm:styleLbl name="asst4">
    <dgm:fillClrLst meth="repeat">
      <a:schemeClr val="accent1"/>
    </dgm:fillClrLst>
    <dgm:linClrLst meth="repeat">
      <a:schemeClr val="lt1"/>
    </dgm:linClrLst>
    <dgm:effectClrLst/>
    <dgm:txLinClrLst/>
    <dgm:txFillClrLst/>
    <dgm:txEffectClrLst/>
  </dgm:styleLbl>
  <dgm:styleLbl name="parChTrans2D1">
    <dgm:fillClrLst meth="repeat">
      <a:schemeClr val="accent1">
        <a:tint val="60000"/>
      </a:schemeClr>
    </dgm:fillClrLst>
    <dgm:linClrLst meth="repeat">
      <a:schemeClr val="accent1">
        <a:tint val="60000"/>
      </a:schemeClr>
    </dgm:linClrLst>
    <dgm:effectClrLst/>
    <dgm:txLinClrLst/>
    <dgm:txFillClrLst meth="repeat">
      <a:schemeClr val="lt1"/>
    </dgm:txFillClrLst>
    <dgm:txEffectClrLst/>
  </dgm:styleLbl>
  <dgm:styleLbl name="parChTrans2D2">
    <dgm:fillClrLst meth="repeat">
      <a:schemeClr val="accent1"/>
    </dgm:fillClrLst>
    <dgm:linClrLst meth="repeat">
      <a:schemeClr val="accent1"/>
    </dgm:linClrLst>
    <dgm:effectClrLst/>
    <dgm:txLinClrLst/>
    <dgm:txFillClrLst meth="repeat">
      <a:schemeClr val="lt1"/>
    </dgm:txFillClrLst>
    <dgm:txEffectClrLst/>
  </dgm:styleLbl>
  <dgm:styleLbl name="parChTrans2D3">
    <dgm:fillClrLst meth="repeat">
      <a:schemeClr val="accent1"/>
    </dgm:fillClrLst>
    <dgm:linClrLst meth="repeat">
      <a:schemeClr val="accent1"/>
    </dgm:linClrLst>
    <dgm:effectClrLst/>
    <dgm:txLinClrLst/>
    <dgm:txFillClrLst meth="repeat">
      <a:schemeClr val="lt1"/>
    </dgm:txFillClrLst>
    <dgm:txEffectClrLst/>
  </dgm:styleLbl>
  <dgm:styleLbl name="parChTrans2D4">
    <dgm:fillClrLst meth="repeat">
      <a:schemeClr val="accent1"/>
    </dgm:fillClrLst>
    <dgm:linClrLst meth="repeat">
      <a:schemeClr val="accent1"/>
    </dgm:linClrLst>
    <dgm:effectClrLst/>
    <dgm:txLinClrLst/>
    <dgm:txFillClrLst meth="repeat">
      <a:schemeClr val="lt1"/>
    </dgm:txFillClrLst>
    <dgm:txEffectClrLst/>
  </dgm:styleLbl>
  <dgm:styleLbl name="parChTrans1D1">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2">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3">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parChTrans1D4">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con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align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1"/>
    </dgm:linClrLst>
    <dgm:effectClrLst/>
    <dgm:txLinClrLst/>
    <dgm:txFillClrLst meth="repeat">
      <a:schemeClr val="dk1"/>
    </dgm:txFillClrLst>
    <dgm:txEffectClrLst/>
  </dgm:styleLbl>
  <dgm:styleLbl name="b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solidFgAcc1">
    <dgm:fillClrLst meth="repeat">
      <a:schemeClr val="lt1"/>
    </dgm:fillClrLst>
    <dgm:linClrLst meth="repeat">
      <a:schemeClr val="accent1"/>
    </dgm:linClrLst>
    <dgm:effectClrLst/>
    <dgm:txLinClrLst/>
    <dgm:txFillClrLst meth="repeat">
      <a:schemeClr val="dk1"/>
    </dgm:txFillClrLst>
    <dgm:txEffectClrLst/>
  </dgm:styleLbl>
  <dgm:styleLbl name="solidAlignAcc1">
    <dgm:fillClrLst meth="repeat">
      <a:schemeClr val="lt1"/>
    </dgm:fillClrLst>
    <dgm:linClrLst meth="repeat">
      <a:schemeClr val="accent1"/>
    </dgm:linClrLst>
    <dgm:effectClrLst/>
    <dgm:txLinClrLst/>
    <dgm:txFillClrLst meth="repeat">
      <a:schemeClr val="dk1"/>
    </dgm:txFillClrLst>
    <dgm:txEffectClrLst/>
  </dgm:styleLbl>
  <dgm:styleLbl name="solidBgAcc1">
    <dgm:fillClrLst meth="repeat">
      <a:schemeClr val="lt1"/>
    </dgm:fillClrLst>
    <dgm:linClrLst meth="repeat">
      <a:schemeClr val="accent1"/>
    </dgm:linClrLst>
    <dgm:effectClrLst/>
    <dgm:txLinClrLst/>
    <dgm:txFillClrLst meth="repeat">
      <a:schemeClr val="dk1"/>
    </dgm:txFillClrLst>
    <dgm:txEffectClrLst/>
  </dgm:styleLbl>
  <dgm:styleLbl name="f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align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b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fgAcc0">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2">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3">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4">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bgShp">
    <dgm:fillClrLst meth="repeat">
      <a:schemeClr val="accent1">
        <a:tint val="40000"/>
      </a:schemeClr>
    </dgm:fillClrLst>
    <dgm:linClrLst meth="repeat">
      <a:schemeClr val="accent1"/>
    </dgm:linClrLst>
    <dgm:effectClrLst/>
    <dgm:txLinClrLst/>
    <dgm:txFillClrLst meth="repeat">
      <a:schemeClr val="dk1"/>
    </dgm:txFillClrLst>
    <dgm:txEffectClrLst/>
  </dgm:styleLbl>
  <dgm:styleLbl name="dkBgShp">
    <dgm:fillClrLst meth="repeat">
      <a:schemeClr val="accent1">
        <a:shade val="80000"/>
      </a:schemeClr>
    </dgm:fillClrLst>
    <dgm:linClrLst meth="repeat">
      <a:schemeClr val="accent1"/>
    </dgm:linClrLst>
    <dgm:effectClrLst/>
    <dgm:txLinClrLst/>
    <dgm:txFillClrLst meth="repeat">
      <a:schemeClr val="lt1"/>
    </dgm:txFillClrLst>
    <dgm:txEffectClrLst/>
  </dgm:styleLbl>
  <dgm:styleLbl name="trBgShp">
    <dgm:fillClrLst meth="repeat">
      <a:schemeClr val="accent1">
        <a:tint val="50000"/>
        <a:alpha val="40000"/>
      </a:schemeClr>
    </dgm:fillClrLst>
    <dgm:linClrLst meth="repeat">
      <a:schemeClr val="accent1"/>
    </dgm:linClrLst>
    <dgm:effectClrLst/>
    <dgm:txLinClrLst/>
    <dgm:txFillClrLst meth="repeat">
      <a:schemeClr val="lt1"/>
    </dgm:txFillClrLst>
    <dgm:txEffectClrLst/>
  </dgm:styleLbl>
  <dgm:styleLbl name="fgShp">
    <dgm:fillClrLst meth="repeat">
      <a:schemeClr val="accent1">
        <a:tint val="6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colors2.xml><?xml version="1.0" encoding="utf-8"?>
<dgm:colorsDef xmlns:dgm="http://schemas.openxmlformats.org/drawingml/2006/diagram" xmlns:a="http://schemas.openxmlformats.org/drawingml/2006/main" uniqueId="urn:microsoft.com/office/officeart/2005/8/colors/accent1_2">
  <dgm:title val=""/>
  <dgm:desc val=""/>
  <dgm:catLst>
    <dgm:cat type="accent1" pri="11200"/>
  </dgm:catLst>
  <dgm:styleLbl name="node0">
    <dgm:fillClrLst meth="repeat">
      <a:schemeClr val="accent1"/>
    </dgm:fillClrLst>
    <dgm:linClrLst meth="repeat">
      <a:schemeClr val="lt1"/>
    </dgm:linClrLst>
    <dgm:effectClrLst/>
    <dgm:txLinClrLst/>
    <dgm:txFillClrLst/>
    <dgm:txEffectClrLst/>
  </dgm:styleLbl>
  <dgm:styleLbl name="alignNode1">
    <dgm:fillClrLst meth="repeat">
      <a:schemeClr val="accent1"/>
    </dgm:fillClrLst>
    <dgm:linClrLst meth="repeat">
      <a:schemeClr val="accent1"/>
    </dgm:linClrLst>
    <dgm:effectClrLst/>
    <dgm:txLinClrLst/>
    <dgm:txFillClrLst/>
    <dgm:txEffectClrLst/>
  </dgm:styleLbl>
  <dgm:styleLbl name="node1">
    <dgm:fillClrLst meth="repeat">
      <a:schemeClr val="accent1"/>
    </dgm:fillClrLst>
    <dgm:linClrLst meth="repeat">
      <a:schemeClr val="lt1"/>
    </dgm:linClrLst>
    <dgm:effectClrLst/>
    <dgm:txLinClrLst/>
    <dgm:txFillClrLst/>
    <dgm:txEffectClrLst/>
  </dgm:styleLbl>
  <dgm:styleLbl name="lnNode1">
    <dgm:fillClrLst meth="repeat">
      <a:schemeClr val="accent1"/>
    </dgm:fillClrLst>
    <dgm:linClrLst meth="repeat">
      <a:schemeClr val="lt1"/>
    </dgm:linClrLst>
    <dgm:effectClrLst/>
    <dgm:txLinClrLst/>
    <dgm:txFillClrLst/>
    <dgm:txEffectClrLst/>
  </dgm:styleLbl>
  <dgm:styleLbl name="vennNode1">
    <dgm:fillClrLst meth="repeat">
      <a:schemeClr val="accent1">
        <a:alpha val="50000"/>
      </a:schemeClr>
    </dgm:fillClrLst>
    <dgm:linClrLst meth="repeat">
      <a:schemeClr val="lt1"/>
    </dgm:linClrLst>
    <dgm:effectClrLst/>
    <dgm:txLinClrLst/>
    <dgm:txFillClrLst/>
    <dgm:txEffectClrLst/>
  </dgm:styleLbl>
  <dgm:styleLbl name="node2">
    <dgm:fillClrLst meth="repeat">
      <a:schemeClr val="accent1"/>
    </dgm:fillClrLst>
    <dgm:linClrLst meth="repeat">
      <a:schemeClr val="lt1"/>
    </dgm:linClrLst>
    <dgm:effectClrLst/>
    <dgm:txLinClrLst/>
    <dgm:txFillClrLst/>
    <dgm:txEffectClrLst/>
  </dgm:styleLbl>
  <dgm:styleLbl name="node3">
    <dgm:fillClrLst meth="repeat">
      <a:schemeClr val="accent1"/>
    </dgm:fillClrLst>
    <dgm:linClrLst meth="repeat">
      <a:schemeClr val="lt1"/>
    </dgm:linClrLst>
    <dgm:effectClrLst/>
    <dgm:txLinClrLst/>
    <dgm:txFillClrLst/>
    <dgm:txEffectClrLst/>
  </dgm:styleLbl>
  <dgm:styleLbl name="node4">
    <dgm:fillClrLst meth="repeat">
      <a:schemeClr val="accent1"/>
    </dgm:fillClrLst>
    <dgm:linClrLst meth="repeat">
      <a:schemeClr val="lt1"/>
    </dgm:linClrLst>
    <dgm:effectClrLst/>
    <dgm:txLinClrLst/>
    <dgm:txFillClrLst/>
    <dgm:txEffectClrLst/>
  </dgm:styleLbl>
  <dgm:styleLbl name="f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align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b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sibTrans2D1">
    <dgm:fillClrLst meth="repeat">
      <a:schemeClr val="accent1">
        <a:tint val="60000"/>
      </a:schemeClr>
    </dgm:fillClrLst>
    <dgm:linClrLst meth="repeat">
      <a:schemeClr val="accent1">
        <a:tint val="60000"/>
      </a:schemeClr>
    </dgm:linClrLst>
    <dgm:effectClrLst/>
    <dgm:txLinClrLst/>
    <dgm:txFillClrLst/>
    <dgm:txEffectClrLst/>
  </dgm:styleLbl>
  <dgm:styleLbl name="fgSibTrans2D1">
    <dgm:fillClrLst meth="repeat">
      <a:schemeClr val="accent1">
        <a:tint val="60000"/>
      </a:schemeClr>
    </dgm:fillClrLst>
    <dgm:linClrLst meth="repeat">
      <a:schemeClr val="accent1">
        <a:tint val="60000"/>
      </a:schemeClr>
    </dgm:linClrLst>
    <dgm:effectClrLst/>
    <dgm:txLinClrLst/>
    <dgm:txFillClrLst/>
    <dgm:txEffectClrLst/>
  </dgm:styleLbl>
  <dgm:styleLbl name="bgSibTrans2D1">
    <dgm:fillClrLst meth="repeat">
      <a:schemeClr val="accent1">
        <a:tint val="60000"/>
      </a:schemeClr>
    </dgm:fillClrLst>
    <dgm:linClrLst meth="repeat">
      <a:schemeClr val="accent1">
        <a:tint val="60000"/>
      </a:schemeClr>
    </dgm:linClrLst>
    <dgm:effectClrLst/>
    <dgm:txLinClrLst/>
    <dgm:txFillClrLst/>
    <dgm:txEffectClrLst/>
  </dgm:styleLbl>
  <dgm:styleLbl name="sibTrans1D1">
    <dgm:fillClrLst meth="repeat">
      <a:schemeClr val="accent1"/>
    </dgm:fillClrLst>
    <dgm:linClrLst meth="repeat">
      <a:schemeClr val="accent1"/>
    </dgm:linClrLst>
    <dgm:effectClrLst/>
    <dgm:txLinClrLst/>
    <dgm:txFillClrLst meth="repeat">
      <a:schemeClr val="tx1"/>
    </dgm:txFillClrLst>
    <dgm:txEffectClrLst/>
  </dgm:styleLbl>
  <dgm:styleLbl name="callout">
    <dgm:fillClrLst meth="repeat">
      <a:schemeClr val="accent1"/>
    </dgm:fillClrLst>
    <dgm:linClrLst meth="repeat">
      <a:schemeClr val="accent1">
        <a:tint val="50000"/>
      </a:schemeClr>
    </dgm:linClrLst>
    <dgm:effectClrLst/>
    <dgm:txLinClrLst/>
    <dgm:txFillClrLst meth="repeat">
      <a:schemeClr val="tx1"/>
    </dgm:txFillClrLst>
    <dgm:txEffectClrLst/>
  </dgm:styleLbl>
  <dgm:styleLbl name="asst0">
    <dgm:fillClrLst meth="repeat">
      <a:schemeClr val="accent1"/>
    </dgm:fillClrLst>
    <dgm:linClrLst meth="repeat">
      <a:schemeClr val="lt1"/>
    </dgm:linClrLst>
    <dgm:effectClrLst/>
    <dgm:txLinClrLst/>
    <dgm:txFillClrLst/>
    <dgm:txEffectClrLst/>
  </dgm:styleLbl>
  <dgm:styleLbl name="asst1">
    <dgm:fillClrLst meth="repeat">
      <a:schemeClr val="accent1"/>
    </dgm:fillClrLst>
    <dgm:linClrLst meth="repeat">
      <a:schemeClr val="lt1"/>
    </dgm:linClrLst>
    <dgm:effectClrLst/>
    <dgm:txLinClrLst/>
    <dgm:txFillClrLst/>
    <dgm:txEffectClrLst/>
  </dgm:styleLbl>
  <dgm:styleLbl name="asst2">
    <dgm:fillClrLst meth="repeat">
      <a:schemeClr val="accent1"/>
    </dgm:fillClrLst>
    <dgm:linClrLst meth="repeat">
      <a:schemeClr val="lt1"/>
    </dgm:linClrLst>
    <dgm:effectClrLst/>
    <dgm:txLinClrLst/>
    <dgm:txFillClrLst/>
    <dgm:txEffectClrLst/>
  </dgm:styleLbl>
  <dgm:styleLbl name="asst3">
    <dgm:fillClrLst meth="repeat">
      <a:schemeClr val="accent1"/>
    </dgm:fillClrLst>
    <dgm:linClrLst meth="repeat">
      <a:schemeClr val="lt1"/>
    </dgm:linClrLst>
    <dgm:effectClrLst/>
    <dgm:txLinClrLst/>
    <dgm:txFillClrLst/>
    <dgm:txEffectClrLst/>
  </dgm:styleLbl>
  <dgm:styleLbl name="asst4">
    <dgm:fillClrLst meth="repeat">
      <a:schemeClr val="accent1"/>
    </dgm:fillClrLst>
    <dgm:linClrLst meth="repeat">
      <a:schemeClr val="lt1"/>
    </dgm:linClrLst>
    <dgm:effectClrLst/>
    <dgm:txLinClrLst/>
    <dgm:txFillClrLst/>
    <dgm:txEffectClrLst/>
  </dgm:styleLbl>
  <dgm:styleLbl name="parChTrans2D1">
    <dgm:fillClrLst meth="repeat">
      <a:schemeClr val="accent1">
        <a:tint val="60000"/>
      </a:schemeClr>
    </dgm:fillClrLst>
    <dgm:linClrLst meth="repeat">
      <a:schemeClr val="accent1">
        <a:tint val="60000"/>
      </a:schemeClr>
    </dgm:linClrLst>
    <dgm:effectClrLst/>
    <dgm:txLinClrLst/>
    <dgm:txFillClrLst meth="repeat">
      <a:schemeClr val="lt1"/>
    </dgm:txFillClrLst>
    <dgm:txEffectClrLst/>
  </dgm:styleLbl>
  <dgm:styleLbl name="parChTrans2D2">
    <dgm:fillClrLst meth="repeat">
      <a:schemeClr val="accent1"/>
    </dgm:fillClrLst>
    <dgm:linClrLst meth="repeat">
      <a:schemeClr val="accent1"/>
    </dgm:linClrLst>
    <dgm:effectClrLst/>
    <dgm:txLinClrLst/>
    <dgm:txFillClrLst meth="repeat">
      <a:schemeClr val="lt1"/>
    </dgm:txFillClrLst>
    <dgm:txEffectClrLst/>
  </dgm:styleLbl>
  <dgm:styleLbl name="parChTrans2D3">
    <dgm:fillClrLst meth="repeat">
      <a:schemeClr val="accent1"/>
    </dgm:fillClrLst>
    <dgm:linClrLst meth="repeat">
      <a:schemeClr val="accent1"/>
    </dgm:linClrLst>
    <dgm:effectClrLst/>
    <dgm:txLinClrLst/>
    <dgm:txFillClrLst meth="repeat">
      <a:schemeClr val="lt1"/>
    </dgm:txFillClrLst>
    <dgm:txEffectClrLst/>
  </dgm:styleLbl>
  <dgm:styleLbl name="parChTrans2D4">
    <dgm:fillClrLst meth="repeat">
      <a:schemeClr val="accent1"/>
    </dgm:fillClrLst>
    <dgm:linClrLst meth="repeat">
      <a:schemeClr val="accent1"/>
    </dgm:linClrLst>
    <dgm:effectClrLst/>
    <dgm:txLinClrLst/>
    <dgm:txFillClrLst meth="repeat">
      <a:schemeClr val="lt1"/>
    </dgm:txFillClrLst>
    <dgm:txEffectClrLst/>
  </dgm:styleLbl>
  <dgm:styleLbl name="parChTrans1D1">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2">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3">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parChTrans1D4">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con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align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1"/>
    </dgm:linClrLst>
    <dgm:effectClrLst/>
    <dgm:txLinClrLst/>
    <dgm:txFillClrLst meth="repeat">
      <a:schemeClr val="dk1"/>
    </dgm:txFillClrLst>
    <dgm:txEffectClrLst/>
  </dgm:styleLbl>
  <dgm:styleLbl name="b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solidFgAcc1">
    <dgm:fillClrLst meth="repeat">
      <a:schemeClr val="lt1"/>
    </dgm:fillClrLst>
    <dgm:linClrLst meth="repeat">
      <a:schemeClr val="accent1"/>
    </dgm:linClrLst>
    <dgm:effectClrLst/>
    <dgm:txLinClrLst/>
    <dgm:txFillClrLst meth="repeat">
      <a:schemeClr val="dk1"/>
    </dgm:txFillClrLst>
    <dgm:txEffectClrLst/>
  </dgm:styleLbl>
  <dgm:styleLbl name="solidAlignAcc1">
    <dgm:fillClrLst meth="repeat">
      <a:schemeClr val="lt1"/>
    </dgm:fillClrLst>
    <dgm:linClrLst meth="repeat">
      <a:schemeClr val="accent1"/>
    </dgm:linClrLst>
    <dgm:effectClrLst/>
    <dgm:txLinClrLst/>
    <dgm:txFillClrLst meth="repeat">
      <a:schemeClr val="dk1"/>
    </dgm:txFillClrLst>
    <dgm:txEffectClrLst/>
  </dgm:styleLbl>
  <dgm:styleLbl name="solidBgAcc1">
    <dgm:fillClrLst meth="repeat">
      <a:schemeClr val="lt1"/>
    </dgm:fillClrLst>
    <dgm:linClrLst meth="repeat">
      <a:schemeClr val="accent1"/>
    </dgm:linClrLst>
    <dgm:effectClrLst/>
    <dgm:txLinClrLst/>
    <dgm:txFillClrLst meth="repeat">
      <a:schemeClr val="dk1"/>
    </dgm:txFillClrLst>
    <dgm:txEffectClrLst/>
  </dgm:styleLbl>
  <dgm:styleLbl name="f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align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b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fgAcc0">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2">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3">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4">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bgShp">
    <dgm:fillClrLst meth="repeat">
      <a:schemeClr val="accent1">
        <a:tint val="40000"/>
      </a:schemeClr>
    </dgm:fillClrLst>
    <dgm:linClrLst meth="repeat">
      <a:schemeClr val="accent1"/>
    </dgm:linClrLst>
    <dgm:effectClrLst/>
    <dgm:txLinClrLst/>
    <dgm:txFillClrLst meth="repeat">
      <a:schemeClr val="dk1"/>
    </dgm:txFillClrLst>
    <dgm:txEffectClrLst/>
  </dgm:styleLbl>
  <dgm:styleLbl name="dkBgShp">
    <dgm:fillClrLst meth="repeat">
      <a:schemeClr val="accent1">
        <a:shade val="80000"/>
      </a:schemeClr>
    </dgm:fillClrLst>
    <dgm:linClrLst meth="repeat">
      <a:schemeClr val="accent1"/>
    </dgm:linClrLst>
    <dgm:effectClrLst/>
    <dgm:txLinClrLst/>
    <dgm:txFillClrLst meth="repeat">
      <a:schemeClr val="lt1"/>
    </dgm:txFillClrLst>
    <dgm:txEffectClrLst/>
  </dgm:styleLbl>
  <dgm:styleLbl name="trBgShp">
    <dgm:fillClrLst meth="repeat">
      <a:schemeClr val="accent1">
        <a:tint val="50000"/>
        <a:alpha val="40000"/>
      </a:schemeClr>
    </dgm:fillClrLst>
    <dgm:linClrLst meth="repeat">
      <a:schemeClr val="accent1"/>
    </dgm:linClrLst>
    <dgm:effectClrLst/>
    <dgm:txLinClrLst/>
    <dgm:txFillClrLst meth="repeat">
      <a:schemeClr val="lt1"/>
    </dgm:txFillClrLst>
    <dgm:txEffectClrLst/>
  </dgm:styleLbl>
  <dgm:styleLbl name="fgShp">
    <dgm:fillClrLst meth="repeat">
      <a:schemeClr val="accent1">
        <a:tint val="6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colors3.xml><?xml version="1.0" encoding="utf-8"?>
<dgm:colorsDef xmlns:dgm="http://schemas.openxmlformats.org/drawingml/2006/diagram" xmlns:a="http://schemas.openxmlformats.org/drawingml/2006/main" uniqueId="urn:microsoft.com/office/officeart/2005/8/colors/colorful3">
  <dgm:title val=""/>
  <dgm:desc val=""/>
  <dgm:catLst>
    <dgm:cat type="colorful" pri="10300"/>
  </dgm:catLst>
  <dgm:styleLbl name="node0">
    <dgm:fillClrLst meth="repeat">
      <a:schemeClr val="accent2"/>
    </dgm:fillClrLst>
    <dgm:linClrLst meth="repeat">
      <a:schemeClr val="lt1"/>
    </dgm:linClrLst>
    <dgm:effectClrLst/>
    <dgm:txLinClrLst/>
    <dgm:txFillClrLst/>
    <dgm:txEffectClrLst/>
  </dgm:styleLbl>
  <dgm:styleLbl name="node1">
    <dgm:fillClrLst>
      <a:schemeClr val="accent3"/>
      <a:schemeClr val="accent4"/>
    </dgm:fillClrLst>
    <dgm:linClrLst meth="repeat">
      <a:schemeClr val="lt1"/>
    </dgm:linClrLst>
    <dgm:effectClrLst/>
    <dgm:txLinClrLst/>
    <dgm:txFillClrLst/>
    <dgm:txEffectClrLst/>
  </dgm:styleLbl>
  <dgm:styleLbl name="alignNode1">
    <dgm:fillClrLst>
      <a:schemeClr val="accent3"/>
      <a:schemeClr val="accent4"/>
    </dgm:fillClrLst>
    <dgm:linClrLst>
      <a:schemeClr val="accent3"/>
      <a:schemeClr val="accent4"/>
    </dgm:linClrLst>
    <dgm:effectClrLst/>
    <dgm:txLinClrLst/>
    <dgm:txFillClrLst/>
    <dgm:txEffectClrLst/>
  </dgm:styleLbl>
  <dgm:styleLbl name="lnNode1">
    <dgm:fillClrLst>
      <a:schemeClr val="accent3"/>
      <a:schemeClr val="accent4"/>
    </dgm:fillClrLst>
    <dgm:linClrLst meth="repeat">
      <a:schemeClr val="lt1"/>
    </dgm:linClrLst>
    <dgm:effectClrLst/>
    <dgm:txLinClrLst/>
    <dgm:txFillClrLst/>
    <dgm:txEffectClrLst/>
  </dgm:styleLbl>
  <dgm:styleLbl name="vennNode1">
    <dgm:fillClrLst>
      <a:schemeClr val="accent3">
        <a:alpha val="50000"/>
      </a:schemeClr>
      <a:schemeClr val="accent4">
        <a:alpha val="50000"/>
      </a:schemeClr>
    </dgm:fillClrLst>
    <dgm:linClrLst meth="repeat">
      <a:schemeClr val="lt1"/>
    </dgm:linClrLst>
    <dgm:effectClrLst/>
    <dgm:txLinClrLst/>
    <dgm:txFillClrLst/>
    <dgm:txEffectClrLst/>
  </dgm:styleLbl>
  <dgm:styleLbl name="node2">
    <dgm:fillClrLst>
      <a:schemeClr val="accent4"/>
    </dgm:fillClrLst>
    <dgm:linClrLst meth="repeat">
      <a:schemeClr val="lt1"/>
    </dgm:linClrLst>
    <dgm:effectClrLst/>
    <dgm:txLinClrLst/>
    <dgm:txFillClrLst/>
    <dgm:txEffectClrLst/>
  </dgm:styleLbl>
  <dgm:styleLbl name="node3">
    <dgm:fillClrLst>
      <a:schemeClr val="accent5"/>
    </dgm:fillClrLst>
    <dgm:linClrLst meth="repeat">
      <a:schemeClr val="lt1"/>
    </dgm:linClrLst>
    <dgm:effectClrLst/>
    <dgm:txLinClrLst/>
    <dgm:txFillClrLst/>
    <dgm:txEffectClrLst/>
  </dgm:styleLbl>
  <dgm:styleLbl name="node4">
    <dgm:fillClrLst>
      <a:schemeClr val="accent6"/>
    </dgm:fillClrLst>
    <dgm:linClrLst meth="repeat">
      <a:schemeClr val="lt1"/>
    </dgm:linClrLst>
    <dgm:effectClrLst/>
    <dgm:txLinClrLst/>
    <dgm:txFillClrLst/>
    <dgm:txEffectClrLst/>
  </dgm:styleLbl>
  <dgm:styleLbl name="fgImgPlace1">
    <dgm:fillClrLst>
      <a:schemeClr val="accent3">
        <a:tint val="50000"/>
      </a:schemeClr>
      <a:schemeClr val="accent4">
        <a:tint val="50000"/>
      </a:schemeClr>
    </dgm:fillClrLst>
    <dgm:linClrLst meth="repeat">
      <a:schemeClr val="lt1"/>
    </dgm:linClrLst>
    <dgm:effectClrLst/>
    <dgm:txLinClrLst/>
    <dgm:txFillClrLst meth="repeat">
      <a:schemeClr val="lt1"/>
    </dgm:txFillClrLst>
    <dgm:txEffectClrLst/>
  </dgm:styleLbl>
  <dgm:styleLbl name="alignImgPlace1">
    <dgm:fillClrLst>
      <a:schemeClr val="accent3">
        <a:tint val="50000"/>
      </a:schemeClr>
      <a:schemeClr val="accent4">
        <a:tint val="20000"/>
      </a:schemeClr>
    </dgm:fillClrLst>
    <dgm:linClrLst meth="repeat">
      <a:schemeClr val="lt1"/>
    </dgm:linClrLst>
    <dgm:effectClrLst/>
    <dgm:txLinClrLst/>
    <dgm:txFillClrLst meth="repeat">
      <a:schemeClr val="lt1"/>
    </dgm:txFillClrLst>
    <dgm:txEffectClrLst/>
  </dgm:styleLbl>
  <dgm:styleLbl name="bgImgPlace1">
    <dgm:fillClrLst>
      <a:schemeClr val="accent3">
        <a:tint val="50000"/>
      </a:schemeClr>
      <a:schemeClr val="accent4">
        <a:tint val="20000"/>
      </a:schemeClr>
    </dgm:fillClrLst>
    <dgm:linClrLst meth="repeat">
      <a:schemeClr val="lt1"/>
    </dgm:linClrLst>
    <dgm:effectClrLst/>
    <dgm:txLinClrLst/>
    <dgm:txFillClrLst meth="repeat">
      <a:schemeClr val="lt1"/>
    </dgm:txFillClrLst>
    <dgm:txEffectClrLst/>
  </dgm:styleLbl>
  <dgm:styleLbl name="sibTrans2D1">
    <dgm:fillClrLst>
      <a:schemeClr val="accent3"/>
      <a:schemeClr val="accent4"/>
    </dgm:fillClrLst>
    <dgm:linClrLst meth="repeat">
      <a:schemeClr val="lt1"/>
    </dgm:linClrLst>
    <dgm:effectClrLst/>
    <dgm:txLinClrLst/>
    <dgm:txFillClrLst/>
    <dgm:txEffectClrLst/>
  </dgm:styleLbl>
  <dgm:styleLbl name="fgSibTrans2D1">
    <dgm:fillClrLst>
      <a:schemeClr val="accent3"/>
      <a:schemeClr val="accent4"/>
    </dgm:fillClrLst>
    <dgm:linClrLst meth="repeat">
      <a:schemeClr val="lt1"/>
    </dgm:linClrLst>
    <dgm:effectClrLst/>
    <dgm:txLinClrLst/>
    <dgm:txFillClrLst meth="repeat">
      <a:schemeClr val="lt1"/>
    </dgm:txFillClrLst>
    <dgm:txEffectClrLst/>
  </dgm:styleLbl>
  <dgm:styleLbl name="bgSibTrans2D1">
    <dgm:fillClrLst>
      <a:schemeClr val="accent3"/>
      <a:schemeClr val="accent4"/>
    </dgm:fillClrLst>
    <dgm:linClrLst meth="repeat">
      <a:schemeClr val="lt1"/>
    </dgm:linClrLst>
    <dgm:effectClrLst/>
    <dgm:txLinClrLst/>
    <dgm:txFillClrLst meth="repeat">
      <a:schemeClr val="lt1"/>
    </dgm:txFillClrLst>
    <dgm:txEffectClrLst/>
  </dgm:styleLbl>
  <dgm:styleLbl name="sibTrans1D1">
    <dgm:fillClrLst/>
    <dgm:linClrLst>
      <a:schemeClr val="accent3"/>
      <a:schemeClr val="accent4"/>
    </dgm:linClrLst>
    <dgm:effectClrLst/>
    <dgm:txLinClrLst/>
    <dgm:txFillClrLst meth="repeat">
      <a:schemeClr val="tx1"/>
    </dgm:txFillClrLst>
    <dgm:txEffectClrLst/>
  </dgm:styleLbl>
  <dgm:styleLbl name="callout">
    <dgm:fillClrLst meth="repeat">
      <a:schemeClr val="accent3"/>
    </dgm:fillClrLst>
    <dgm:linClrLst meth="repeat">
      <a:schemeClr val="accent3">
        <a:tint val="50000"/>
      </a:schemeClr>
    </dgm:linClrLst>
    <dgm:effectClrLst/>
    <dgm:txLinClrLst/>
    <dgm:txFillClrLst meth="repeat">
      <a:schemeClr val="tx1"/>
    </dgm:txFillClrLst>
    <dgm:txEffectClrLst/>
  </dgm:styleLbl>
  <dgm:styleLbl name="asst0">
    <dgm:fillClrLst meth="repeat">
      <a:schemeClr val="accent3"/>
    </dgm:fillClrLst>
    <dgm:linClrLst meth="repeat">
      <a:schemeClr val="lt1">
        <a:shade val="80000"/>
      </a:schemeClr>
    </dgm:linClrLst>
    <dgm:effectClrLst/>
    <dgm:txLinClrLst/>
    <dgm:txFillClrLst/>
    <dgm:txEffectClrLst/>
  </dgm:styleLbl>
  <dgm:styleLbl name="asst1">
    <dgm:fillClrLst meth="repeat">
      <a:schemeClr val="accent4"/>
    </dgm:fillClrLst>
    <dgm:linClrLst meth="repeat">
      <a:schemeClr val="lt1">
        <a:shade val="80000"/>
      </a:schemeClr>
    </dgm:linClrLst>
    <dgm:effectClrLst/>
    <dgm:txLinClrLst/>
    <dgm:txFillClrLst/>
    <dgm:txEffectClrLst/>
  </dgm:styleLbl>
  <dgm:styleLbl name="asst2">
    <dgm:fillClrLst>
      <a:schemeClr val="accent5"/>
    </dgm:fillClrLst>
    <dgm:linClrLst meth="repeat">
      <a:schemeClr val="lt1"/>
    </dgm:linClrLst>
    <dgm:effectClrLst/>
    <dgm:txLinClrLst/>
    <dgm:txFillClrLst/>
    <dgm:txEffectClrLst/>
  </dgm:styleLbl>
  <dgm:styleLbl name="asst3">
    <dgm:fillClrLst>
      <a:schemeClr val="accent6"/>
    </dgm:fillClrLst>
    <dgm:linClrLst meth="repeat">
      <a:schemeClr val="lt1"/>
    </dgm:linClrLst>
    <dgm:effectClrLst/>
    <dgm:txLinClrLst/>
    <dgm:txFillClrLst/>
    <dgm:txEffectClrLst/>
  </dgm:styleLbl>
  <dgm:styleLbl name="asst4">
    <dgm:fillClrLst>
      <a:schemeClr val="accent1"/>
    </dgm:fillClrLst>
    <dgm:linClrLst meth="repeat">
      <a:schemeClr val="lt1"/>
    </dgm:linClrLst>
    <dgm:effectClrLst/>
    <dgm:txLinClrLst/>
    <dgm:txFillClrLst/>
    <dgm:txEffectClrLst/>
  </dgm:styleLbl>
  <dgm:styleLbl name="parChTrans2D1">
    <dgm:fillClrLst meth="repeat">
      <a:schemeClr val="accent2"/>
    </dgm:fillClrLst>
    <dgm:linClrLst meth="repeat">
      <a:schemeClr val="lt1"/>
    </dgm:linClrLst>
    <dgm:effectClrLst/>
    <dgm:txLinClrLst/>
    <dgm:txFillClrLst meth="repeat">
      <a:schemeClr val="lt1"/>
    </dgm:txFillClrLst>
    <dgm:txEffectClrLst/>
  </dgm:styleLbl>
  <dgm:styleLbl name="parChTrans2D2">
    <dgm:fillClrLst meth="repeat">
      <a:schemeClr val="accent3"/>
    </dgm:fillClrLst>
    <dgm:linClrLst meth="repeat">
      <a:schemeClr val="lt1"/>
    </dgm:linClrLst>
    <dgm:effectClrLst/>
    <dgm:txLinClrLst/>
    <dgm:txFillClrLst/>
    <dgm:txEffectClrLst/>
  </dgm:styleLbl>
  <dgm:styleLbl name="parChTrans2D3">
    <dgm:fillClrLst meth="repeat">
      <a:schemeClr val="accent4"/>
    </dgm:fillClrLst>
    <dgm:linClrLst meth="repeat">
      <a:schemeClr val="lt1"/>
    </dgm:linClrLst>
    <dgm:effectClrLst/>
    <dgm:txLinClrLst/>
    <dgm:txFillClrLst/>
    <dgm:txEffectClrLst/>
  </dgm:styleLbl>
  <dgm:styleLbl name="parChTrans2D4">
    <dgm:fillClrLst meth="repeat">
      <a:schemeClr val="accent5"/>
    </dgm:fillClrLst>
    <dgm:linClrLst meth="repeat">
      <a:schemeClr val="lt1"/>
    </dgm:linClrLst>
    <dgm:effectClrLst/>
    <dgm:txLinClrLst/>
    <dgm:txFillClrLst meth="repeat">
      <a:schemeClr val="lt1"/>
    </dgm:txFillClrLst>
    <dgm:txEffectClrLst/>
  </dgm:styleLbl>
  <dgm:styleLbl name="parChTrans1D1">
    <dgm:fillClrLst meth="repeat">
      <a:schemeClr val="accent3"/>
    </dgm:fillClrLst>
    <dgm:linClrLst meth="repeat">
      <a:schemeClr val="accent3"/>
    </dgm:linClrLst>
    <dgm:effectClrLst/>
    <dgm:txLinClrLst/>
    <dgm:txFillClrLst meth="repeat">
      <a:schemeClr val="tx1"/>
    </dgm:txFillClrLst>
    <dgm:txEffectClrLst/>
  </dgm:styleLbl>
  <dgm:styleLbl name="parChTrans1D2">
    <dgm:fillClrLst meth="repeat">
      <a:schemeClr val="accent2">
        <a:tint val="90000"/>
      </a:schemeClr>
    </dgm:fillClrLst>
    <dgm:linClrLst meth="repeat">
      <a:schemeClr val="accent4"/>
    </dgm:linClrLst>
    <dgm:effectClrLst/>
    <dgm:txLinClrLst/>
    <dgm:txFillClrLst meth="repeat">
      <a:schemeClr val="tx1"/>
    </dgm:txFillClrLst>
    <dgm:txEffectClrLst/>
  </dgm:styleLbl>
  <dgm:styleLbl name="parChTrans1D3">
    <dgm:fillClrLst meth="repeat">
      <a:schemeClr val="accent2">
        <a:tint val="70000"/>
      </a:schemeClr>
    </dgm:fillClrLst>
    <dgm:linClrLst meth="repeat">
      <a:schemeClr val="accent5"/>
    </dgm:linClrLst>
    <dgm:effectClrLst/>
    <dgm:txLinClrLst/>
    <dgm:txFillClrLst meth="repeat">
      <a:schemeClr val="tx1"/>
    </dgm:txFillClrLst>
    <dgm:txEffectClrLst/>
  </dgm:styleLbl>
  <dgm:styleLbl name="parChTrans1D4">
    <dgm:fillClrLst meth="repeat">
      <a:schemeClr val="accent6">
        <a:tint val="50000"/>
      </a:schemeClr>
    </dgm:fillClrLst>
    <dgm:linClrLst meth="repeat">
      <a:schemeClr val="accent6"/>
    </dgm:linClrLst>
    <dgm:effectClrLst/>
    <dgm:txLinClrLst/>
    <dgm:txFillClrLst meth="repeat">
      <a:schemeClr val="tx1"/>
    </dgm:txFillClrLst>
    <dgm:txEffectClrLst/>
  </dgm:styleLbl>
  <dgm:styleLbl name="fgAcc1">
    <dgm:fillClrLst meth="repeat">
      <a:schemeClr val="lt1">
        <a:alpha val="90000"/>
      </a:schemeClr>
    </dgm:fillClrLst>
    <dgm:linClrLst>
      <a:schemeClr val="accent3"/>
      <a:schemeClr val="accent4"/>
    </dgm:linClrLst>
    <dgm:effectClrLst/>
    <dgm:txLinClrLst/>
    <dgm:txFillClrLst meth="repeat">
      <a:schemeClr val="dk1"/>
    </dgm:txFillClrLst>
    <dgm:txEffectClrLst/>
  </dgm:styleLbl>
  <dgm:styleLbl name="conFgAcc1">
    <dgm:fillClrLst meth="repeat">
      <a:schemeClr val="lt1">
        <a:alpha val="90000"/>
      </a:schemeClr>
    </dgm:fillClrLst>
    <dgm:linClrLst>
      <a:schemeClr val="accent3"/>
      <a:schemeClr val="accent4"/>
    </dgm:linClrLst>
    <dgm:effectClrLst/>
    <dgm:txLinClrLst/>
    <dgm:txFillClrLst meth="repeat">
      <a:schemeClr val="dk1"/>
    </dgm:txFillClrLst>
    <dgm:txEffectClrLst/>
  </dgm:styleLbl>
  <dgm:styleLbl name="alignAcc1">
    <dgm:fillClrLst meth="repeat">
      <a:schemeClr val="lt1">
        <a:alpha val="90000"/>
      </a:schemeClr>
    </dgm:fillClrLst>
    <dgm:linClrLst>
      <a:schemeClr val="accent3"/>
      <a:schemeClr val="accent4"/>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2"/>
    </dgm:linClrLst>
    <dgm:effectClrLst/>
    <dgm:txLinClrLst/>
    <dgm:txFillClrLst meth="repeat">
      <a:schemeClr val="dk1"/>
    </dgm:txFillClrLst>
    <dgm:txEffectClrLst/>
  </dgm:styleLbl>
  <dgm:styleLbl name="bgAcc1">
    <dgm:fillClrLst meth="repeat">
      <a:schemeClr val="lt1">
        <a:alpha val="90000"/>
      </a:schemeClr>
    </dgm:fillClrLst>
    <dgm:linClrLst>
      <a:schemeClr val="accent3"/>
      <a:schemeClr val="accent4"/>
    </dgm:linClrLst>
    <dgm:effectClrLst/>
    <dgm:txLinClrLst/>
    <dgm:txFillClrLst meth="repeat">
      <a:schemeClr val="dk1"/>
    </dgm:txFillClrLst>
    <dgm:txEffectClrLst/>
  </dgm:styleLbl>
  <dgm:styleLbl name="solidFgAcc1">
    <dgm:fillClrLst meth="repeat">
      <a:schemeClr val="lt1"/>
    </dgm:fillClrLst>
    <dgm:linClrLst>
      <a:schemeClr val="accent3"/>
      <a:schemeClr val="accent4"/>
    </dgm:linClrLst>
    <dgm:effectClrLst/>
    <dgm:txLinClrLst/>
    <dgm:txFillClrLst meth="repeat">
      <a:schemeClr val="dk1"/>
    </dgm:txFillClrLst>
    <dgm:txEffectClrLst/>
  </dgm:styleLbl>
  <dgm:styleLbl name="solidAlignAcc1">
    <dgm:fillClrLst meth="repeat">
      <a:schemeClr val="lt1"/>
    </dgm:fillClrLst>
    <dgm:linClrLst>
      <a:schemeClr val="accent3"/>
      <a:schemeClr val="accent4"/>
    </dgm:linClrLst>
    <dgm:effectClrLst/>
    <dgm:txLinClrLst/>
    <dgm:txFillClrLst meth="repeat">
      <a:schemeClr val="dk1"/>
    </dgm:txFillClrLst>
    <dgm:txEffectClrLst/>
  </dgm:styleLbl>
  <dgm:styleLbl name="solidBgAcc1">
    <dgm:fillClrLst meth="repeat">
      <a:schemeClr val="lt1"/>
    </dgm:fillClrLst>
    <dgm:linClrLst>
      <a:schemeClr val="accent3"/>
      <a:schemeClr val="accent4"/>
    </dgm:linClrLst>
    <dgm:effectClrLst/>
    <dgm:txLinClrLst/>
    <dgm:txFillClrLst meth="repeat">
      <a:schemeClr val="dk1"/>
    </dgm:txFillClrLst>
    <dgm:txEffectClrLst/>
  </dgm:styleLbl>
  <dgm:styleLbl name="fgAccFollowNode1">
    <dgm:fillClrLst>
      <a:schemeClr val="accent3">
        <a:tint val="40000"/>
        <a:alpha val="90000"/>
      </a:schemeClr>
      <a:schemeClr val="accent4">
        <a:tint val="40000"/>
        <a:alpha val="90000"/>
      </a:schemeClr>
    </dgm:fillClrLst>
    <dgm:linClrLst>
      <a:schemeClr val="accent3">
        <a:tint val="40000"/>
        <a:alpha val="90000"/>
      </a:schemeClr>
      <a:schemeClr val="accent4">
        <a:tint val="40000"/>
        <a:alpha val="90000"/>
      </a:schemeClr>
    </dgm:linClrLst>
    <dgm:effectClrLst/>
    <dgm:txLinClrLst/>
    <dgm:txFillClrLst meth="repeat">
      <a:schemeClr val="dk1"/>
    </dgm:txFillClrLst>
    <dgm:txEffectClrLst/>
  </dgm:styleLbl>
  <dgm:styleLbl name="alignAccFollowNode1">
    <dgm:fillClrLst>
      <a:schemeClr val="accent3">
        <a:tint val="40000"/>
        <a:alpha val="90000"/>
      </a:schemeClr>
      <a:schemeClr val="accent4">
        <a:tint val="40000"/>
        <a:alpha val="90000"/>
      </a:schemeClr>
    </dgm:fillClrLst>
    <dgm:linClrLst>
      <a:schemeClr val="accent3">
        <a:tint val="40000"/>
        <a:alpha val="90000"/>
      </a:schemeClr>
      <a:schemeClr val="accent4">
        <a:tint val="40000"/>
        <a:alpha val="90000"/>
      </a:schemeClr>
    </dgm:linClrLst>
    <dgm:effectClrLst/>
    <dgm:txLinClrLst/>
    <dgm:txFillClrLst meth="repeat">
      <a:schemeClr val="dk1"/>
    </dgm:txFillClrLst>
    <dgm:txEffectClrLst/>
  </dgm:styleLbl>
  <dgm:styleLbl name="bgAccFollowNode1">
    <dgm:fillClrLst>
      <a:schemeClr val="accent3">
        <a:tint val="40000"/>
        <a:alpha val="90000"/>
      </a:schemeClr>
      <a:schemeClr val="accent4">
        <a:tint val="40000"/>
        <a:alpha val="90000"/>
      </a:schemeClr>
    </dgm:fillClrLst>
    <dgm:linClrLst>
      <a:schemeClr val="accent3">
        <a:tint val="40000"/>
        <a:alpha val="90000"/>
      </a:schemeClr>
      <a:schemeClr val="accent4">
        <a:tint val="40000"/>
        <a:alpha val="90000"/>
      </a:schemeClr>
    </dgm:linClrLst>
    <dgm:effectClrLst/>
    <dgm:txLinClrLst/>
    <dgm:txFillClrLst meth="repeat">
      <a:schemeClr val="dk1"/>
    </dgm:txFillClrLst>
    <dgm:txEffectClrLst/>
  </dgm:styleLbl>
  <dgm:styleLbl name="fgAcc0">
    <dgm:fillClrLst meth="repeat">
      <a:schemeClr val="lt1">
        <a:alpha val="90000"/>
      </a:schemeClr>
    </dgm:fillClrLst>
    <dgm:linClrLst>
      <a:schemeClr val="accent2"/>
    </dgm:linClrLst>
    <dgm:effectClrLst/>
    <dgm:txLinClrLst/>
    <dgm:txFillClrLst meth="repeat">
      <a:schemeClr val="dk1"/>
    </dgm:txFillClrLst>
    <dgm:txEffectClrLst/>
  </dgm:styleLbl>
  <dgm:styleLbl name="fgAcc2">
    <dgm:fillClrLst meth="repeat">
      <a:schemeClr val="lt1">
        <a:alpha val="90000"/>
      </a:schemeClr>
    </dgm:fillClrLst>
    <dgm:linClrLst>
      <a:schemeClr val="accent4"/>
    </dgm:linClrLst>
    <dgm:effectClrLst/>
    <dgm:txLinClrLst/>
    <dgm:txFillClrLst meth="repeat">
      <a:schemeClr val="dk1"/>
    </dgm:txFillClrLst>
    <dgm:txEffectClrLst/>
  </dgm:styleLbl>
  <dgm:styleLbl name="fgAcc3">
    <dgm:fillClrLst meth="repeat">
      <a:schemeClr val="lt1">
        <a:alpha val="90000"/>
      </a:schemeClr>
    </dgm:fillClrLst>
    <dgm:linClrLst>
      <a:schemeClr val="accent5"/>
    </dgm:linClrLst>
    <dgm:effectClrLst/>
    <dgm:txLinClrLst/>
    <dgm:txFillClrLst meth="repeat">
      <a:schemeClr val="dk1"/>
    </dgm:txFillClrLst>
    <dgm:txEffectClrLst/>
  </dgm:styleLbl>
  <dgm:styleLbl name="fgAcc4">
    <dgm:fillClrLst meth="repeat">
      <a:schemeClr val="lt1">
        <a:alpha val="90000"/>
      </a:schemeClr>
    </dgm:fillClrLst>
    <dgm:linClrLst>
      <a:schemeClr val="accent6"/>
    </dgm:linClrLst>
    <dgm:effectClrLst/>
    <dgm:txLinClrLst/>
    <dgm:txFillClrLst meth="repeat">
      <a:schemeClr val="dk1"/>
    </dgm:txFillClrLst>
    <dgm:txEffectClrLst/>
  </dgm:styleLbl>
  <dgm:styleLbl name="bgShp">
    <dgm:fillClrLst meth="repeat">
      <a:schemeClr val="accent3">
        <a:tint val="40000"/>
      </a:schemeClr>
    </dgm:fillClrLst>
    <dgm:linClrLst meth="repeat">
      <a:schemeClr val="dk1"/>
    </dgm:linClrLst>
    <dgm:effectClrLst/>
    <dgm:txLinClrLst/>
    <dgm:txFillClrLst meth="repeat">
      <a:schemeClr val="dk1"/>
    </dgm:txFillClrLst>
    <dgm:txEffectClrLst/>
  </dgm:styleLbl>
  <dgm:styleLbl name="dkBgShp">
    <dgm:fillClrLst meth="repeat">
      <a:schemeClr val="accent3">
        <a:shade val="90000"/>
      </a:schemeClr>
    </dgm:fillClrLst>
    <dgm:linClrLst meth="repeat">
      <a:schemeClr val="dk1"/>
    </dgm:linClrLst>
    <dgm:effectClrLst/>
    <dgm:txLinClrLst/>
    <dgm:txFillClrLst meth="repeat">
      <a:schemeClr val="lt1"/>
    </dgm:txFillClrLst>
    <dgm:txEffectClrLst/>
  </dgm:styleLbl>
  <dgm:styleLbl name="trBgShp">
    <dgm:fillClrLst meth="repeat">
      <a:schemeClr val="accent2">
        <a:tint val="50000"/>
        <a:alpha val="40000"/>
      </a:schemeClr>
    </dgm:fillClrLst>
    <dgm:linClrLst meth="repeat">
      <a:schemeClr val="accent3"/>
    </dgm:linClrLst>
    <dgm:effectClrLst/>
    <dgm:txLinClrLst/>
    <dgm:txFillClrLst meth="repeat">
      <a:schemeClr val="lt1"/>
    </dgm:txFillClrLst>
    <dgm:txEffectClrLst/>
  </dgm:styleLbl>
  <dgm:styleLbl name="fgShp">
    <dgm:fillClrLst meth="repeat">
      <a:schemeClr val="accent3">
        <a:tint val="4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colors4.xml><?xml version="1.0" encoding="utf-8"?>
<dgm:colorsDef xmlns:dgm="http://schemas.openxmlformats.org/drawingml/2006/diagram" xmlns:a="http://schemas.openxmlformats.org/drawingml/2006/main" uniqueId="urn:microsoft.com/office/officeart/2005/8/colors/accent1_2">
  <dgm:title val=""/>
  <dgm:desc val=""/>
  <dgm:catLst>
    <dgm:cat type="accent1" pri="11200"/>
  </dgm:catLst>
  <dgm:styleLbl name="node0">
    <dgm:fillClrLst meth="repeat">
      <a:schemeClr val="accent1"/>
    </dgm:fillClrLst>
    <dgm:linClrLst meth="repeat">
      <a:schemeClr val="lt1"/>
    </dgm:linClrLst>
    <dgm:effectClrLst/>
    <dgm:txLinClrLst/>
    <dgm:txFillClrLst/>
    <dgm:txEffectClrLst/>
  </dgm:styleLbl>
  <dgm:styleLbl name="alignNode1">
    <dgm:fillClrLst meth="repeat">
      <a:schemeClr val="accent1"/>
    </dgm:fillClrLst>
    <dgm:linClrLst meth="repeat">
      <a:schemeClr val="accent1"/>
    </dgm:linClrLst>
    <dgm:effectClrLst/>
    <dgm:txLinClrLst/>
    <dgm:txFillClrLst/>
    <dgm:txEffectClrLst/>
  </dgm:styleLbl>
  <dgm:styleLbl name="node1">
    <dgm:fillClrLst meth="repeat">
      <a:schemeClr val="accent1"/>
    </dgm:fillClrLst>
    <dgm:linClrLst meth="repeat">
      <a:schemeClr val="lt1"/>
    </dgm:linClrLst>
    <dgm:effectClrLst/>
    <dgm:txLinClrLst/>
    <dgm:txFillClrLst/>
    <dgm:txEffectClrLst/>
  </dgm:styleLbl>
  <dgm:styleLbl name="lnNode1">
    <dgm:fillClrLst meth="repeat">
      <a:schemeClr val="accent1"/>
    </dgm:fillClrLst>
    <dgm:linClrLst meth="repeat">
      <a:schemeClr val="lt1"/>
    </dgm:linClrLst>
    <dgm:effectClrLst/>
    <dgm:txLinClrLst/>
    <dgm:txFillClrLst/>
    <dgm:txEffectClrLst/>
  </dgm:styleLbl>
  <dgm:styleLbl name="vennNode1">
    <dgm:fillClrLst meth="repeat">
      <a:schemeClr val="accent1">
        <a:alpha val="50000"/>
      </a:schemeClr>
    </dgm:fillClrLst>
    <dgm:linClrLst meth="repeat">
      <a:schemeClr val="lt1"/>
    </dgm:linClrLst>
    <dgm:effectClrLst/>
    <dgm:txLinClrLst/>
    <dgm:txFillClrLst/>
    <dgm:txEffectClrLst/>
  </dgm:styleLbl>
  <dgm:styleLbl name="node2">
    <dgm:fillClrLst meth="repeat">
      <a:schemeClr val="accent1"/>
    </dgm:fillClrLst>
    <dgm:linClrLst meth="repeat">
      <a:schemeClr val="lt1"/>
    </dgm:linClrLst>
    <dgm:effectClrLst/>
    <dgm:txLinClrLst/>
    <dgm:txFillClrLst/>
    <dgm:txEffectClrLst/>
  </dgm:styleLbl>
  <dgm:styleLbl name="node3">
    <dgm:fillClrLst meth="repeat">
      <a:schemeClr val="accent1"/>
    </dgm:fillClrLst>
    <dgm:linClrLst meth="repeat">
      <a:schemeClr val="lt1"/>
    </dgm:linClrLst>
    <dgm:effectClrLst/>
    <dgm:txLinClrLst/>
    <dgm:txFillClrLst/>
    <dgm:txEffectClrLst/>
  </dgm:styleLbl>
  <dgm:styleLbl name="node4">
    <dgm:fillClrLst meth="repeat">
      <a:schemeClr val="accent1"/>
    </dgm:fillClrLst>
    <dgm:linClrLst meth="repeat">
      <a:schemeClr val="lt1"/>
    </dgm:linClrLst>
    <dgm:effectClrLst/>
    <dgm:txLinClrLst/>
    <dgm:txFillClrLst/>
    <dgm:txEffectClrLst/>
  </dgm:styleLbl>
  <dgm:styleLbl name="f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align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b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sibTrans2D1">
    <dgm:fillClrLst meth="repeat">
      <a:schemeClr val="accent1">
        <a:tint val="60000"/>
      </a:schemeClr>
    </dgm:fillClrLst>
    <dgm:linClrLst meth="repeat">
      <a:schemeClr val="accent1">
        <a:tint val="60000"/>
      </a:schemeClr>
    </dgm:linClrLst>
    <dgm:effectClrLst/>
    <dgm:txLinClrLst/>
    <dgm:txFillClrLst/>
    <dgm:txEffectClrLst/>
  </dgm:styleLbl>
  <dgm:styleLbl name="fgSibTrans2D1">
    <dgm:fillClrLst meth="repeat">
      <a:schemeClr val="accent1">
        <a:tint val="60000"/>
      </a:schemeClr>
    </dgm:fillClrLst>
    <dgm:linClrLst meth="repeat">
      <a:schemeClr val="accent1">
        <a:tint val="60000"/>
      </a:schemeClr>
    </dgm:linClrLst>
    <dgm:effectClrLst/>
    <dgm:txLinClrLst/>
    <dgm:txFillClrLst/>
    <dgm:txEffectClrLst/>
  </dgm:styleLbl>
  <dgm:styleLbl name="bgSibTrans2D1">
    <dgm:fillClrLst meth="repeat">
      <a:schemeClr val="accent1">
        <a:tint val="60000"/>
      </a:schemeClr>
    </dgm:fillClrLst>
    <dgm:linClrLst meth="repeat">
      <a:schemeClr val="accent1">
        <a:tint val="60000"/>
      </a:schemeClr>
    </dgm:linClrLst>
    <dgm:effectClrLst/>
    <dgm:txLinClrLst/>
    <dgm:txFillClrLst/>
    <dgm:txEffectClrLst/>
  </dgm:styleLbl>
  <dgm:styleLbl name="sibTrans1D1">
    <dgm:fillClrLst meth="repeat">
      <a:schemeClr val="accent1"/>
    </dgm:fillClrLst>
    <dgm:linClrLst meth="repeat">
      <a:schemeClr val="accent1"/>
    </dgm:linClrLst>
    <dgm:effectClrLst/>
    <dgm:txLinClrLst/>
    <dgm:txFillClrLst meth="repeat">
      <a:schemeClr val="tx1"/>
    </dgm:txFillClrLst>
    <dgm:txEffectClrLst/>
  </dgm:styleLbl>
  <dgm:styleLbl name="callout">
    <dgm:fillClrLst meth="repeat">
      <a:schemeClr val="accent1"/>
    </dgm:fillClrLst>
    <dgm:linClrLst meth="repeat">
      <a:schemeClr val="accent1">
        <a:tint val="50000"/>
      </a:schemeClr>
    </dgm:linClrLst>
    <dgm:effectClrLst/>
    <dgm:txLinClrLst/>
    <dgm:txFillClrLst meth="repeat">
      <a:schemeClr val="tx1"/>
    </dgm:txFillClrLst>
    <dgm:txEffectClrLst/>
  </dgm:styleLbl>
  <dgm:styleLbl name="asst0">
    <dgm:fillClrLst meth="repeat">
      <a:schemeClr val="accent1"/>
    </dgm:fillClrLst>
    <dgm:linClrLst meth="repeat">
      <a:schemeClr val="lt1"/>
    </dgm:linClrLst>
    <dgm:effectClrLst/>
    <dgm:txLinClrLst/>
    <dgm:txFillClrLst/>
    <dgm:txEffectClrLst/>
  </dgm:styleLbl>
  <dgm:styleLbl name="asst1">
    <dgm:fillClrLst meth="repeat">
      <a:schemeClr val="accent1"/>
    </dgm:fillClrLst>
    <dgm:linClrLst meth="repeat">
      <a:schemeClr val="lt1"/>
    </dgm:linClrLst>
    <dgm:effectClrLst/>
    <dgm:txLinClrLst/>
    <dgm:txFillClrLst/>
    <dgm:txEffectClrLst/>
  </dgm:styleLbl>
  <dgm:styleLbl name="asst2">
    <dgm:fillClrLst meth="repeat">
      <a:schemeClr val="accent1"/>
    </dgm:fillClrLst>
    <dgm:linClrLst meth="repeat">
      <a:schemeClr val="lt1"/>
    </dgm:linClrLst>
    <dgm:effectClrLst/>
    <dgm:txLinClrLst/>
    <dgm:txFillClrLst/>
    <dgm:txEffectClrLst/>
  </dgm:styleLbl>
  <dgm:styleLbl name="asst3">
    <dgm:fillClrLst meth="repeat">
      <a:schemeClr val="accent1"/>
    </dgm:fillClrLst>
    <dgm:linClrLst meth="repeat">
      <a:schemeClr val="lt1"/>
    </dgm:linClrLst>
    <dgm:effectClrLst/>
    <dgm:txLinClrLst/>
    <dgm:txFillClrLst/>
    <dgm:txEffectClrLst/>
  </dgm:styleLbl>
  <dgm:styleLbl name="asst4">
    <dgm:fillClrLst meth="repeat">
      <a:schemeClr val="accent1"/>
    </dgm:fillClrLst>
    <dgm:linClrLst meth="repeat">
      <a:schemeClr val="lt1"/>
    </dgm:linClrLst>
    <dgm:effectClrLst/>
    <dgm:txLinClrLst/>
    <dgm:txFillClrLst/>
    <dgm:txEffectClrLst/>
  </dgm:styleLbl>
  <dgm:styleLbl name="parChTrans2D1">
    <dgm:fillClrLst meth="repeat">
      <a:schemeClr val="accent1">
        <a:tint val="60000"/>
      </a:schemeClr>
    </dgm:fillClrLst>
    <dgm:linClrLst meth="repeat">
      <a:schemeClr val="accent1">
        <a:tint val="60000"/>
      </a:schemeClr>
    </dgm:linClrLst>
    <dgm:effectClrLst/>
    <dgm:txLinClrLst/>
    <dgm:txFillClrLst meth="repeat">
      <a:schemeClr val="lt1"/>
    </dgm:txFillClrLst>
    <dgm:txEffectClrLst/>
  </dgm:styleLbl>
  <dgm:styleLbl name="parChTrans2D2">
    <dgm:fillClrLst meth="repeat">
      <a:schemeClr val="accent1"/>
    </dgm:fillClrLst>
    <dgm:linClrLst meth="repeat">
      <a:schemeClr val="accent1"/>
    </dgm:linClrLst>
    <dgm:effectClrLst/>
    <dgm:txLinClrLst/>
    <dgm:txFillClrLst meth="repeat">
      <a:schemeClr val="lt1"/>
    </dgm:txFillClrLst>
    <dgm:txEffectClrLst/>
  </dgm:styleLbl>
  <dgm:styleLbl name="parChTrans2D3">
    <dgm:fillClrLst meth="repeat">
      <a:schemeClr val="accent1"/>
    </dgm:fillClrLst>
    <dgm:linClrLst meth="repeat">
      <a:schemeClr val="accent1"/>
    </dgm:linClrLst>
    <dgm:effectClrLst/>
    <dgm:txLinClrLst/>
    <dgm:txFillClrLst meth="repeat">
      <a:schemeClr val="lt1"/>
    </dgm:txFillClrLst>
    <dgm:txEffectClrLst/>
  </dgm:styleLbl>
  <dgm:styleLbl name="parChTrans2D4">
    <dgm:fillClrLst meth="repeat">
      <a:schemeClr val="accent1"/>
    </dgm:fillClrLst>
    <dgm:linClrLst meth="repeat">
      <a:schemeClr val="accent1"/>
    </dgm:linClrLst>
    <dgm:effectClrLst/>
    <dgm:txLinClrLst/>
    <dgm:txFillClrLst meth="repeat">
      <a:schemeClr val="lt1"/>
    </dgm:txFillClrLst>
    <dgm:txEffectClrLst/>
  </dgm:styleLbl>
  <dgm:styleLbl name="parChTrans1D1">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2">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3">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parChTrans1D4">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con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align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1"/>
    </dgm:linClrLst>
    <dgm:effectClrLst/>
    <dgm:txLinClrLst/>
    <dgm:txFillClrLst meth="repeat">
      <a:schemeClr val="dk1"/>
    </dgm:txFillClrLst>
    <dgm:txEffectClrLst/>
  </dgm:styleLbl>
  <dgm:styleLbl name="b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solidFgAcc1">
    <dgm:fillClrLst meth="repeat">
      <a:schemeClr val="lt1"/>
    </dgm:fillClrLst>
    <dgm:linClrLst meth="repeat">
      <a:schemeClr val="accent1"/>
    </dgm:linClrLst>
    <dgm:effectClrLst/>
    <dgm:txLinClrLst/>
    <dgm:txFillClrLst meth="repeat">
      <a:schemeClr val="dk1"/>
    </dgm:txFillClrLst>
    <dgm:txEffectClrLst/>
  </dgm:styleLbl>
  <dgm:styleLbl name="solidAlignAcc1">
    <dgm:fillClrLst meth="repeat">
      <a:schemeClr val="lt1"/>
    </dgm:fillClrLst>
    <dgm:linClrLst meth="repeat">
      <a:schemeClr val="accent1"/>
    </dgm:linClrLst>
    <dgm:effectClrLst/>
    <dgm:txLinClrLst/>
    <dgm:txFillClrLst meth="repeat">
      <a:schemeClr val="dk1"/>
    </dgm:txFillClrLst>
    <dgm:txEffectClrLst/>
  </dgm:styleLbl>
  <dgm:styleLbl name="solidBgAcc1">
    <dgm:fillClrLst meth="repeat">
      <a:schemeClr val="lt1"/>
    </dgm:fillClrLst>
    <dgm:linClrLst meth="repeat">
      <a:schemeClr val="accent1"/>
    </dgm:linClrLst>
    <dgm:effectClrLst/>
    <dgm:txLinClrLst/>
    <dgm:txFillClrLst meth="repeat">
      <a:schemeClr val="dk1"/>
    </dgm:txFillClrLst>
    <dgm:txEffectClrLst/>
  </dgm:styleLbl>
  <dgm:styleLbl name="f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align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b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fgAcc0">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2">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3">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4">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bgShp">
    <dgm:fillClrLst meth="repeat">
      <a:schemeClr val="accent1">
        <a:tint val="40000"/>
      </a:schemeClr>
    </dgm:fillClrLst>
    <dgm:linClrLst meth="repeat">
      <a:schemeClr val="accent1"/>
    </dgm:linClrLst>
    <dgm:effectClrLst/>
    <dgm:txLinClrLst/>
    <dgm:txFillClrLst meth="repeat">
      <a:schemeClr val="dk1"/>
    </dgm:txFillClrLst>
    <dgm:txEffectClrLst/>
  </dgm:styleLbl>
  <dgm:styleLbl name="dkBgShp">
    <dgm:fillClrLst meth="repeat">
      <a:schemeClr val="accent1">
        <a:shade val="80000"/>
      </a:schemeClr>
    </dgm:fillClrLst>
    <dgm:linClrLst meth="repeat">
      <a:schemeClr val="accent1"/>
    </dgm:linClrLst>
    <dgm:effectClrLst/>
    <dgm:txLinClrLst/>
    <dgm:txFillClrLst meth="repeat">
      <a:schemeClr val="lt1"/>
    </dgm:txFillClrLst>
    <dgm:txEffectClrLst/>
  </dgm:styleLbl>
  <dgm:styleLbl name="trBgShp">
    <dgm:fillClrLst meth="repeat">
      <a:schemeClr val="accent1">
        <a:tint val="50000"/>
        <a:alpha val="40000"/>
      </a:schemeClr>
    </dgm:fillClrLst>
    <dgm:linClrLst meth="repeat">
      <a:schemeClr val="accent1"/>
    </dgm:linClrLst>
    <dgm:effectClrLst/>
    <dgm:txLinClrLst/>
    <dgm:txFillClrLst meth="repeat">
      <a:schemeClr val="lt1"/>
    </dgm:txFillClrLst>
    <dgm:txEffectClrLst/>
  </dgm:styleLbl>
  <dgm:styleLbl name="fgShp">
    <dgm:fillClrLst meth="repeat">
      <a:schemeClr val="accent1">
        <a:tint val="6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colors5.xml><?xml version="1.0" encoding="utf-8"?>
<dgm:colorsDef xmlns:dgm="http://schemas.openxmlformats.org/drawingml/2006/diagram" xmlns:a="http://schemas.openxmlformats.org/drawingml/2006/main" uniqueId="urn:microsoft.com/office/officeart/2005/8/colors/accent1_1">
  <dgm:title val=""/>
  <dgm:desc val=""/>
  <dgm:catLst>
    <dgm:cat type="accent1" pri="11100"/>
  </dgm:catLst>
  <dgm:styleLbl name="node0">
    <dgm:fillClrLst meth="repeat">
      <a:schemeClr val="lt1"/>
    </dgm:fillClrLst>
    <dgm:linClrLst meth="repeat">
      <a:schemeClr val="accent1">
        <a:shade val="80000"/>
      </a:schemeClr>
    </dgm:linClrLst>
    <dgm:effectClrLst/>
    <dgm:txLinClrLst/>
    <dgm:txFillClrLst meth="repeat">
      <a:schemeClr val="dk1"/>
    </dgm:txFillClrLst>
    <dgm:txEffectClrLst/>
  </dgm:styleLbl>
  <dgm:styleLbl name="alignNode1">
    <dgm:fillClrLst meth="repeat">
      <a:schemeClr val="lt1"/>
    </dgm:fillClrLst>
    <dgm:linClrLst meth="repeat">
      <a:schemeClr val="accent1">
        <a:shade val="80000"/>
      </a:schemeClr>
    </dgm:linClrLst>
    <dgm:effectClrLst/>
    <dgm:txLinClrLst/>
    <dgm:txFillClrLst meth="repeat">
      <a:schemeClr val="dk1"/>
    </dgm:txFillClrLst>
    <dgm:txEffectClrLst/>
  </dgm:styleLbl>
  <dgm:styleLbl name="node1">
    <dgm:fillClrLst meth="repeat">
      <a:schemeClr val="lt1"/>
    </dgm:fillClrLst>
    <dgm:linClrLst meth="repeat">
      <a:schemeClr val="accent1">
        <a:shade val="80000"/>
      </a:schemeClr>
    </dgm:linClrLst>
    <dgm:effectClrLst/>
    <dgm:txLinClrLst/>
    <dgm:txFillClrLst meth="repeat">
      <a:schemeClr val="dk1"/>
    </dgm:txFillClrLst>
    <dgm:txEffectClrLst/>
  </dgm:styleLbl>
  <dgm:styleLbl name="lnNode1">
    <dgm:fillClrLst meth="repeat">
      <a:schemeClr val="lt1"/>
    </dgm:fillClrLst>
    <dgm:linClrLst meth="repeat">
      <a:schemeClr val="accent1">
        <a:shade val="80000"/>
      </a:schemeClr>
    </dgm:linClrLst>
    <dgm:effectClrLst/>
    <dgm:txLinClrLst/>
    <dgm:txFillClrLst meth="repeat">
      <a:schemeClr val="dk1"/>
    </dgm:txFillClrLst>
    <dgm:txEffectClrLst/>
  </dgm:styleLbl>
  <dgm:styleLbl name="vennNode1">
    <dgm:fillClrLst meth="repeat">
      <a:schemeClr val="lt1">
        <a:alpha val="50000"/>
      </a:schemeClr>
    </dgm:fillClrLst>
    <dgm:linClrLst meth="repeat">
      <a:schemeClr val="accent1">
        <a:shade val="80000"/>
      </a:schemeClr>
    </dgm:linClrLst>
    <dgm:effectClrLst/>
    <dgm:txLinClrLst/>
    <dgm:txFillClrLst/>
    <dgm:txEffectClrLst/>
  </dgm:styleLbl>
  <dgm:styleLbl name="node2">
    <dgm:fillClrLst meth="repeat">
      <a:schemeClr val="lt1"/>
    </dgm:fillClrLst>
    <dgm:linClrLst meth="repeat">
      <a:schemeClr val="accent1">
        <a:shade val="80000"/>
      </a:schemeClr>
    </dgm:linClrLst>
    <dgm:effectClrLst/>
    <dgm:txLinClrLst/>
    <dgm:txFillClrLst meth="repeat">
      <a:schemeClr val="dk1"/>
    </dgm:txFillClrLst>
    <dgm:txEffectClrLst/>
  </dgm:styleLbl>
  <dgm:styleLbl name="node3">
    <dgm:fillClrLst meth="repeat">
      <a:schemeClr val="lt1"/>
    </dgm:fillClrLst>
    <dgm:linClrLst meth="repeat">
      <a:schemeClr val="accent1">
        <a:shade val="80000"/>
      </a:schemeClr>
    </dgm:linClrLst>
    <dgm:effectClrLst/>
    <dgm:txLinClrLst/>
    <dgm:txFillClrLst meth="repeat">
      <a:schemeClr val="dk1"/>
    </dgm:txFillClrLst>
    <dgm:txEffectClrLst/>
  </dgm:styleLbl>
  <dgm:styleLbl name="node4">
    <dgm:fillClrLst meth="repeat">
      <a:schemeClr val="lt1"/>
    </dgm:fillClrLst>
    <dgm:linClrLst meth="repeat">
      <a:schemeClr val="accent1">
        <a:shade val="80000"/>
      </a:schemeClr>
    </dgm:linClrLst>
    <dgm:effectClrLst/>
    <dgm:txLinClrLst/>
    <dgm:txFillClrLst meth="repeat">
      <a:schemeClr val="dk1"/>
    </dgm:txFillClrLst>
    <dgm:txEffectClrLst/>
  </dgm:styleLbl>
  <dgm:styleLbl name="fgImgPlace1">
    <dgm:fillClrLst meth="repeat">
      <a:schemeClr val="accent1">
        <a:tint val="40000"/>
      </a:schemeClr>
    </dgm:fillClrLst>
    <dgm:linClrLst meth="repeat">
      <a:schemeClr val="accent1">
        <a:shade val="80000"/>
      </a:schemeClr>
    </dgm:linClrLst>
    <dgm:effectClrLst/>
    <dgm:txLinClrLst/>
    <dgm:txFillClrLst meth="repeat">
      <a:schemeClr val="lt1"/>
    </dgm:txFillClrLst>
    <dgm:txEffectClrLst/>
  </dgm:styleLbl>
  <dgm:styleLbl name="alignImgPlace1">
    <dgm:fillClrLst meth="repeat">
      <a:schemeClr val="accent1">
        <a:tint val="40000"/>
      </a:schemeClr>
    </dgm:fillClrLst>
    <dgm:linClrLst meth="repeat">
      <a:schemeClr val="accent1">
        <a:shade val="80000"/>
      </a:schemeClr>
    </dgm:linClrLst>
    <dgm:effectClrLst/>
    <dgm:txLinClrLst/>
    <dgm:txFillClrLst meth="repeat">
      <a:schemeClr val="lt1"/>
    </dgm:txFillClrLst>
    <dgm:txEffectClrLst/>
  </dgm:styleLbl>
  <dgm:styleLbl name="bgImgPlace1">
    <dgm:fillClrLst meth="repeat">
      <a:schemeClr val="accent1">
        <a:tint val="40000"/>
      </a:schemeClr>
    </dgm:fillClrLst>
    <dgm:linClrLst meth="repeat">
      <a:schemeClr val="accent1">
        <a:shade val="80000"/>
      </a:schemeClr>
    </dgm:linClrLst>
    <dgm:effectClrLst/>
    <dgm:txLinClrLst/>
    <dgm:txFillClrLst meth="repeat">
      <a:schemeClr val="lt1"/>
    </dgm:txFillClrLst>
    <dgm:txEffectClrLst/>
  </dgm:styleLbl>
  <dgm:styleLbl name="sibTrans2D1">
    <dgm:fillClrLst meth="repeat">
      <a:schemeClr val="accent1">
        <a:tint val="60000"/>
      </a:schemeClr>
    </dgm:fillClrLst>
    <dgm:linClrLst meth="repeat">
      <a:schemeClr val="accent1">
        <a:tint val="60000"/>
      </a:schemeClr>
    </dgm:linClrLst>
    <dgm:effectClrLst/>
    <dgm:txLinClrLst/>
    <dgm:txFillClrLst meth="repeat">
      <a:schemeClr val="dk1"/>
    </dgm:txFillClrLst>
    <dgm:txEffectClrLst/>
  </dgm:styleLbl>
  <dgm:styleLbl name="fgSibTrans2D1">
    <dgm:fillClrLst meth="repeat">
      <a:schemeClr val="accent1">
        <a:tint val="60000"/>
      </a:schemeClr>
    </dgm:fillClrLst>
    <dgm:linClrLst meth="repeat">
      <a:schemeClr val="accent1">
        <a:tint val="60000"/>
      </a:schemeClr>
    </dgm:linClrLst>
    <dgm:effectClrLst/>
    <dgm:txLinClrLst/>
    <dgm:txFillClrLst meth="repeat">
      <a:schemeClr val="dk1"/>
    </dgm:txFillClrLst>
    <dgm:txEffectClrLst/>
  </dgm:styleLbl>
  <dgm:styleLbl name="bgSibTrans2D1">
    <dgm:fillClrLst meth="repeat">
      <a:schemeClr val="accent1">
        <a:tint val="60000"/>
      </a:schemeClr>
    </dgm:fillClrLst>
    <dgm:linClrLst meth="repeat">
      <a:schemeClr val="accent1">
        <a:tint val="60000"/>
      </a:schemeClr>
    </dgm:linClrLst>
    <dgm:effectClrLst/>
    <dgm:txLinClrLst/>
    <dgm:txFillClrLst meth="repeat">
      <a:schemeClr val="dk1"/>
    </dgm:txFillClrLst>
    <dgm:txEffectClrLst/>
  </dgm:styleLbl>
  <dgm:styleLbl name="sibTrans1D1">
    <dgm:fillClrLst meth="repeat">
      <a:schemeClr val="accent1"/>
    </dgm:fillClrLst>
    <dgm:linClrLst meth="repeat">
      <a:schemeClr val="accent1"/>
    </dgm:linClrLst>
    <dgm:effectClrLst/>
    <dgm:txLinClrLst/>
    <dgm:txFillClrLst meth="repeat">
      <a:schemeClr val="tx1"/>
    </dgm:txFillClrLst>
    <dgm:txEffectClrLst/>
  </dgm:styleLbl>
  <dgm:styleLbl name="callout">
    <dgm:fillClrLst meth="repeat">
      <a:schemeClr val="accent1"/>
    </dgm:fillClrLst>
    <dgm:linClrLst meth="repeat">
      <a:schemeClr val="accent1"/>
    </dgm:linClrLst>
    <dgm:effectClrLst/>
    <dgm:txLinClrLst/>
    <dgm:txFillClrLst meth="repeat">
      <a:schemeClr val="tx1"/>
    </dgm:txFillClrLst>
    <dgm:txEffectClrLst/>
  </dgm:styleLbl>
  <dgm:styleLbl name="asst0">
    <dgm:fillClrLst meth="repeat">
      <a:schemeClr val="lt1"/>
    </dgm:fillClrLst>
    <dgm:linClrLst meth="repeat">
      <a:schemeClr val="accent1">
        <a:shade val="80000"/>
      </a:schemeClr>
    </dgm:linClrLst>
    <dgm:effectClrLst/>
    <dgm:txLinClrLst/>
    <dgm:txFillClrLst meth="repeat">
      <a:schemeClr val="dk1"/>
    </dgm:txFillClrLst>
    <dgm:txEffectClrLst/>
  </dgm:styleLbl>
  <dgm:styleLbl name="asst1">
    <dgm:fillClrLst meth="repeat">
      <a:schemeClr val="lt1"/>
    </dgm:fillClrLst>
    <dgm:linClrLst meth="repeat">
      <a:schemeClr val="accent1">
        <a:shade val="80000"/>
      </a:schemeClr>
    </dgm:linClrLst>
    <dgm:effectClrLst/>
    <dgm:txLinClrLst/>
    <dgm:txFillClrLst meth="repeat">
      <a:schemeClr val="dk1"/>
    </dgm:txFillClrLst>
    <dgm:txEffectClrLst/>
  </dgm:styleLbl>
  <dgm:styleLbl name="asst2">
    <dgm:fillClrLst meth="repeat">
      <a:schemeClr val="lt1"/>
    </dgm:fillClrLst>
    <dgm:linClrLst meth="repeat">
      <a:schemeClr val="accent1">
        <a:shade val="80000"/>
      </a:schemeClr>
    </dgm:linClrLst>
    <dgm:effectClrLst/>
    <dgm:txLinClrLst/>
    <dgm:txFillClrLst meth="repeat">
      <a:schemeClr val="dk1"/>
    </dgm:txFillClrLst>
    <dgm:txEffectClrLst/>
  </dgm:styleLbl>
  <dgm:styleLbl name="asst3">
    <dgm:fillClrLst meth="repeat">
      <a:schemeClr val="lt1"/>
    </dgm:fillClrLst>
    <dgm:linClrLst meth="repeat">
      <a:schemeClr val="accent1">
        <a:shade val="80000"/>
      </a:schemeClr>
    </dgm:linClrLst>
    <dgm:effectClrLst/>
    <dgm:txLinClrLst/>
    <dgm:txFillClrLst meth="repeat">
      <a:schemeClr val="dk1"/>
    </dgm:txFillClrLst>
    <dgm:txEffectClrLst/>
  </dgm:styleLbl>
  <dgm:styleLbl name="asst4">
    <dgm:fillClrLst meth="repeat">
      <a:schemeClr val="lt1"/>
    </dgm:fillClrLst>
    <dgm:linClrLst meth="repeat">
      <a:schemeClr val="accent1">
        <a:shade val="80000"/>
      </a:schemeClr>
    </dgm:linClrLst>
    <dgm:effectClrLst/>
    <dgm:txLinClrLst/>
    <dgm:txFillClrLst meth="repeat">
      <a:schemeClr val="dk1"/>
    </dgm:txFillClrLst>
    <dgm:txEffectClrLst/>
  </dgm:styleLbl>
  <dgm:styleLbl name="parChTrans2D1">
    <dgm:fillClrLst meth="repeat">
      <a:schemeClr val="accent1">
        <a:tint val="60000"/>
      </a:schemeClr>
    </dgm:fillClrLst>
    <dgm:linClrLst meth="repeat">
      <a:schemeClr val="accent1">
        <a:tint val="60000"/>
      </a:schemeClr>
    </dgm:linClrLst>
    <dgm:effectClrLst/>
    <dgm:txLinClrLst/>
    <dgm:txFillClrLst/>
    <dgm:txEffectClrLst/>
  </dgm:styleLbl>
  <dgm:styleLbl name="parChTrans2D2">
    <dgm:fillClrLst meth="repeat">
      <a:schemeClr val="accent1"/>
    </dgm:fillClrLst>
    <dgm:linClrLst meth="repeat">
      <a:schemeClr val="accent1"/>
    </dgm:linClrLst>
    <dgm:effectClrLst/>
    <dgm:txLinClrLst/>
    <dgm:txFillClrLst/>
    <dgm:txEffectClrLst/>
  </dgm:styleLbl>
  <dgm:styleLbl name="parChTrans2D3">
    <dgm:fillClrLst meth="repeat">
      <a:schemeClr val="accent1"/>
    </dgm:fillClrLst>
    <dgm:linClrLst meth="repeat">
      <a:schemeClr val="accent1"/>
    </dgm:linClrLst>
    <dgm:effectClrLst/>
    <dgm:txLinClrLst/>
    <dgm:txFillClrLst/>
    <dgm:txEffectClrLst/>
  </dgm:styleLbl>
  <dgm:styleLbl name="parChTrans2D4">
    <dgm:fillClrLst meth="repeat">
      <a:schemeClr val="accent1"/>
    </dgm:fillClrLst>
    <dgm:linClrLst meth="repeat">
      <a:schemeClr val="accent1"/>
    </dgm:linClrLst>
    <dgm:effectClrLst/>
    <dgm:txLinClrLst/>
    <dgm:txFillClrLst meth="repeat">
      <a:schemeClr val="lt1"/>
    </dgm:txFillClrLst>
    <dgm:txEffectClrLst/>
  </dgm:styleLbl>
  <dgm:styleLbl name="parChTrans1D1">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2">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3">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parChTrans1D4">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fgAcc1">
    <dgm:fillClrLst meth="repeat">
      <a:schemeClr val="accent1">
        <a:alpha val="90000"/>
        <a:tint val="40000"/>
      </a:schemeClr>
    </dgm:fillClrLst>
    <dgm:linClrLst meth="repeat">
      <a:schemeClr val="accent1"/>
    </dgm:linClrLst>
    <dgm:effectClrLst/>
    <dgm:txLinClrLst/>
    <dgm:txFillClrLst meth="repeat">
      <a:schemeClr val="dk1"/>
    </dgm:txFillClrLst>
    <dgm:txEffectClrLst/>
  </dgm:styleLbl>
  <dgm:styleLbl name="conFgAcc1">
    <dgm:fillClrLst meth="repeat">
      <a:schemeClr val="accent1">
        <a:alpha val="90000"/>
        <a:tint val="40000"/>
      </a:schemeClr>
    </dgm:fillClrLst>
    <dgm:linClrLst meth="repeat">
      <a:schemeClr val="accent1"/>
    </dgm:linClrLst>
    <dgm:effectClrLst/>
    <dgm:txLinClrLst/>
    <dgm:txFillClrLst meth="repeat">
      <a:schemeClr val="dk1"/>
    </dgm:txFillClrLst>
    <dgm:txEffectClrLst/>
  </dgm:styleLbl>
  <dgm:styleLbl name="alignAcc1">
    <dgm:fillClrLst meth="repeat">
      <a:schemeClr val="accent1">
        <a:alpha val="90000"/>
        <a:tint val="40000"/>
      </a:schemeClr>
    </dgm:fillClrLst>
    <dgm:linClrLst meth="repeat">
      <a:schemeClr val="accent1"/>
    </dgm:linClrLst>
    <dgm:effectClrLst/>
    <dgm:txLinClrLst/>
    <dgm:txFillClrLst meth="repeat">
      <a:schemeClr val="dk1"/>
    </dgm:txFillClrLst>
    <dgm:txEffectClrLst/>
  </dgm:styleLbl>
  <dgm:styleLbl name="trAlignAcc1">
    <dgm:fillClrLst meth="repeat">
      <a:schemeClr val="accent1">
        <a:alpha val="40000"/>
        <a:tint val="40000"/>
      </a:schemeClr>
    </dgm:fillClrLst>
    <dgm:linClrLst meth="repeat">
      <a:schemeClr val="accent1"/>
    </dgm:linClrLst>
    <dgm:effectClrLst/>
    <dgm:txLinClrLst/>
    <dgm:txFillClrLst meth="repeat">
      <a:schemeClr val="dk1"/>
    </dgm:txFillClrLst>
    <dgm:txEffectClrLst/>
  </dgm:styleLbl>
  <dgm:styleLbl name="bgAcc1">
    <dgm:fillClrLst meth="repeat">
      <a:schemeClr val="accent1">
        <a:alpha val="90000"/>
        <a:tint val="40000"/>
      </a:schemeClr>
    </dgm:fillClrLst>
    <dgm:linClrLst meth="repeat">
      <a:schemeClr val="accent1"/>
    </dgm:linClrLst>
    <dgm:effectClrLst/>
    <dgm:txLinClrLst/>
    <dgm:txFillClrLst meth="repeat">
      <a:schemeClr val="dk1"/>
    </dgm:txFillClrLst>
    <dgm:txEffectClrLst/>
  </dgm:styleLbl>
  <dgm:styleLbl name="solidFgAcc1">
    <dgm:fillClrLst meth="repeat">
      <a:schemeClr val="lt1"/>
    </dgm:fillClrLst>
    <dgm:linClrLst meth="repeat">
      <a:schemeClr val="accent1"/>
    </dgm:linClrLst>
    <dgm:effectClrLst/>
    <dgm:txLinClrLst/>
    <dgm:txFillClrLst meth="repeat">
      <a:schemeClr val="dk1"/>
    </dgm:txFillClrLst>
    <dgm:txEffectClrLst/>
  </dgm:styleLbl>
  <dgm:styleLbl name="solidAlignAcc1">
    <dgm:fillClrLst meth="repeat">
      <a:schemeClr val="lt1"/>
    </dgm:fillClrLst>
    <dgm:linClrLst meth="repeat">
      <a:schemeClr val="accent1"/>
    </dgm:linClrLst>
    <dgm:effectClrLst/>
    <dgm:txLinClrLst/>
    <dgm:txFillClrLst meth="repeat">
      <a:schemeClr val="dk1"/>
    </dgm:txFillClrLst>
    <dgm:txEffectClrLst/>
  </dgm:styleLbl>
  <dgm:styleLbl name="solidBgAcc1">
    <dgm:fillClrLst meth="repeat">
      <a:schemeClr val="lt1"/>
    </dgm:fillClrLst>
    <dgm:linClrLst meth="repeat">
      <a:schemeClr val="accent1"/>
    </dgm:linClrLst>
    <dgm:effectClrLst/>
    <dgm:txLinClrLst/>
    <dgm:txFillClrLst meth="repeat">
      <a:schemeClr val="dk1"/>
    </dgm:txFillClrLst>
    <dgm:txEffectClrLst/>
  </dgm:styleLbl>
  <dgm:styleLbl name="fgAccFollowNode1">
    <dgm:fillClrLst meth="repeat">
      <a:schemeClr val="lt1">
        <a:alpha val="90000"/>
        <a:tint val="40000"/>
      </a:schemeClr>
    </dgm:fillClrLst>
    <dgm:linClrLst meth="repeat">
      <a:schemeClr val="accent1">
        <a:alpha val="90000"/>
      </a:schemeClr>
    </dgm:linClrLst>
    <dgm:effectClrLst/>
    <dgm:txLinClrLst/>
    <dgm:txFillClrLst meth="repeat">
      <a:schemeClr val="dk1"/>
    </dgm:txFillClrLst>
    <dgm:txEffectClrLst/>
  </dgm:styleLbl>
  <dgm:styleLbl name="alignAccFollowNode1">
    <dgm:fillClrLst meth="repeat">
      <a:schemeClr val="lt1">
        <a:alpha val="90000"/>
        <a:tint val="40000"/>
      </a:schemeClr>
    </dgm:fillClrLst>
    <dgm:linClrLst meth="repeat">
      <a:schemeClr val="accent1">
        <a:alpha val="90000"/>
      </a:schemeClr>
    </dgm:linClrLst>
    <dgm:effectClrLst/>
    <dgm:txLinClrLst/>
    <dgm:txFillClrLst meth="repeat">
      <a:schemeClr val="dk1"/>
    </dgm:txFillClrLst>
    <dgm:txEffectClrLst/>
  </dgm:styleLbl>
  <dgm:styleLbl name="bgAccFollowNode1">
    <dgm:fillClrLst meth="repeat">
      <a:schemeClr val="lt1">
        <a:alpha val="90000"/>
        <a:tint val="40000"/>
      </a:schemeClr>
    </dgm:fillClrLst>
    <dgm:linClrLst meth="repeat">
      <a:schemeClr val="accent1">
        <a:alpha val="90000"/>
      </a:schemeClr>
    </dgm:linClrLst>
    <dgm:effectClrLst/>
    <dgm:txLinClrLst/>
    <dgm:txFillClrLst meth="repeat">
      <a:schemeClr val="dk1"/>
    </dgm:txFillClrLst>
    <dgm:txEffectClrLst/>
  </dgm:styleLbl>
  <dgm:styleLbl name="fgAcc0">
    <dgm:fillClrLst meth="repeat">
      <a:schemeClr val="accent1">
        <a:alpha val="90000"/>
        <a:tint val="40000"/>
      </a:schemeClr>
    </dgm:fillClrLst>
    <dgm:linClrLst meth="repeat">
      <a:schemeClr val="accent1"/>
    </dgm:linClrLst>
    <dgm:effectClrLst/>
    <dgm:txLinClrLst/>
    <dgm:txFillClrLst meth="repeat">
      <a:schemeClr val="dk1"/>
    </dgm:txFillClrLst>
    <dgm:txEffectClrLst/>
  </dgm:styleLbl>
  <dgm:styleLbl name="fgAcc2">
    <dgm:fillClrLst meth="repeat">
      <a:schemeClr val="accent1">
        <a:alpha val="90000"/>
        <a:tint val="40000"/>
      </a:schemeClr>
    </dgm:fillClrLst>
    <dgm:linClrLst meth="repeat">
      <a:schemeClr val="accent1"/>
    </dgm:linClrLst>
    <dgm:effectClrLst/>
    <dgm:txLinClrLst/>
    <dgm:txFillClrLst meth="repeat">
      <a:schemeClr val="dk1"/>
    </dgm:txFillClrLst>
    <dgm:txEffectClrLst/>
  </dgm:styleLbl>
  <dgm:styleLbl name="fgAcc3">
    <dgm:fillClrLst meth="repeat">
      <a:schemeClr val="accent1">
        <a:alpha val="90000"/>
        <a:tint val="40000"/>
      </a:schemeClr>
    </dgm:fillClrLst>
    <dgm:linClrLst meth="repeat">
      <a:schemeClr val="accent1"/>
    </dgm:linClrLst>
    <dgm:effectClrLst/>
    <dgm:txLinClrLst/>
    <dgm:txFillClrLst meth="repeat">
      <a:schemeClr val="dk1"/>
    </dgm:txFillClrLst>
    <dgm:txEffectClrLst/>
  </dgm:styleLbl>
  <dgm:styleLbl name="fgAcc4">
    <dgm:fillClrLst meth="repeat">
      <a:schemeClr val="accent1">
        <a:alpha val="90000"/>
        <a:tint val="40000"/>
      </a:schemeClr>
    </dgm:fillClrLst>
    <dgm:linClrLst meth="repeat">
      <a:schemeClr val="accent1"/>
    </dgm:linClrLst>
    <dgm:effectClrLst/>
    <dgm:txLinClrLst/>
    <dgm:txFillClrLst meth="repeat">
      <a:schemeClr val="dk1"/>
    </dgm:txFillClrLst>
    <dgm:txEffectClrLst/>
  </dgm:styleLbl>
  <dgm:styleLbl name="bgShp">
    <dgm:fillClrLst meth="repeat">
      <a:schemeClr val="accent1">
        <a:tint val="40000"/>
      </a:schemeClr>
    </dgm:fillClrLst>
    <dgm:linClrLst meth="repeat">
      <a:schemeClr val="accent1"/>
    </dgm:linClrLst>
    <dgm:effectClrLst/>
    <dgm:txLinClrLst/>
    <dgm:txFillClrLst meth="repeat">
      <a:schemeClr val="dk1"/>
    </dgm:txFillClrLst>
    <dgm:txEffectClrLst/>
  </dgm:styleLbl>
  <dgm:styleLbl name="dkBgShp">
    <dgm:fillClrLst meth="repeat">
      <a:schemeClr val="accent1">
        <a:shade val="80000"/>
      </a:schemeClr>
    </dgm:fillClrLst>
    <dgm:linClrLst meth="repeat">
      <a:schemeClr val="accent1"/>
    </dgm:linClrLst>
    <dgm:effectClrLst/>
    <dgm:txLinClrLst/>
    <dgm:txFillClrLst meth="repeat">
      <a:schemeClr val="lt1"/>
    </dgm:txFillClrLst>
    <dgm:txEffectClrLst/>
  </dgm:styleLbl>
  <dgm:styleLbl name="trBgShp">
    <dgm:fillClrLst meth="repeat">
      <a:schemeClr val="accent1">
        <a:tint val="50000"/>
        <a:alpha val="40000"/>
      </a:schemeClr>
    </dgm:fillClrLst>
    <dgm:linClrLst meth="repeat">
      <a:schemeClr val="accent1"/>
    </dgm:linClrLst>
    <dgm:effectClrLst/>
    <dgm:txLinClrLst/>
    <dgm:txFillClrLst meth="repeat">
      <a:schemeClr val="lt1"/>
    </dgm:txFillClrLst>
    <dgm:txEffectClrLst/>
  </dgm:styleLbl>
  <dgm:styleLbl name="fgShp">
    <dgm:fillClrLst meth="repeat">
      <a:schemeClr val="accent1">
        <a:tint val="6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colors6.xml><?xml version="1.0" encoding="utf-8"?>
<dgm:colorsDef xmlns:dgm="http://schemas.openxmlformats.org/drawingml/2006/diagram" xmlns:a="http://schemas.openxmlformats.org/drawingml/2006/main" uniqueId="urn:microsoft.com/office/officeart/2005/8/colors/accent0_2">
  <dgm:title val=""/>
  <dgm:desc val=""/>
  <dgm:catLst>
    <dgm:cat type="mainScheme" pri="10200"/>
  </dgm:catLst>
  <dgm:styleLbl name="node0">
    <dgm:fillClrLst meth="repeat">
      <a:schemeClr val="lt1"/>
    </dgm:fillClrLst>
    <dgm:linClrLst meth="repeat">
      <a:schemeClr val="dk2">
        <a:shade val="80000"/>
      </a:schemeClr>
    </dgm:linClrLst>
    <dgm:effectClrLst/>
    <dgm:txLinClrLst/>
    <dgm:txFillClrLst meth="repeat">
      <a:schemeClr val="dk2"/>
    </dgm:txFillClrLst>
    <dgm:txEffectClrLst/>
  </dgm:styleLbl>
  <dgm:styleLbl name="node1">
    <dgm:fillClrLst meth="repeat">
      <a:schemeClr val="lt1"/>
    </dgm:fillClrLst>
    <dgm:linClrLst meth="repeat">
      <a:schemeClr val="dk2">
        <a:shade val="80000"/>
      </a:schemeClr>
    </dgm:linClrLst>
    <dgm:effectClrLst/>
    <dgm:txLinClrLst/>
    <dgm:txFillClrLst meth="repeat">
      <a:schemeClr val="dk2"/>
    </dgm:txFillClrLst>
    <dgm:txEffectClrLst/>
  </dgm:styleLbl>
  <dgm:styleLbl name="alignNode1">
    <dgm:fillClrLst meth="repeat">
      <a:schemeClr val="lt1"/>
    </dgm:fillClrLst>
    <dgm:linClrLst meth="repeat">
      <a:schemeClr val="dk2">
        <a:shade val="80000"/>
      </a:schemeClr>
    </dgm:linClrLst>
    <dgm:effectClrLst/>
    <dgm:txLinClrLst/>
    <dgm:txFillClrLst meth="repeat">
      <a:schemeClr val="dk2"/>
    </dgm:txFillClrLst>
    <dgm:txEffectClrLst/>
  </dgm:styleLbl>
  <dgm:styleLbl name="lnNode1">
    <dgm:fillClrLst meth="repeat">
      <a:schemeClr val="lt1"/>
    </dgm:fillClrLst>
    <dgm:linClrLst meth="repeat">
      <a:schemeClr val="dk2">
        <a:shade val="80000"/>
      </a:schemeClr>
    </dgm:linClrLst>
    <dgm:effectClrLst/>
    <dgm:txLinClrLst/>
    <dgm:txFillClrLst meth="repeat">
      <a:schemeClr val="dk2"/>
    </dgm:txFillClrLst>
    <dgm:txEffectClrLst/>
  </dgm:styleLbl>
  <dgm:styleLbl name="vennNode1">
    <dgm:fillClrLst meth="repeat">
      <a:schemeClr val="lt1">
        <a:alpha val="50000"/>
      </a:schemeClr>
    </dgm:fillClrLst>
    <dgm:linClrLst meth="repeat">
      <a:schemeClr val="dk2">
        <a:shade val="80000"/>
      </a:schemeClr>
    </dgm:linClrLst>
    <dgm:effectClrLst/>
    <dgm:txLinClrLst/>
    <dgm:txFillClrLst/>
    <dgm:txEffectClrLst/>
  </dgm:styleLbl>
  <dgm:styleLbl name="node2">
    <dgm:fillClrLst meth="repeat">
      <a:schemeClr val="lt1"/>
    </dgm:fillClrLst>
    <dgm:linClrLst meth="repeat">
      <a:schemeClr val="dk2">
        <a:shade val="80000"/>
      </a:schemeClr>
    </dgm:linClrLst>
    <dgm:effectClrLst/>
    <dgm:txLinClrLst/>
    <dgm:txFillClrLst meth="repeat">
      <a:schemeClr val="dk2"/>
    </dgm:txFillClrLst>
    <dgm:txEffectClrLst/>
  </dgm:styleLbl>
  <dgm:styleLbl name="node3">
    <dgm:fillClrLst meth="repeat">
      <a:schemeClr val="lt1"/>
    </dgm:fillClrLst>
    <dgm:linClrLst meth="repeat">
      <a:schemeClr val="dk2">
        <a:shade val="80000"/>
      </a:schemeClr>
    </dgm:linClrLst>
    <dgm:effectClrLst/>
    <dgm:txLinClrLst/>
    <dgm:txFillClrLst meth="repeat">
      <a:schemeClr val="dk2"/>
    </dgm:txFillClrLst>
    <dgm:txEffectClrLst/>
  </dgm:styleLbl>
  <dgm:styleLbl name="node4">
    <dgm:fillClrLst meth="repeat">
      <a:schemeClr val="lt1"/>
    </dgm:fillClrLst>
    <dgm:linClrLst meth="repeat">
      <a:schemeClr val="dk2">
        <a:shade val="80000"/>
      </a:schemeClr>
    </dgm:linClrLst>
    <dgm:effectClrLst/>
    <dgm:txLinClrLst/>
    <dgm:txFillClrLst meth="repeat">
      <a:schemeClr val="dk2"/>
    </dgm:txFillClrLst>
    <dgm:txEffectClrLst/>
  </dgm:styleLbl>
  <dgm:styleLbl name="fgImgPlace1">
    <dgm:fillClrLst meth="repeat">
      <a:schemeClr val="dk2">
        <a:tint val="40000"/>
      </a:schemeClr>
    </dgm:fillClrLst>
    <dgm:linClrLst meth="repeat">
      <a:schemeClr val="dk2">
        <a:shade val="80000"/>
      </a:schemeClr>
    </dgm:linClrLst>
    <dgm:effectClrLst/>
    <dgm:txLinClrLst/>
    <dgm:txFillClrLst meth="repeat">
      <a:schemeClr val="lt1"/>
    </dgm:txFillClrLst>
    <dgm:txEffectClrLst/>
  </dgm:styleLbl>
  <dgm:styleLbl name="alignImgPlace1">
    <dgm:fillClrLst meth="repeat">
      <a:schemeClr val="dk2">
        <a:tint val="40000"/>
      </a:schemeClr>
    </dgm:fillClrLst>
    <dgm:linClrLst meth="repeat">
      <a:schemeClr val="dk2">
        <a:shade val="80000"/>
      </a:schemeClr>
    </dgm:linClrLst>
    <dgm:effectClrLst/>
    <dgm:txLinClrLst/>
    <dgm:txFillClrLst meth="repeat">
      <a:schemeClr val="lt1"/>
    </dgm:txFillClrLst>
    <dgm:txEffectClrLst/>
  </dgm:styleLbl>
  <dgm:styleLbl name="bgImgPlace1">
    <dgm:fillClrLst meth="repeat">
      <a:schemeClr val="dk2">
        <a:tint val="40000"/>
      </a:schemeClr>
    </dgm:fillClrLst>
    <dgm:linClrLst meth="repeat">
      <a:schemeClr val="dk2">
        <a:shade val="80000"/>
      </a:schemeClr>
    </dgm:linClrLst>
    <dgm:effectClrLst/>
    <dgm:txLinClrLst/>
    <dgm:txFillClrLst meth="repeat">
      <a:schemeClr val="lt1"/>
    </dgm:txFillClrLst>
    <dgm:txEffectClrLst/>
  </dgm:styleLbl>
  <dgm:styleLbl name="sibTrans2D1">
    <dgm:fillClrLst meth="repeat">
      <a:schemeClr val="dk2">
        <a:tint val="60000"/>
      </a:schemeClr>
    </dgm:fillClrLst>
    <dgm:linClrLst meth="repeat">
      <a:schemeClr val="dk2">
        <a:tint val="60000"/>
      </a:schemeClr>
    </dgm:linClrLst>
    <dgm:effectClrLst/>
    <dgm:txLinClrLst/>
    <dgm:txFillClrLst meth="repeat">
      <a:schemeClr val="dk2"/>
    </dgm:txFillClrLst>
    <dgm:txEffectClrLst/>
  </dgm:styleLbl>
  <dgm:styleLbl name="fgSibTrans2D1">
    <dgm:fillClrLst meth="repeat">
      <a:schemeClr val="dk2">
        <a:tint val="60000"/>
      </a:schemeClr>
    </dgm:fillClrLst>
    <dgm:linClrLst meth="repeat">
      <a:schemeClr val="dk2">
        <a:tint val="60000"/>
      </a:schemeClr>
    </dgm:linClrLst>
    <dgm:effectClrLst/>
    <dgm:txLinClrLst/>
    <dgm:txFillClrLst meth="repeat">
      <a:schemeClr val="dk2"/>
    </dgm:txFillClrLst>
    <dgm:txEffectClrLst/>
  </dgm:styleLbl>
  <dgm:styleLbl name="bgSibTrans2D1">
    <dgm:fillClrLst meth="repeat">
      <a:schemeClr val="dk2">
        <a:tint val="60000"/>
      </a:schemeClr>
    </dgm:fillClrLst>
    <dgm:linClrLst meth="repeat">
      <a:schemeClr val="dk2">
        <a:tint val="60000"/>
      </a:schemeClr>
    </dgm:linClrLst>
    <dgm:effectClrLst/>
    <dgm:txLinClrLst/>
    <dgm:txFillClrLst meth="repeat">
      <a:schemeClr val="dk2"/>
    </dgm:txFillClrLst>
    <dgm:txEffectClrLst/>
  </dgm:styleLbl>
  <dgm:styleLbl name="sibTrans1D1">
    <dgm:fillClrLst meth="repeat">
      <a:schemeClr val="dk2"/>
    </dgm:fillClrLst>
    <dgm:linClrLst meth="repeat">
      <a:schemeClr val="dk2"/>
    </dgm:linClrLst>
    <dgm:effectClrLst/>
    <dgm:txLinClrLst/>
    <dgm:txFillClrLst meth="repeat">
      <a:schemeClr val="tx1"/>
    </dgm:txFillClrLst>
    <dgm:txEffectClrLst/>
  </dgm:styleLbl>
  <dgm:styleLbl name="callout">
    <dgm:fillClrLst meth="repeat">
      <a:schemeClr val="dk2"/>
    </dgm:fillClrLst>
    <dgm:linClrLst meth="repeat">
      <a:schemeClr val="dk2"/>
    </dgm:linClrLst>
    <dgm:effectClrLst/>
    <dgm:txLinClrLst/>
    <dgm:txFillClrLst meth="repeat">
      <a:schemeClr val="tx1"/>
    </dgm:txFillClrLst>
    <dgm:txEffectClrLst/>
  </dgm:styleLbl>
  <dgm:styleLbl name="asst0">
    <dgm:fillClrLst meth="repeat">
      <a:schemeClr val="lt1"/>
    </dgm:fillClrLst>
    <dgm:linClrLst meth="repeat">
      <a:schemeClr val="dk2">
        <a:shade val="80000"/>
      </a:schemeClr>
    </dgm:linClrLst>
    <dgm:effectClrLst/>
    <dgm:txLinClrLst/>
    <dgm:txFillClrLst meth="repeat">
      <a:schemeClr val="dk2"/>
    </dgm:txFillClrLst>
    <dgm:txEffectClrLst/>
  </dgm:styleLbl>
  <dgm:styleLbl name="asst1">
    <dgm:fillClrLst meth="repeat">
      <a:schemeClr val="lt1"/>
    </dgm:fillClrLst>
    <dgm:linClrLst meth="repeat">
      <a:schemeClr val="dk2">
        <a:shade val="80000"/>
      </a:schemeClr>
    </dgm:linClrLst>
    <dgm:effectClrLst/>
    <dgm:txLinClrLst/>
    <dgm:txFillClrLst meth="repeat">
      <a:schemeClr val="dk2"/>
    </dgm:txFillClrLst>
    <dgm:txEffectClrLst/>
  </dgm:styleLbl>
  <dgm:styleLbl name="asst2">
    <dgm:fillClrLst meth="repeat">
      <a:schemeClr val="lt1"/>
    </dgm:fillClrLst>
    <dgm:linClrLst meth="repeat">
      <a:schemeClr val="dk2">
        <a:shade val="80000"/>
      </a:schemeClr>
    </dgm:linClrLst>
    <dgm:effectClrLst/>
    <dgm:txLinClrLst/>
    <dgm:txFillClrLst meth="repeat">
      <a:schemeClr val="dk2"/>
    </dgm:txFillClrLst>
    <dgm:txEffectClrLst/>
  </dgm:styleLbl>
  <dgm:styleLbl name="asst3">
    <dgm:fillClrLst meth="repeat">
      <a:schemeClr val="lt1"/>
    </dgm:fillClrLst>
    <dgm:linClrLst meth="repeat">
      <a:schemeClr val="dk2">
        <a:shade val="80000"/>
      </a:schemeClr>
    </dgm:linClrLst>
    <dgm:effectClrLst/>
    <dgm:txLinClrLst/>
    <dgm:txFillClrLst meth="repeat">
      <a:schemeClr val="dk2"/>
    </dgm:txFillClrLst>
    <dgm:txEffectClrLst/>
  </dgm:styleLbl>
  <dgm:styleLbl name="asst4">
    <dgm:fillClrLst meth="repeat">
      <a:schemeClr val="lt1"/>
    </dgm:fillClrLst>
    <dgm:linClrLst meth="repeat">
      <a:schemeClr val="dk2">
        <a:shade val="80000"/>
      </a:schemeClr>
    </dgm:linClrLst>
    <dgm:effectClrLst/>
    <dgm:txLinClrLst/>
    <dgm:txFillClrLst meth="repeat">
      <a:schemeClr val="dk2"/>
    </dgm:txFillClrLst>
    <dgm:txEffectClrLst/>
  </dgm:styleLbl>
  <dgm:styleLbl name="parChTrans2D1">
    <dgm:fillClrLst meth="repeat">
      <a:schemeClr val="dk2">
        <a:tint val="60000"/>
      </a:schemeClr>
    </dgm:fillClrLst>
    <dgm:linClrLst meth="repeat">
      <a:schemeClr val="dk2">
        <a:tint val="60000"/>
      </a:schemeClr>
    </dgm:linClrLst>
    <dgm:effectClrLst/>
    <dgm:txLinClrLst/>
    <dgm:txFillClrLst/>
    <dgm:txEffectClrLst/>
  </dgm:styleLbl>
  <dgm:styleLbl name="parChTrans2D2">
    <dgm:fillClrLst meth="repeat">
      <a:schemeClr val="dk2"/>
    </dgm:fillClrLst>
    <dgm:linClrLst meth="repeat">
      <a:schemeClr val="dk2"/>
    </dgm:linClrLst>
    <dgm:effectClrLst/>
    <dgm:txLinClrLst/>
    <dgm:txFillClrLst/>
    <dgm:txEffectClrLst/>
  </dgm:styleLbl>
  <dgm:styleLbl name="parChTrans2D3">
    <dgm:fillClrLst meth="repeat">
      <a:schemeClr val="dk2"/>
    </dgm:fillClrLst>
    <dgm:linClrLst meth="repeat">
      <a:schemeClr val="dk2"/>
    </dgm:linClrLst>
    <dgm:effectClrLst/>
    <dgm:txLinClrLst/>
    <dgm:txFillClrLst/>
    <dgm:txEffectClrLst/>
  </dgm:styleLbl>
  <dgm:styleLbl name="parChTrans2D4">
    <dgm:fillClrLst meth="repeat">
      <a:schemeClr val="dk2"/>
    </dgm:fillClrLst>
    <dgm:linClrLst meth="repeat">
      <a:schemeClr val="dk2"/>
    </dgm:linClrLst>
    <dgm:effectClrLst/>
    <dgm:txLinClrLst/>
    <dgm:txFillClrLst meth="repeat">
      <a:schemeClr val="lt1"/>
    </dgm:txFillClrLst>
    <dgm:txEffectClrLst/>
  </dgm:styleLbl>
  <dgm:styleLbl name="parChTrans1D1">
    <dgm:fillClrLst meth="repeat">
      <a:schemeClr val="dk2"/>
    </dgm:fillClrLst>
    <dgm:linClrLst meth="repeat">
      <a:schemeClr val="dk2">
        <a:shade val="60000"/>
      </a:schemeClr>
    </dgm:linClrLst>
    <dgm:effectClrLst/>
    <dgm:txLinClrLst/>
    <dgm:txFillClrLst meth="repeat">
      <a:schemeClr val="tx1"/>
    </dgm:txFillClrLst>
    <dgm:txEffectClrLst/>
  </dgm:styleLbl>
  <dgm:styleLbl name="parChTrans1D2">
    <dgm:fillClrLst meth="repeat">
      <a:schemeClr val="dk2"/>
    </dgm:fillClrLst>
    <dgm:linClrLst meth="repeat">
      <a:schemeClr val="dk2">
        <a:shade val="60000"/>
      </a:schemeClr>
    </dgm:linClrLst>
    <dgm:effectClrLst/>
    <dgm:txLinClrLst/>
    <dgm:txFillClrLst meth="repeat">
      <a:schemeClr val="tx1"/>
    </dgm:txFillClrLst>
    <dgm:txEffectClrLst/>
  </dgm:styleLbl>
  <dgm:styleLbl name="parChTrans1D3">
    <dgm:fillClrLst meth="repeat">
      <a:schemeClr val="dk2"/>
    </dgm:fillClrLst>
    <dgm:linClrLst meth="repeat">
      <a:schemeClr val="dk2">
        <a:shade val="80000"/>
      </a:schemeClr>
    </dgm:linClrLst>
    <dgm:effectClrLst/>
    <dgm:txLinClrLst/>
    <dgm:txFillClrLst meth="repeat">
      <a:schemeClr val="tx1"/>
    </dgm:txFillClrLst>
    <dgm:txEffectClrLst/>
  </dgm:styleLbl>
  <dgm:styleLbl name="parChTrans1D4">
    <dgm:fillClrLst meth="repeat">
      <a:schemeClr val="dk2"/>
    </dgm:fillClrLst>
    <dgm:linClrLst meth="repeat">
      <a:schemeClr val="dk2">
        <a:shade val="80000"/>
      </a:schemeClr>
    </dgm:linClrLst>
    <dgm:effectClrLst/>
    <dgm:txLinClrLst/>
    <dgm:txFillClrLst meth="repeat">
      <a:schemeClr val="tx1"/>
    </dgm:txFillClrLst>
    <dgm:txEffectClrLst/>
  </dgm:styleLbl>
  <dgm:styleLbl name="fgAcc1">
    <dgm:fillClrLst meth="repeat">
      <a:schemeClr val="dk2">
        <a:alpha val="90000"/>
        <a:tint val="40000"/>
      </a:schemeClr>
    </dgm:fillClrLst>
    <dgm:linClrLst meth="repeat">
      <a:schemeClr val="dk2"/>
    </dgm:linClrLst>
    <dgm:effectClrLst/>
    <dgm:txLinClrLst/>
    <dgm:txFillClrLst meth="repeat">
      <a:schemeClr val="dk2"/>
    </dgm:txFillClrLst>
    <dgm:txEffectClrLst/>
  </dgm:styleLbl>
  <dgm:styleLbl name="conFgAcc1">
    <dgm:fillClrLst meth="repeat">
      <a:schemeClr val="dk2">
        <a:alpha val="90000"/>
        <a:tint val="40000"/>
      </a:schemeClr>
    </dgm:fillClrLst>
    <dgm:linClrLst meth="repeat">
      <a:schemeClr val="dk2"/>
    </dgm:linClrLst>
    <dgm:effectClrLst/>
    <dgm:txLinClrLst/>
    <dgm:txFillClrLst meth="repeat">
      <a:schemeClr val="dk2"/>
    </dgm:txFillClrLst>
    <dgm:txEffectClrLst/>
  </dgm:styleLbl>
  <dgm:styleLbl name="alignAcc1">
    <dgm:fillClrLst meth="repeat">
      <a:schemeClr val="dk2">
        <a:alpha val="90000"/>
        <a:tint val="40000"/>
      </a:schemeClr>
    </dgm:fillClrLst>
    <dgm:linClrLst meth="repeat">
      <a:schemeClr val="dk2"/>
    </dgm:linClrLst>
    <dgm:effectClrLst/>
    <dgm:txLinClrLst/>
    <dgm:txFillClrLst meth="repeat">
      <a:schemeClr val="dk2"/>
    </dgm:txFillClrLst>
    <dgm:txEffectClrLst/>
  </dgm:styleLbl>
  <dgm:styleLbl name="trAlignAcc1">
    <dgm:fillClrLst meth="repeat">
      <a:schemeClr val="dk2">
        <a:alpha val="40000"/>
        <a:tint val="40000"/>
      </a:schemeClr>
    </dgm:fillClrLst>
    <dgm:linClrLst meth="repeat">
      <a:schemeClr val="dk2"/>
    </dgm:linClrLst>
    <dgm:effectClrLst/>
    <dgm:txLinClrLst/>
    <dgm:txFillClrLst meth="repeat">
      <a:schemeClr val="dk2"/>
    </dgm:txFillClrLst>
    <dgm:txEffectClrLst/>
  </dgm:styleLbl>
  <dgm:styleLbl name="bgAcc1">
    <dgm:fillClrLst meth="repeat">
      <a:schemeClr val="dk2">
        <a:alpha val="90000"/>
        <a:tint val="40000"/>
      </a:schemeClr>
    </dgm:fillClrLst>
    <dgm:linClrLst meth="repeat">
      <a:schemeClr val="dk2"/>
    </dgm:linClrLst>
    <dgm:effectClrLst/>
    <dgm:txLinClrLst/>
    <dgm:txFillClrLst meth="repeat">
      <a:schemeClr val="dk2"/>
    </dgm:txFillClrLst>
    <dgm:txEffectClrLst/>
  </dgm:styleLbl>
  <dgm:styleLbl name="solidFgAcc1">
    <dgm:fillClrLst meth="repeat">
      <a:schemeClr val="lt1"/>
    </dgm:fillClrLst>
    <dgm:linClrLst meth="repeat">
      <a:schemeClr val="dk2"/>
    </dgm:linClrLst>
    <dgm:effectClrLst/>
    <dgm:txLinClrLst/>
    <dgm:txFillClrLst meth="repeat">
      <a:schemeClr val="dk2"/>
    </dgm:txFillClrLst>
    <dgm:txEffectClrLst/>
  </dgm:styleLbl>
  <dgm:styleLbl name="solidAlignAcc1">
    <dgm:fillClrLst meth="repeat">
      <a:schemeClr val="lt1"/>
    </dgm:fillClrLst>
    <dgm:linClrLst meth="repeat">
      <a:schemeClr val="dk2"/>
    </dgm:linClrLst>
    <dgm:effectClrLst/>
    <dgm:txLinClrLst/>
    <dgm:txFillClrLst meth="repeat">
      <a:schemeClr val="dk2"/>
    </dgm:txFillClrLst>
    <dgm:txEffectClrLst/>
  </dgm:styleLbl>
  <dgm:styleLbl name="solidBgAcc1">
    <dgm:fillClrLst meth="repeat">
      <a:schemeClr val="lt1"/>
    </dgm:fillClrLst>
    <dgm:linClrLst meth="repeat">
      <a:schemeClr val="dk2"/>
    </dgm:linClrLst>
    <dgm:effectClrLst/>
    <dgm:txLinClrLst/>
    <dgm:txFillClrLst meth="repeat">
      <a:schemeClr val="dk2"/>
    </dgm:txFillClrLst>
    <dgm:txEffectClrLst/>
  </dgm:styleLbl>
  <dgm:styleLbl name="fgAccFollowNode1">
    <dgm:fillClrLst meth="repeat">
      <a:schemeClr val="lt1">
        <a:alpha val="90000"/>
        <a:tint val="40000"/>
      </a:schemeClr>
    </dgm:fillClrLst>
    <dgm:linClrLst meth="repeat">
      <a:schemeClr val="dk2">
        <a:alpha val="90000"/>
      </a:schemeClr>
    </dgm:linClrLst>
    <dgm:effectClrLst/>
    <dgm:txLinClrLst/>
    <dgm:txFillClrLst meth="repeat">
      <a:schemeClr val="dk2"/>
    </dgm:txFillClrLst>
    <dgm:txEffectClrLst/>
  </dgm:styleLbl>
  <dgm:styleLbl name="alignAccFollowNode1">
    <dgm:fillClrLst meth="repeat">
      <a:schemeClr val="lt1">
        <a:alpha val="90000"/>
        <a:tint val="40000"/>
      </a:schemeClr>
    </dgm:fillClrLst>
    <dgm:linClrLst meth="repeat">
      <a:schemeClr val="dk2">
        <a:alpha val="90000"/>
      </a:schemeClr>
    </dgm:linClrLst>
    <dgm:effectClrLst/>
    <dgm:txLinClrLst/>
    <dgm:txFillClrLst meth="repeat">
      <a:schemeClr val="dk2"/>
    </dgm:txFillClrLst>
    <dgm:txEffectClrLst/>
  </dgm:styleLbl>
  <dgm:styleLbl name="bgAccFollowNode1">
    <dgm:fillClrLst meth="repeat">
      <a:schemeClr val="lt1">
        <a:alpha val="90000"/>
        <a:tint val="40000"/>
      </a:schemeClr>
    </dgm:fillClrLst>
    <dgm:linClrLst meth="repeat">
      <a:schemeClr val="dk2">
        <a:alpha val="90000"/>
      </a:schemeClr>
    </dgm:linClrLst>
    <dgm:effectClrLst/>
    <dgm:txLinClrLst/>
    <dgm:txFillClrLst meth="repeat">
      <a:schemeClr val="dk2"/>
    </dgm:txFillClrLst>
    <dgm:txEffectClrLst/>
  </dgm:styleLbl>
  <dgm:styleLbl name="fgAcc0">
    <dgm:fillClrLst meth="repeat">
      <a:schemeClr val="dk2">
        <a:alpha val="90000"/>
        <a:tint val="40000"/>
      </a:schemeClr>
    </dgm:fillClrLst>
    <dgm:linClrLst meth="repeat">
      <a:schemeClr val="dk2"/>
    </dgm:linClrLst>
    <dgm:effectClrLst/>
    <dgm:txLinClrLst/>
    <dgm:txFillClrLst meth="repeat">
      <a:schemeClr val="dk2"/>
    </dgm:txFillClrLst>
    <dgm:txEffectClrLst/>
  </dgm:styleLbl>
  <dgm:styleLbl name="fgAcc2">
    <dgm:fillClrLst meth="repeat">
      <a:schemeClr val="dk2">
        <a:alpha val="90000"/>
        <a:tint val="40000"/>
      </a:schemeClr>
    </dgm:fillClrLst>
    <dgm:linClrLst meth="repeat">
      <a:schemeClr val="dk2"/>
    </dgm:linClrLst>
    <dgm:effectClrLst/>
    <dgm:txLinClrLst/>
    <dgm:txFillClrLst meth="repeat">
      <a:schemeClr val="dk2"/>
    </dgm:txFillClrLst>
    <dgm:txEffectClrLst/>
  </dgm:styleLbl>
  <dgm:styleLbl name="fgAcc3">
    <dgm:fillClrLst meth="repeat">
      <a:schemeClr val="dk2">
        <a:alpha val="90000"/>
        <a:tint val="40000"/>
      </a:schemeClr>
    </dgm:fillClrLst>
    <dgm:linClrLst meth="repeat">
      <a:schemeClr val="dk2"/>
    </dgm:linClrLst>
    <dgm:effectClrLst/>
    <dgm:txLinClrLst/>
    <dgm:txFillClrLst meth="repeat">
      <a:schemeClr val="dk2"/>
    </dgm:txFillClrLst>
    <dgm:txEffectClrLst/>
  </dgm:styleLbl>
  <dgm:styleLbl name="fgAcc4">
    <dgm:fillClrLst meth="repeat">
      <a:schemeClr val="dk2">
        <a:alpha val="90000"/>
        <a:tint val="40000"/>
      </a:schemeClr>
    </dgm:fillClrLst>
    <dgm:linClrLst meth="repeat">
      <a:schemeClr val="dk2"/>
    </dgm:linClrLst>
    <dgm:effectClrLst/>
    <dgm:txLinClrLst/>
    <dgm:txFillClrLst meth="repeat">
      <a:schemeClr val="dk2"/>
    </dgm:txFillClrLst>
    <dgm:txEffectClrLst/>
  </dgm:styleLbl>
  <dgm:styleLbl name="bgShp">
    <dgm:fillClrLst meth="repeat">
      <a:schemeClr val="dk2">
        <a:tint val="40000"/>
      </a:schemeClr>
    </dgm:fillClrLst>
    <dgm:linClrLst meth="repeat">
      <a:schemeClr val="dk2"/>
    </dgm:linClrLst>
    <dgm:effectClrLst/>
    <dgm:txLinClrLst/>
    <dgm:txFillClrLst meth="repeat">
      <a:schemeClr val="dk1"/>
    </dgm:txFillClrLst>
    <dgm:txEffectClrLst/>
  </dgm:styleLbl>
  <dgm:styleLbl name="dkBgShp">
    <dgm:fillClrLst meth="repeat">
      <a:schemeClr val="dk2">
        <a:shade val="80000"/>
      </a:schemeClr>
    </dgm:fillClrLst>
    <dgm:linClrLst meth="repeat">
      <a:schemeClr val="dk2"/>
    </dgm:linClrLst>
    <dgm:effectClrLst/>
    <dgm:txLinClrLst/>
    <dgm:txFillClrLst meth="repeat">
      <a:schemeClr val="lt2"/>
    </dgm:txFillClrLst>
    <dgm:txEffectClrLst/>
  </dgm:styleLbl>
  <dgm:styleLbl name="trBgShp">
    <dgm:fillClrLst meth="repeat">
      <a:schemeClr val="dk2">
        <a:tint val="50000"/>
        <a:alpha val="40000"/>
      </a:schemeClr>
    </dgm:fillClrLst>
    <dgm:linClrLst meth="repeat">
      <a:schemeClr val="dk2"/>
    </dgm:linClrLst>
    <dgm:effectClrLst/>
    <dgm:txLinClrLst/>
    <dgm:txFillClrLst meth="repeat">
      <a:schemeClr val="lt2"/>
    </dgm:txFillClrLst>
    <dgm:txEffectClrLst/>
  </dgm:styleLbl>
  <dgm:styleLbl name="fgShp">
    <dgm:fillClrLst meth="repeat">
      <a:schemeClr val="dk2">
        <a:tint val="60000"/>
      </a:schemeClr>
    </dgm:fillClrLst>
    <dgm:linClrLst meth="repeat">
      <a:schemeClr val="lt1"/>
    </dgm:linClrLst>
    <dgm:effectClrLst/>
    <dgm:txLinClrLst/>
    <dgm:txFillClrLst meth="repeat">
      <a:schemeClr val="dk2"/>
    </dgm:txFillClrLst>
    <dgm:txEffectClrLst/>
  </dgm:styleLbl>
  <dgm:styleLbl name="revTx">
    <dgm:fillClrLst meth="repeat">
      <a:schemeClr val="lt1">
        <a:alpha val="0"/>
      </a:schemeClr>
    </dgm:fillClrLst>
    <dgm:linClrLst meth="repeat">
      <a:schemeClr val="dk2">
        <a:alpha val="0"/>
      </a:schemeClr>
    </dgm:linClrLst>
    <dgm:effectClrLst/>
    <dgm:txLinClrLst/>
    <dgm:txFillClrLst meth="repeat">
      <a:schemeClr val="tx1"/>
    </dgm:txFillClrLst>
    <dgm:txEffectClrLst/>
  </dgm:styleLbl>
</dgm:colorsDef>
</file>

<file path=word/diagrams/colors7.xml><?xml version="1.0" encoding="utf-8"?>
<dgm:colorsDef xmlns:dgm="http://schemas.openxmlformats.org/drawingml/2006/diagram" xmlns:a="http://schemas.openxmlformats.org/drawingml/2006/main" uniqueId="urn:microsoft.com/office/officeart/2005/8/colors/accent0_2">
  <dgm:title val=""/>
  <dgm:desc val=""/>
  <dgm:catLst>
    <dgm:cat type="mainScheme" pri="10200"/>
  </dgm:catLst>
  <dgm:styleLbl name="node0">
    <dgm:fillClrLst meth="repeat">
      <a:schemeClr val="lt1"/>
    </dgm:fillClrLst>
    <dgm:linClrLst meth="repeat">
      <a:schemeClr val="dk2">
        <a:shade val="80000"/>
      </a:schemeClr>
    </dgm:linClrLst>
    <dgm:effectClrLst/>
    <dgm:txLinClrLst/>
    <dgm:txFillClrLst meth="repeat">
      <a:schemeClr val="dk2"/>
    </dgm:txFillClrLst>
    <dgm:txEffectClrLst/>
  </dgm:styleLbl>
  <dgm:styleLbl name="node1">
    <dgm:fillClrLst meth="repeat">
      <a:schemeClr val="lt1"/>
    </dgm:fillClrLst>
    <dgm:linClrLst meth="repeat">
      <a:schemeClr val="dk2">
        <a:shade val="80000"/>
      </a:schemeClr>
    </dgm:linClrLst>
    <dgm:effectClrLst/>
    <dgm:txLinClrLst/>
    <dgm:txFillClrLst meth="repeat">
      <a:schemeClr val="dk2"/>
    </dgm:txFillClrLst>
    <dgm:txEffectClrLst/>
  </dgm:styleLbl>
  <dgm:styleLbl name="alignNode1">
    <dgm:fillClrLst meth="repeat">
      <a:schemeClr val="lt1"/>
    </dgm:fillClrLst>
    <dgm:linClrLst meth="repeat">
      <a:schemeClr val="dk2">
        <a:shade val="80000"/>
      </a:schemeClr>
    </dgm:linClrLst>
    <dgm:effectClrLst/>
    <dgm:txLinClrLst/>
    <dgm:txFillClrLst meth="repeat">
      <a:schemeClr val="dk2"/>
    </dgm:txFillClrLst>
    <dgm:txEffectClrLst/>
  </dgm:styleLbl>
  <dgm:styleLbl name="lnNode1">
    <dgm:fillClrLst meth="repeat">
      <a:schemeClr val="lt1"/>
    </dgm:fillClrLst>
    <dgm:linClrLst meth="repeat">
      <a:schemeClr val="dk2">
        <a:shade val="80000"/>
      </a:schemeClr>
    </dgm:linClrLst>
    <dgm:effectClrLst/>
    <dgm:txLinClrLst/>
    <dgm:txFillClrLst meth="repeat">
      <a:schemeClr val="dk2"/>
    </dgm:txFillClrLst>
    <dgm:txEffectClrLst/>
  </dgm:styleLbl>
  <dgm:styleLbl name="vennNode1">
    <dgm:fillClrLst meth="repeat">
      <a:schemeClr val="lt1">
        <a:alpha val="50000"/>
      </a:schemeClr>
    </dgm:fillClrLst>
    <dgm:linClrLst meth="repeat">
      <a:schemeClr val="dk2">
        <a:shade val="80000"/>
      </a:schemeClr>
    </dgm:linClrLst>
    <dgm:effectClrLst/>
    <dgm:txLinClrLst/>
    <dgm:txFillClrLst/>
    <dgm:txEffectClrLst/>
  </dgm:styleLbl>
  <dgm:styleLbl name="node2">
    <dgm:fillClrLst meth="repeat">
      <a:schemeClr val="lt1"/>
    </dgm:fillClrLst>
    <dgm:linClrLst meth="repeat">
      <a:schemeClr val="dk2">
        <a:shade val="80000"/>
      </a:schemeClr>
    </dgm:linClrLst>
    <dgm:effectClrLst/>
    <dgm:txLinClrLst/>
    <dgm:txFillClrLst meth="repeat">
      <a:schemeClr val="dk2"/>
    </dgm:txFillClrLst>
    <dgm:txEffectClrLst/>
  </dgm:styleLbl>
  <dgm:styleLbl name="node3">
    <dgm:fillClrLst meth="repeat">
      <a:schemeClr val="lt1"/>
    </dgm:fillClrLst>
    <dgm:linClrLst meth="repeat">
      <a:schemeClr val="dk2">
        <a:shade val="80000"/>
      </a:schemeClr>
    </dgm:linClrLst>
    <dgm:effectClrLst/>
    <dgm:txLinClrLst/>
    <dgm:txFillClrLst meth="repeat">
      <a:schemeClr val="dk2"/>
    </dgm:txFillClrLst>
    <dgm:txEffectClrLst/>
  </dgm:styleLbl>
  <dgm:styleLbl name="node4">
    <dgm:fillClrLst meth="repeat">
      <a:schemeClr val="lt1"/>
    </dgm:fillClrLst>
    <dgm:linClrLst meth="repeat">
      <a:schemeClr val="dk2">
        <a:shade val="80000"/>
      </a:schemeClr>
    </dgm:linClrLst>
    <dgm:effectClrLst/>
    <dgm:txLinClrLst/>
    <dgm:txFillClrLst meth="repeat">
      <a:schemeClr val="dk2"/>
    </dgm:txFillClrLst>
    <dgm:txEffectClrLst/>
  </dgm:styleLbl>
  <dgm:styleLbl name="fgImgPlace1">
    <dgm:fillClrLst meth="repeat">
      <a:schemeClr val="dk2">
        <a:tint val="40000"/>
      </a:schemeClr>
    </dgm:fillClrLst>
    <dgm:linClrLst meth="repeat">
      <a:schemeClr val="dk2">
        <a:shade val="80000"/>
      </a:schemeClr>
    </dgm:linClrLst>
    <dgm:effectClrLst/>
    <dgm:txLinClrLst/>
    <dgm:txFillClrLst meth="repeat">
      <a:schemeClr val="lt1"/>
    </dgm:txFillClrLst>
    <dgm:txEffectClrLst/>
  </dgm:styleLbl>
  <dgm:styleLbl name="alignImgPlace1">
    <dgm:fillClrLst meth="repeat">
      <a:schemeClr val="dk2">
        <a:tint val="40000"/>
      </a:schemeClr>
    </dgm:fillClrLst>
    <dgm:linClrLst meth="repeat">
      <a:schemeClr val="dk2">
        <a:shade val="80000"/>
      </a:schemeClr>
    </dgm:linClrLst>
    <dgm:effectClrLst/>
    <dgm:txLinClrLst/>
    <dgm:txFillClrLst meth="repeat">
      <a:schemeClr val="lt1"/>
    </dgm:txFillClrLst>
    <dgm:txEffectClrLst/>
  </dgm:styleLbl>
  <dgm:styleLbl name="bgImgPlace1">
    <dgm:fillClrLst meth="repeat">
      <a:schemeClr val="dk2">
        <a:tint val="40000"/>
      </a:schemeClr>
    </dgm:fillClrLst>
    <dgm:linClrLst meth="repeat">
      <a:schemeClr val="dk2">
        <a:shade val="80000"/>
      </a:schemeClr>
    </dgm:linClrLst>
    <dgm:effectClrLst/>
    <dgm:txLinClrLst/>
    <dgm:txFillClrLst meth="repeat">
      <a:schemeClr val="lt1"/>
    </dgm:txFillClrLst>
    <dgm:txEffectClrLst/>
  </dgm:styleLbl>
  <dgm:styleLbl name="sibTrans2D1">
    <dgm:fillClrLst meth="repeat">
      <a:schemeClr val="dk2">
        <a:tint val="60000"/>
      </a:schemeClr>
    </dgm:fillClrLst>
    <dgm:linClrLst meth="repeat">
      <a:schemeClr val="dk2">
        <a:tint val="60000"/>
      </a:schemeClr>
    </dgm:linClrLst>
    <dgm:effectClrLst/>
    <dgm:txLinClrLst/>
    <dgm:txFillClrLst meth="repeat">
      <a:schemeClr val="dk2"/>
    </dgm:txFillClrLst>
    <dgm:txEffectClrLst/>
  </dgm:styleLbl>
  <dgm:styleLbl name="fgSibTrans2D1">
    <dgm:fillClrLst meth="repeat">
      <a:schemeClr val="dk2">
        <a:tint val="60000"/>
      </a:schemeClr>
    </dgm:fillClrLst>
    <dgm:linClrLst meth="repeat">
      <a:schemeClr val="dk2">
        <a:tint val="60000"/>
      </a:schemeClr>
    </dgm:linClrLst>
    <dgm:effectClrLst/>
    <dgm:txLinClrLst/>
    <dgm:txFillClrLst meth="repeat">
      <a:schemeClr val="dk2"/>
    </dgm:txFillClrLst>
    <dgm:txEffectClrLst/>
  </dgm:styleLbl>
  <dgm:styleLbl name="bgSibTrans2D1">
    <dgm:fillClrLst meth="repeat">
      <a:schemeClr val="dk2">
        <a:tint val="60000"/>
      </a:schemeClr>
    </dgm:fillClrLst>
    <dgm:linClrLst meth="repeat">
      <a:schemeClr val="dk2">
        <a:tint val="60000"/>
      </a:schemeClr>
    </dgm:linClrLst>
    <dgm:effectClrLst/>
    <dgm:txLinClrLst/>
    <dgm:txFillClrLst meth="repeat">
      <a:schemeClr val="dk2"/>
    </dgm:txFillClrLst>
    <dgm:txEffectClrLst/>
  </dgm:styleLbl>
  <dgm:styleLbl name="sibTrans1D1">
    <dgm:fillClrLst meth="repeat">
      <a:schemeClr val="dk2"/>
    </dgm:fillClrLst>
    <dgm:linClrLst meth="repeat">
      <a:schemeClr val="dk2"/>
    </dgm:linClrLst>
    <dgm:effectClrLst/>
    <dgm:txLinClrLst/>
    <dgm:txFillClrLst meth="repeat">
      <a:schemeClr val="tx1"/>
    </dgm:txFillClrLst>
    <dgm:txEffectClrLst/>
  </dgm:styleLbl>
  <dgm:styleLbl name="callout">
    <dgm:fillClrLst meth="repeat">
      <a:schemeClr val="dk2"/>
    </dgm:fillClrLst>
    <dgm:linClrLst meth="repeat">
      <a:schemeClr val="dk2"/>
    </dgm:linClrLst>
    <dgm:effectClrLst/>
    <dgm:txLinClrLst/>
    <dgm:txFillClrLst meth="repeat">
      <a:schemeClr val="tx1"/>
    </dgm:txFillClrLst>
    <dgm:txEffectClrLst/>
  </dgm:styleLbl>
  <dgm:styleLbl name="asst0">
    <dgm:fillClrLst meth="repeat">
      <a:schemeClr val="lt1"/>
    </dgm:fillClrLst>
    <dgm:linClrLst meth="repeat">
      <a:schemeClr val="dk2">
        <a:shade val="80000"/>
      </a:schemeClr>
    </dgm:linClrLst>
    <dgm:effectClrLst/>
    <dgm:txLinClrLst/>
    <dgm:txFillClrLst meth="repeat">
      <a:schemeClr val="dk2"/>
    </dgm:txFillClrLst>
    <dgm:txEffectClrLst/>
  </dgm:styleLbl>
  <dgm:styleLbl name="asst1">
    <dgm:fillClrLst meth="repeat">
      <a:schemeClr val="lt1"/>
    </dgm:fillClrLst>
    <dgm:linClrLst meth="repeat">
      <a:schemeClr val="dk2">
        <a:shade val="80000"/>
      </a:schemeClr>
    </dgm:linClrLst>
    <dgm:effectClrLst/>
    <dgm:txLinClrLst/>
    <dgm:txFillClrLst meth="repeat">
      <a:schemeClr val="dk2"/>
    </dgm:txFillClrLst>
    <dgm:txEffectClrLst/>
  </dgm:styleLbl>
  <dgm:styleLbl name="asst2">
    <dgm:fillClrLst meth="repeat">
      <a:schemeClr val="lt1"/>
    </dgm:fillClrLst>
    <dgm:linClrLst meth="repeat">
      <a:schemeClr val="dk2">
        <a:shade val="80000"/>
      </a:schemeClr>
    </dgm:linClrLst>
    <dgm:effectClrLst/>
    <dgm:txLinClrLst/>
    <dgm:txFillClrLst meth="repeat">
      <a:schemeClr val="dk2"/>
    </dgm:txFillClrLst>
    <dgm:txEffectClrLst/>
  </dgm:styleLbl>
  <dgm:styleLbl name="asst3">
    <dgm:fillClrLst meth="repeat">
      <a:schemeClr val="lt1"/>
    </dgm:fillClrLst>
    <dgm:linClrLst meth="repeat">
      <a:schemeClr val="dk2">
        <a:shade val="80000"/>
      </a:schemeClr>
    </dgm:linClrLst>
    <dgm:effectClrLst/>
    <dgm:txLinClrLst/>
    <dgm:txFillClrLst meth="repeat">
      <a:schemeClr val="dk2"/>
    </dgm:txFillClrLst>
    <dgm:txEffectClrLst/>
  </dgm:styleLbl>
  <dgm:styleLbl name="asst4">
    <dgm:fillClrLst meth="repeat">
      <a:schemeClr val="lt1"/>
    </dgm:fillClrLst>
    <dgm:linClrLst meth="repeat">
      <a:schemeClr val="dk2">
        <a:shade val="80000"/>
      </a:schemeClr>
    </dgm:linClrLst>
    <dgm:effectClrLst/>
    <dgm:txLinClrLst/>
    <dgm:txFillClrLst meth="repeat">
      <a:schemeClr val="dk2"/>
    </dgm:txFillClrLst>
    <dgm:txEffectClrLst/>
  </dgm:styleLbl>
  <dgm:styleLbl name="parChTrans2D1">
    <dgm:fillClrLst meth="repeat">
      <a:schemeClr val="dk2">
        <a:tint val="60000"/>
      </a:schemeClr>
    </dgm:fillClrLst>
    <dgm:linClrLst meth="repeat">
      <a:schemeClr val="dk2">
        <a:tint val="60000"/>
      </a:schemeClr>
    </dgm:linClrLst>
    <dgm:effectClrLst/>
    <dgm:txLinClrLst/>
    <dgm:txFillClrLst/>
    <dgm:txEffectClrLst/>
  </dgm:styleLbl>
  <dgm:styleLbl name="parChTrans2D2">
    <dgm:fillClrLst meth="repeat">
      <a:schemeClr val="dk2"/>
    </dgm:fillClrLst>
    <dgm:linClrLst meth="repeat">
      <a:schemeClr val="dk2"/>
    </dgm:linClrLst>
    <dgm:effectClrLst/>
    <dgm:txLinClrLst/>
    <dgm:txFillClrLst/>
    <dgm:txEffectClrLst/>
  </dgm:styleLbl>
  <dgm:styleLbl name="parChTrans2D3">
    <dgm:fillClrLst meth="repeat">
      <a:schemeClr val="dk2"/>
    </dgm:fillClrLst>
    <dgm:linClrLst meth="repeat">
      <a:schemeClr val="dk2"/>
    </dgm:linClrLst>
    <dgm:effectClrLst/>
    <dgm:txLinClrLst/>
    <dgm:txFillClrLst/>
    <dgm:txEffectClrLst/>
  </dgm:styleLbl>
  <dgm:styleLbl name="parChTrans2D4">
    <dgm:fillClrLst meth="repeat">
      <a:schemeClr val="dk2"/>
    </dgm:fillClrLst>
    <dgm:linClrLst meth="repeat">
      <a:schemeClr val="dk2"/>
    </dgm:linClrLst>
    <dgm:effectClrLst/>
    <dgm:txLinClrLst/>
    <dgm:txFillClrLst meth="repeat">
      <a:schemeClr val="lt1"/>
    </dgm:txFillClrLst>
    <dgm:txEffectClrLst/>
  </dgm:styleLbl>
  <dgm:styleLbl name="parChTrans1D1">
    <dgm:fillClrLst meth="repeat">
      <a:schemeClr val="dk2"/>
    </dgm:fillClrLst>
    <dgm:linClrLst meth="repeat">
      <a:schemeClr val="dk2">
        <a:shade val="60000"/>
      </a:schemeClr>
    </dgm:linClrLst>
    <dgm:effectClrLst/>
    <dgm:txLinClrLst/>
    <dgm:txFillClrLst meth="repeat">
      <a:schemeClr val="tx1"/>
    </dgm:txFillClrLst>
    <dgm:txEffectClrLst/>
  </dgm:styleLbl>
  <dgm:styleLbl name="parChTrans1D2">
    <dgm:fillClrLst meth="repeat">
      <a:schemeClr val="dk2"/>
    </dgm:fillClrLst>
    <dgm:linClrLst meth="repeat">
      <a:schemeClr val="dk2">
        <a:shade val="60000"/>
      </a:schemeClr>
    </dgm:linClrLst>
    <dgm:effectClrLst/>
    <dgm:txLinClrLst/>
    <dgm:txFillClrLst meth="repeat">
      <a:schemeClr val="tx1"/>
    </dgm:txFillClrLst>
    <dgm:txEffectClrLst/>
  </dgm:styleLbl>
  <dgm:styleLbl name="parChTrans1D3">
    <dgm:fillClrLst meth="repeat">
      <a:schemeClr val="dk2"/>
    </dgm:fillClrLst>
    <dgm:linClrLst meth="repeat">
      <a:schemeClr val="dk2">
        <a:shade val="80000"/>
      </a:schemeClr>
    </dgm:linClrLst>
    <dgm:effectClrLst/>
    <dgm:txLinClrLst/>
    <dgm:txFillClrLst meth="repeat">
      <a:schemeClr val="tx1"/>
    </dgm:txFillClrLst>
    <dgm:txEffectClrLst/>
  </dgm:styleLbl>
  <dgm:styleLbl name="parChTrans1D4">
    <dgm:fillClrLst meth="repeat">
      <a:schemeClr val="dk2"/>
    </dgm:fillClrLst>
    <dgm:linClrLst meth="repeat">
      <a:schemeClr val="dk2">
        <a:shade val="80000"/>
      </a:schemeClr>
    </dgm:linClrLst>
    <dgm:effectClrLst/>
    <dgm:txLinClrLst/>
    <dgm:txFillClrLst meth="repeat">
      <a:schemeClr val="tx1"/>
    </dgm:txFillClrLst>
    <dgm:txEffectClrLst/>
  </dgm:styleLbl>
  <dgm:styleLbl name="fgAcc1">
    <dgm:fillClrLst meth="repeat">
      <a:schemeClr val="dk2">
        <a:alpha val="90000"/>
        <a:tint val="40000"/>
      </a:schemeClr>
    </dgm:fillClrLst>
    <dgm:linClrLst meth="repeat">
      <a:schemeClr val="dk2"/>
    </dgm:linClrLst>
    <dgm:effectClrLst/>
    <dgm:txLinClrLst/>
    <dgm:txFillClrLst meth="repeat">
      <a:schemeClr val="dk2"/>
    </dgm:txFillClrLst>
    <dgm:txEffectClrLst/>
  </dgm:styleLbl>
  <dgm:styleLbl name="conFgAcc1">
    <dgm:fillClrLst meth="repeat">
      <a:schemeClr val="dk2">
        <a:alpha val="90000"/>
        <a:tint val="40000"/>
      </a:schemeClr>
    </dgm:fillClrLst>
    <dgm:linClrLst meth="repeat">
      <a:schemeClr val="dk2"/>
    </dgm:linClrLst>
    <dgm:effectClrLst/>
    <dgm:txLinClrLst/>
    <dgm:txFillClrLst meth="repeat">
      <a:schemeClr val="dk2"/>
    </dgm:txFillClrLst>
    <dgm:txEffectClrLst/>
  </dgm:styleLbl>
  <dgm:styleLbl name="alignAcc1">
    <dgm:fillClrLst meth="repeat">
      <a:schemeClr val="dk2">
        <a:alpha val="90000"/>
        <a:tint val="40000"/>
      </a:schemeClr>
    </dgm:fillClrLst>
    <dgm:linClrLst meth="repeat">
      <a:schemeClr val="dk2"/>
    </dgm:linClrLst>
    <dgm:effectClrLst/>
    <dgm:txLinClrLst/>
    <dgm:txFillClrLst meth="repeat">
      <a:schemeClr val="dk2"/>
    </dgm:txFillClrLst>
    <dgm:txEffectClrLst/>
  </dgm:styleLbl>
  <dgm:styleLbl name="trAlignAcc1">
    <dgm:fillClrLst meth="repeat">
      <a:schemeClr val="dk2">
        <a:alpha val="40000"/>
        <a:tint val="40000"/>
      </a:schemeClr>
    </dgm:fillClrLst>
    <dgm:linClrLst meth="repeat">
      <a:schemeClr val="dk2"/>
    </dgm:linClrLst>
    <dgm:effectClrLst/>
    <dgm:txLinClrLst/>
    <dgm:txFillClrLst meth="repeat">
      <a:schemeClr val="dk2"/>
    </dgm:txFillClrLst>
    <dgm:txEffectClrLst/>
  </dgm:styleLbl>
  <dgm:styleLbl name="bgAcc1">
    <dgm:fillClrLst meth="repeat">
      <a:schemeClr val="dk2">
        <a:alpha val="90000"/>
        <a:tint val="40000"/>
      </a:schemeClr>
    </dgm:fillClrLst>
    <dgm:linClrLst meth="repeat">
      <a:schemeClr val="dk2"/>
    </dgm:linClrLst>
    <dgm:effectClrLst/>
    <dgm:txLinClrLst/>
    <dgm:txFillClrLst meth="repeat">
      <a:schemeClr val="dk2"/>
    </dgm:txFillClrLst>
    <dgm:txEffectClrLst/>
  </dgm:styleLbl>
  <dgm:styleLbl name="solidFgAcc1">
    <dgm:fillClrLst meth="repeat">
      <a:schemeClr val="lt1"/>
    </dgm:fillClrLst>
    <dgm:linClrLst meth="repeat">
      <a:schemeClr val="dk2"/>
    </dgm:linClrLst>
    <dgm:effectClrLst/>
    <dgm:txLinClrLst/>
    <dgm:txFillClrLst meth="repeat">
      <a:schemeClr val="dk2"/>
    </dgm:txFillClrLst>
    <dgm:txEffectClrLst/>
  </dgm:styleLbl>
  <dgm:styleLbl name="solidAlignAcc1">
    <dgm:fillClrLst meth="repeat">
      <a:schemeClr val="lt1"/>
    </dgm:fillClrLst>
    <dgm:linClrLst meth="repeat">
      <a:schemeClr val="dk2"/>
    </dgm:linClrLst>
    <dgm:effectClrLst/>
    <dgm:txLinClrLst/>
    <dgm:txFillClrLst meth="repeat">
      <a:schemeClr val="dk2"/>
    </dgm:txFillClrLst>
    <dgm:txEffectClrLst/>
  </dgm:styleLbl>
  <dgm:styleLbl name="solidBgAcc1">
    <dgm:fillClrLst meth="repeat">
      <a:schemeClr val="lt1"/>
    </dgm:fillClrLst>
    <dgm:linClrLst meth="repeat">
      <a:schemeClr val="dk2"/>
    </dgm:linClrLst>
    <dgm:effectClrLst/>
    <dgm:txLinClrLst/>
    <dgm:txFillClrLst meth="repeat">
      <a:schemeClr val="dk2"/>
    </dgm:txFillClrLst>
    <dgm:txEffectClrLst/>
  </dgm:styleLbl>
  <dgm:styleLbl name="fgAccFollowNode1">
    <dgm:fillClrLst meth="repeat">
      <a:schemeClr val="lt1">
        <a:alpha val="90000"/>
        <a:tint val="40000"/>
      </a:schemeClr>
    </dgm:fillClrLst>
    <dgm:linClrLst meth="repeat">
      <a:schemeClr val="dk2">
        <a:alpha val="90000"/>
      </a:schemeClr>
    </dgm:linClrLst>
    <dgm:effectClrLst/>
    <dgm:txLinClrLst/>
    <dgm:txFillClrLst meth="repeat">
      <a:schemeClr val="dk2"/>
    </dgm:txFillClrLst>
    <dgm:txEffectClrLst/>
  </dgm:styleLbl>
  <dgm:styleLbl name="alignAccFollowNode1">
    <dgm:fillClrLst meth="repeat">
      <a:schemeClr val="lt1">
        <a:alpha val="90000"/>
        <a:tint val="40000"/>
      </a:schemeClr>
    </dgm:fillClrLst>
    <dgm:linClrLst meth="repeat">
      <a:schemeClr val="dk2">
        <a:alpha val="90000"/>
      </a:schemeClr>
    </dgm:linClrLst>
    <dgm:effectClrLst/>
    <dgm:txLinClrLst/>
    <dgm:txFillClrLst meth="repeat">
      <a:schemeClr val="dk2"/>
    </dgm:txFillClrLst>
    <dgm:txEffectClrLst/>
  </dgm:styleLbl>
  <dgm:styleLbl name="bgAccFollowNode1">
    <dgm:fillClrLst meth="repeat">
      <a:schemeClr val="lt1">
        <a:alpha val="90000"/>
        <a:tint val="40000"/>
      </a:schemeClr>
    </dgm:fillClrLst>
    <dgm:linClrLst meth="repeat">
      <a:schemeClr val="dk2">
        <a:alpha val="90000"/>
      </a:schemeClr>
    </dgm:linClrLst>
    <dgm:effectClrLst/>
    <dgm:txLinClrLst/>
    <dgm:txFillClrLst meth="repeat">
      <a:schemeClr val="dk2"/>
    </dgm:txFillClrLst>
    <dgm:txEffectClrLst/>
  </dgm:styleLbl>
  <dgm:styleLbl name="fgAcc0">
    <dgm:fillClrLst meth="repeat">
      <a:schemeClr val="dk2">
        <a:alpha val="90000"/>
        <a:tint val="40000"/>
      </a:schemeClr>
    </dgm:fillClrLst>
    <dgm:linClrLst meth="repeat">
      <a:schemeClr val="dk2"/>
    </dgm:linClrLst>
    <dgm:effectClrLst/>
    <dgm:txLinClrLst/>
    <dgm:txFillClrLst meth="repeat">
      <a:schemeClr val="dk2"/>
    </dgm:txFillClrLst>
    <dgm:txEffectClrLst/>
  </dgm:styleLbl>
  <dgm:styleLbl name="fgAcc2">
    <dgm:fillClrLst meth="repeat">
      <a:schemeClr val="dk2">
        <a:alpha val="90000"/>
        <a:tint val="40000"/>
      </a:schemeClr>
    </dgm:fillClrLst>
    <dgm:linClrLst meth="repeat">
      <a:schemeClr val="dk2"/>
    </dgm:linClrLst>
    <dgm:effectClrLst/>
    <dgm:txLinClrLst/>
    <dgm:txFillClrLst meth="repeat">
      <a:schemeClr val="dk2"/>
    </dgm:txFillClrLst>
    <dgm:txEffectClrLst/>
  </dgm:styleLbl>
  <dgm:styleLbl name="fgAcc3">
    <dgm:fillClrLst meth="repeat">
      <a:schemeClr val="dk2">
        <a:alpha val="90000"/>
        <a:tint val="40000"/>
      </a:schemeClr>
    </dgm:fillClrLst>
    <dgm:linClrLst meth="repeat">
      <a:schemeClr val="dk2"/>
    </dgm:linClrLst>
    <dgm:effectClrLst/>
    <dgm:txLinClrLst/>
    <dgm:txFillClrLst meth="repeat">
      <a:schemeClr val="dk2"/>
    </dgm:txFillClrLst>
    <dgm:txEffectClrLst/>
  </dgm:styleLbl>
  <dgm:styleLbl name="fgAcc4">
    <dgm:fillClrLst meth="repeat">
      <a:schemeClr val="dk2">
        <a:alpha val="90000"/>
        <a:tint val="40000"/>
      </a:schemeClr>
    </dgm:fillClrLst>
    <dgm:linClrLst meth="repeat">
      <a:schemeClr val="dk2"/>
    </dgm:linClrLst>
    <dgm:effectClrLst/>
    <dgm:txLinClrLst/>
    <dgm:txFillClrLst meth="repeat">
      <a:schemeClr val="dk2"/>
    </dgm:txFillClrLst>
    <dgm:txEffectClrLst/>
  </dgm:styleLbl>
  <dgm:styleLbl name="bgShp">
    <dgm:fillClrLst meth="repeat">
      <a:schemeClr val="dk2">
        <a:tint val="40000"/>
      </a:schemeClr>
    </dgm:fillClrLst>
    <dgm:linClrLst meth="repeat">
      <a:schemeClr val="dk2"/>
    </dgm:linClrLst>
    <dgm:effectClrLst/>
    <dgm:txLinClrLst/>
    <dgm:txFillClrLst meth="repeat">
      <a:schemeClr val="dk1"/>
    </dgm:txFillClrLst>
    <dgm:txEffectClrLst/>
  </dgm:styleLbl>
  <dgm:styleLbl name="dkBgShp">
    <dgm:fillClrLst meth="repeat">
      <a:schemeClr val="dk2">
        <a:shade val="80000"/>
      </a:schemeClr>
    </dgm:fillClrLst>
    <dgm:linClrLst meth="repeat">
      <a:schemeClr val="dk2"/>
    </dgm:linClrLst>
    <dgm:effectClrLst/>
    <dgm:txLinClrLst/>
    <dgm:txFillClrLst meth="repeat">
      <a:schemeClr val="lt2"/>
    </dgm:txFillClrLst>
    <dgm:txEffectClrLst/>
  </dgm:styleLbl>
  <dgm:styleLbl name="trBgShp">
    <dgm:fillClrLst meth="repeat">
      <a:schemeClr val="dk2">
        <a:tint val="50000"/>
        <a:alpha val="40000"/>
      </a:schemeClr>
    </dgm:fillClrLst>
    <dgm:linClrLst meth="repeat">
      <a:schemeClr val="dk2"/>
    </dgm:linClrLst>
    <dgm:effectClrLst/>
    <dgm:txLinClrLst/>
    <dgm:txFillClrLst meth="repeat">
      <a:schemeClr val="lt2"/>
    </dgm:txFillClrLst>
    <dgm:txEffectClrLst/>
  </dgm:styleLbl>
  <dgm:styleLbl name="fgShp">
    <dgm:fillClrLst meth="repeat">
      <a:schemeClr val="dk2">
        <a:tint val="60000"/>
      </a:schemeClr>
    </dgm:fillClrLst>
    <dgm:linClrLst meth="repeat">
      <a:schemeClr val="lt1"/>
    </dgm:linClrLst>
    <dgm:effectClrLst/>
    <dgm:txLinClrLst/>
    <dgm:txFillClrLst meth="repeat">
      <a:schemeClr val="dk2"/>
    </dgm:txFillClrLst>
    <dgm:txEffectClrLst/>
  </dgm:styleLbl>
  <dgm:styleLbl name="revTx">
    <dgm:fillClrLst meth="repeat">
      <a:schemeClr val="lt1">
        <a:alpha val="0"/>
      </a:schemeClr>
    </dgm:fillClrLst>
    <dgm:linClrLst meth="repeat">
      <a:schemeClr val="dk2">
        <a:alpha val="0"/>
      </a:schemeClr>
    </dgm:linClrLst>
    <dgm:effectClrLst/>
    <dgm:txLinClrLst/>
    <dgm:txFillClrLst meth="repeat">
      <a:schemeClr val="tx1"/>
    </dgm:txFillClrLst>
    <dgm:txEffectClrLst/>
  </dgm:styleLbl>
</dgm:colorsDef>
</file>

<file path=word/diagrams/colors8.xml><?xml version="1.0" encoding="utf-8"?>
<dgm:colorsDef xmlns:dgm="http://schemas.openxmlformats.org/drawingml/2006/diagram" xmlns:a="http://schemas.openxmlformats.org/drawingml/2006/main" uniqueId="urn:microsoft.com/office/officeart/2005/8/colors/accent1_2">
  <dgm:title val=""/>
  <dgm:desc val=""/>
  <dgm:catLst>
    <dgm:cat type="accent1" pri="11200"/>
  </dgm:catLst>
  <dgm:styleLbl name="node0">
    <dgm:fillClrLst meth="repeat">
      <a:schemeClr val="accent1"/>
    </dgm:fillClrLst>
    <dgm:linClrLst meth="repeat">
      <a:schemeClr val="lt1"/>
    </dgm:linClrLst>
    <dgm:effectClrLst/>
    <dgm:txLinClrLst/>
    <dgm:txFillClrLst/>
    <dgm:txEffectClrLst/>
  </dgm:styleLbl>
  <dgm:styleLbl name="alignNode1">
    <dgm:fillClrLst meth="repeat">
      <a:schemeClr val="accent1"/>
    </dgm:fillClrLst>
    <dgm:linClrLst meth="repeat">
      <a:schemeClr val="accent1"/>
    </dgm:linClrLst>
    <dgm:effectClrLst/>
    <dgm:txLinClrLst/>
    <dgm:txFillClrLst/>
    <dgm:txEffectClrLst/>
  </dgm:styleLbl>
  <dgm:styleLbl name="node1">
    <dgm:fillClrLst meth="repeat">
      <a:schemeClr val="accent1"/>
    </dgm:fillClrLst>
    <dgm:linClrLst meth="repeat">
      <a:schemeClr val="lt1"/>
    </dgm:linClrLst>
    <dgm:effectClrLst/>
    <dgm:txLinClrLst/>
    <dgm:txFillClrLst/>
    <dgm:txEffectClrLst/>
  </dgm:styleLbl>
  <dgm:styleLbl name="lnNode1">
    <dgm:fillClrLst meth="repeat">
      <a:schemeClr val="accent1"/>
    </dgm:fillClrLst>
    <dgm:linClrLst meth="repeat">
      <a:schemeClr val="lt1"/>
    </dgm:linClrLst>
    <dgm:effectClrLst/>
    <dgm:txLinClrLst/>
    <dgm:txFillClrLst/>
    <dgm:txEffectClrLst/>
  </dgm:styleLbl>
  <dgm:styleLbl name="vennNode1">
    <dgm:fillClrLst meth="repeat">
      <a:schemeClr val="accent1">
        <a:alpha val="50000"/>
      </a:schemeClr>
    </dgm:fillClrLst>
    <dgm:linClrLst meth="repeat">
      <a:schemeClr val="lt1"/>
    </dgm:linClrLst>
    <dgm:effectClrLst/>
    <dgm:txLinClrLst/>
    <dgm:txFillClrLst/>
    <dgm:txEffectClrLst/>
  </dgm:styleLbl>
  <dgm:styleLbl name="node2">
    <dgm:fillClrLst meth="repeat">
      <a:schemeClr val="accent1"/>
    </dgm:fillClrLst>
    <dgm:linClrLst meth="repeat">
      <a:schemeClr val="lt1"/>
    </dgm:linClrLst>
    <dgm:effectClrLst/>
    <dgm:txLinClrLst/>
    <dgm:txFillClrLst/>
    <dgm:txEffectClrLst/>
  </dgm:styleLbl>
  <dgm:styleLbl name="node3">
    <dgm:fillClrLst meth="repeat">
      <a:schemeClr val="accent1"/>
    </dgm:fillClrLst>
    <dgm:linClrLst meth="repeat">
      <a:schemeClr val="lt1"/>
    </dgm:linClrLst>
    <dgm:effectClrLst/>
    <dgm:txLinClrLst/>
    <dgm:txFillClrLst/>
    <dgm:txEffectClrLst/>
  </dgm:styleLbl>
  <dgm:styleLbl name="node4">
    <dgm:fillClrLst meth="repeat">
      <a:schemeClr val="accent1"/>
    </dgm:fillClrLst>
    <dgm:linClrLst meth="repeat">
      <a:schemeClr val="lt1"/>
    </dgm:linClrLst>
    <dgm:effectClrLst/>
    <dgm:txLinClrLst/>
    <dgm:txFillClrLst/>
    <dgm:txEffectClrLst/>
  </dgm:styleLbl>
  <dgm:styleLbl name="f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align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b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sibTrans2D1">
    <dgm:fillClrLst meth="repeat">
      <a:schemeClr val="accent1">
        <a:tint val="60000"/>
      </a:schemeClr>
    </dgm:fillClrLst>
    <dgm:linClrLst meth="repeat">
      <a:schemeClr val="accent1">
        <a:tint val="60000"/>
      </a:schemeClr>
    </dgm:linClrLst>
    <dgm:effectClrLst/>
    <dgm:txLinClrLst/>
    <dgm:txFillClrLst/>
    <dgm:txEffectClrLst/>
  </dgm:styleLbl>
  <dgm:styleLbl name="fgSibTrans2D1">
    <dgm:fillClrLst meth="repeat">
      <a:schemeClr val="accent1">
        <a:tint val="60000"/>
      </a:schemeClr>
    </dgm:fillClrLst>
    <dgm:linClrLst meth="repeat">
      <a:schemeClr val="accent1">
        <a:tint val="60000"/>
      </a:schemeClr>
    </dgm:linClrLst>
    <dgm:effectClrLst/>
    <dgm:txLinClrLst/>
    <dgm:txFillClrLst/>
    <dgm:txEffectClrLst/>
  </dgm:styleLbl>
  <dgm:styleLbl name="bgSibTrans2D1">
    <dgm:fillClrLst meth="repeat">
      <a:schemeClr val="accent1">
        <a:tint val="60000"/>
      </a:schemeClr>
    </dgm:fillClrLst>
    <dgm:linClrLst meth="repeat">
      <a:schemeClr val="accent1">
        <a:tint val="60000"/>
      </a:schemeClr>
    </dgm:linClrLst>
    <dgm:effectClrLst/>
    <dgm:txLinClrLst/>
    <dgm:txFillClrLst/>
    <dgm:txEffectClrLst/>
  </dgm:styleLbl>
  <dgm:styleLbl name="sibTrans1D1">
    <dgm:fillClrLst meth="repeat">
      <a:schemeClr val="accent1"/>
    </dgm:fillClrLst>
    <dgm:linClrLst meth="repeat">
      <a:schemeClr val="accent1"/>
    </dgm:linClrLst>
    <dgm:effectClrLst/>
    <dgm:txLinClrLst/>
    <dgm:txFillClrLst meth="repeat">
      <a:schemeClr val="tx1"/>
    </dgm:txFillClrLst>
    <dgm:txEffectClrLst/>
  </dgm:styleLbl>
  <dgm:styleLbl name="callout">
    <dgm:fillClrLst meth="repeat">
      <a:schemeClr val="accent1"/>
    </dgm:fillClrLst>
    <dgm:linClrLst meth="repeat">
      <a:schemeClr val="accent1">
        <a:tint val="50000"/>
      </a:schemeClr>
    </dgm:linClrLst>
    <dgm:effectClrLst/>
    <dgm:txLinClrLst/>
    <dgm:txFillClrLst meth="repeat">
      <a:schemeClr val="tx1"/>
    </dgm:txFillClrLst>
    <dgm:txEffectClrLst/>
  </dgm:styleLbl>
  <dgm:styleLbl name="asst0">
    <dgm:fillClrLst meth="repeat">
      <a:schemeClr val="accent1"/>
    </dgm:fillClrLst>
    <dgm:linClrLst meth="repeat">
      <a:schemeClr val="lt1"/>
    </dgm:linClrLst>
    <dgm:effectClrLst/>
    <dgm:txLinClrLst/>
    <dgm:txFillClrLst/>
    <dgm:txEffectClrLst/>
  </dgm:styleLbl>
  <dgm:styleLbl name="asst1">
    <dgm:fillClrLst meth="repeat">
      <a:schemeClr val="accent1"/>
    </dgm:fillClrLst>
    <dgm:linClrLst meth="repeat">
      <a:schemeClr val="lt1"/>
    </dgm:linClrLst>
    <dgm:effectClrLst/>
    <dgm:txLinClrLst/>
    <dgm:txFillClrLst/>
    <dgm:txEffectClrLst/>
  </dgm:styleLbl>
  <dgm:styleLbl name="asst2">
    <dgm:fillClrLst meth="repeat">
      <a:schemeClr val="accent1"/>
    </dgm:fillClrLst>
    <dgm:linClrLst meth="repeat">
      <a:schemeClr val="lt1"/>
    </dgm:linClrLst>
    <dgm:effectClrLst/>
    <dgm:txLinClrLst/>
    <dgm:txFillClrLst/>
    <dgm:txEffectClrLst/>
  </dgm:styleLbl>
  <dgm:styleLbl name="asst3">
    <dgm:fillClrLst meth="repeat">
      <a:schemeClr val="accent1"/>
    </dgm:fillClrLst>
    <dgm:linClrLst meth="repeat">
      <a:schemeClr val="lt1"/>
    </dgm:linClrLst>
    <dgm:effectClrLst/>
    <dgm:txLinClrLst/>
    <dgm:txFillClrLst/>
    <dgm:txEffectClrLst/>
  </dgm:styleLbl>
  <dgm:styleLbl name="asst4">
    <dgm:fillClrLst meth="repeat">
      <a:schemeClr val="accent1"/>
    </dgm:fillClrLst>
    <dgm:linClrLst meth="repeat">
      <a:schemeClr val="lt1"/>
    </dgm:linClrLst>
    <dgm:effectClrLst/>
    <dgm:txLinClrLst/>
    <dgm:txFillClrLst/>
    <dgm:txEffectClrLst/>
  </dgm:styleLbl>
  <dgm:styleLbl name="parChTrans2D1">
    <dgm:fillClrLst meth="repeat">
      <a:schemeClr val="accent1">
        <a:tint val="60000"/>
      </a:schemeClr>
    </dgm:fillClrLst>
    <dgm:linClrLst meth="repeat">
      <a:schemeClr val="accent1">
        <a:tint val="60000"/>
      </a:schemeClr>
    </dgm:linClrLst>
    <dgm:effectClrLst/>
    <dgm:txLinClrLst/>
    <dgm:txFillClrLst meth="repeat">
      <a:schemeClr val="lt1"/>
    </dgm:txFillClrLst>
    <dgm:txEffectClrLst/>
  </dgm:styleLbl>
  <dgm:styleLbl name="parChTrans2D2">
    <dgm:fillClrLst meth="repeat">
      <a:schemeClr val="accent1"/>
    </dgm:fillClrLst>
    <dgm:linClrLst meth="repeat">
      <a:schemeClr val="accent1"/>
    </dgm:linClrLst>
    <dgm:effectClrLst/>
    <dgm:txLinClrLst/>
    <dgm:txFillClrLst meth="repeat">
      <a:schemeClr val="lt1"/>
    </dgm:txFillClrLst>
    <dgm:txEffectClrLst/>
  </dgm:styleLbl>
  <dgm:styleLbl name="parChTrans2D3">
    <dgm:fillClrLst meth="repeat">
      <a:schemeClr val="accent1"/>
    </dgm:fillClrLst>
    <dgm:linClrLst meth="repeat">
      <a:schemeClr val="accent1"/>
    </dgm:linClrLst>
    <dgm:effectClrLst/>
    <dgm:txLinClrLst/>
    <dgm:txFillClrLst meth="repeat">
      <a:schemeClr val="lt1"/>
    </dgm:txFillClrLst>
    <dgm:txEffectClrLst/>
  </dgm:styleLbl>
  <dgm:styleLbl name="parChTrans2D4">
    <dgm:fillClrLst meth="repeat">
      <a:schemeClr val="accent1"/>
    </dgm:fillClrLst>
    <dgm:linClrLst meth="repeat">
      <a:schemeClr val="accent1"/>
    </dgm:linClrLst>
    <dgm:effectClrLst/>
    <dgm:txLinClrLst/>
    <dgm:txFillClrLst meth="repeat">
      <a:schemeClr val="lt1"/>
    </dgm:txFillClrLst>
    <dgm:txEffectClrLst/>
  </dgm:styleLbl>
  <dgm:styleLbl name="parChTrans1D1">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2">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3">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parChTrans1D4">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con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align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1"/>
    </dgm:linClrLst>
    <dgm:effectClrLst/>
    <dgm:txLinClrLst/>
    <dgm:txFillClrLst meth="repeat">
      <a:schemeClr val="dk1"/>
    </dgm:txFillClrLst>
    <dgm:txEffectClrLst/>
  </dgm:styleLbl>
  <dgm:styleLbl name="b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solidFgAcc1">
    <dgm:fillClrLst meth="repeat">
      <a:schemeClr val="lt1"/>
    </dgm:fillClrLst>
    <dgm:linClrLst meth="repeat">
      <a:schemeClr val="accent1"/>
    </dgm:linClrLst>
    <dgm:effectClrLst/>
    <dgm:txLinClrLst/>
    <dgm:txFillClrLst meth="repeat">
      <a:schemeClr val="dk1"/>
    </dgm:txFillClrLst>
    <dgm:txEffectClrLst/>
  </dgm:styleLbl>
  <dgm:styleLbl name="solidAlignAcc1">
    <dgm:fillClrLst meth="repeat">
      <a:schemeClr val="lt1"/>
    </dgm:fillClrLst>
    <dgm:linClrLst meth="repeat">
      <a:schemeClr val="accent1"/>
    </dgm:linClrLst>
    <dgm:effectClrLst/>
    <dgm:txLinClrLst/>
    <dgm:txFillClrLst meth="repeat">
      <a:schemeClr val="dk1"/>
    </dgm:txFillClrLst>
    <dgm:txEffectClrLst/>
  </dgm:styleLbl>
  <dgm:styleLbl name="solidBgAcc1">
    <dgm:fillClrLst meth="repeat">
      <a:schemeClr val="lt1"/>
    </dgm:fillClrLst>
    <dgm:linClrLst meth="repeat">
      <a:schemeClr val="accent1"/>
    </dgm:linClrLst>
    <dgm:effectClrLst/>
    <dgm:txLinClrLst/>
    <dgm:txFillClrLst meth="repeat">
      <a:schemeClr val="dk1"/>
    </dgm:txFillClrLst>
    <dgm:txEffectClrLst/>
  </dgm:styleLbl>
  <dgm:styleLbl name="f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align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b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fgAcc0">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2">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3">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4">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bgShp">
    <dgm:fillClrLst meth="repeat">
      <a:schemeClr val="accent1">
        <a:tint val="40000"/>
      </a:schemeClr>
    </dgm:fillClrLst>
    <dgm:linClrLst meth="repeat">
      <a:schemeClr val="accent1"/>
    </dgm:linClrLst>
    <dgm:effectClrLst/>
    <dgm:txLinClrLst/>
    <dgm:txFillClrLst meth="repeat">
      <a:schemeClr val="dk1"/>
    </dgm:txFillClrLst>
    <dgm:txEffectClrLst/>
  </dgm:styleLbl>
  <dgm:styleLbl name="dkBgShp">
    <dgm:fillClrLst meth="repeat">
      <a:schemeClr val="accent1">
        <a:shade val="80000"/>
      </a:schemeClr>
    </dgm:fillClrLst>
    <dgm:linClrLst meth="repeat">
      <a:schemeClr val="accent1"/>
    </dgm:linClrLst>
    <dgm:effectClrLst/>
    <dgm:txLinClrLst/>
    <dgm:txFillClrLst meth="repeat">
      <a:schemeClr val="lt1"/>
    </dgm:txFillClrLst>
    <dgm:txEffectClrLst/>
  </dgm:styleLbl>
  <dgm:styleLbl name="trBgShp">
    <dgm:fillClrLst meth="repeat">
      <a:schemeClr val="accent1">
        <a:tint val="50000"/>
        <a:alpha val="40000"/>
      </a:schemeClr>
    </dgm:fillClrLst>
    <dgm:linClrLst meth="repeat">
      <a:schemeClr val="accent1"/>
    </dgm:linClrLst>
    <dgm:effectClrLst/>
    <dgm:txLinClrLst/>
    <dgm:txFillClrLst meth="repeat">
      <a:schemeClr val="lt1"/>
    </dgm:txFillClrLst>
    <dgm:txEffectClrLst/>
  </dgm:styleLbl>
  <dgm:styleLbl name="fgShp">
    <dgm:fillClrLst meth="repeat">
      <a:schemeClr val="accent1">
        <a:tint val="6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colors9.xml><?xml version="1.0" encoding="utf-8"?>
<dgm:colorsDef xmlns:dgm="http://schemas.openxmlformats.org/drawingml/2006/diagram" xmlns:a="http://schemas.openxmlformats.org/drawingml/2006/main" uniqueId="urn:microsoft.com/office/officeart/2005/8/colors/accent1_2">
  <dgm:title val=""/>
  <dgm:desc val=""/>
  <dgm:catLst>
    <dgm:cat type="accent1" pri="11200"/>
  </dgm:catLst>
  <dgm:styleLbl name="node0">
    <dgm:fillClrLst meth="repeat">
      <a:schemeClr val="accent1"/>
    </dgm:fillClrLst>
    <dgm:linClrLst meth="repeat">
      <a:schemeClr val="lt1"/>
    </dgm:linClrLst>
    <dgm:effectClrLst/>
    <dgm:txLinClrLst/>
    <dgm:txFillClrLst/>
    <dgm:txEffectClrLst/>
  </dgm:styleLbl>
  <dgm:styleLbl name="alignNode1">
    <dgm:fillClrLst meth="repeat">
      <a:schemeClr val="accent1"/>
    </dgm:fillClrLst>
    <dgm:linClrLst meth="repeat">
      <a:schemeClr val="accent1"/>
    </dgm:linClrLst>
    <dgm:effectClrLst/>
    <dgm:txLinClrLst/>
    <dgm:txFillClrLst/>
    <dgm:txEffectClrLst/>
  </dgm:styleLbl>
  <dgm:styleLbl name="node1">
    <dgm:fillClrLst meth="repeat">
      <a:schemeClr val="accent1"/>
    </dgm:fillClrLst>
    <dgm:linClrLst meth="repeat">
      <a:schemeClr val="lt1"/>
    </dgm:linClrLst>
    <dgm:effectClrLst/>
    <dgm:txLinClrLst/>
    <dgm:txFillClrLst/>
    <dgm:txEffectClrLst/>
  </dgm:styleLbl>
  <dgm:styleLbl name="lnNode1">
    <dgm:fillClrLst meth="repeat">
      <a:schemeClr val="accent1"/>
    </dgm:fillClrLst>
    <dgm:linClrLst meth="repeat">
      <a:schemeClr val="lt1"/>
    </dgm:linClrLst>
    <dgm:effectClrLst/>
    <dgm:txLinClrLst/>
    <dgm:txFillClrLst/>
    <dgm:txEffectClrLst/>
  </dgm:styleLbl>
  <dgm:styleLbl name="vennNode1">
    <dgm:fillClrLst meth="repeat">
      <a:schemeClr val="accent1">
        <a:alpha val="50000"/>
      </a:schemeClr>
    </dgm:fillClrLst>
    <dgm:linClrLst meth="repeat">
      <a:schemeClr val="lt1"/>
    </dgm:linClrLst>
    <dgm:effectClrLst/>
    <dgm:txLinClrLst/>
    <dgm:txFillClrLst/>
    <dgm:txEffectClrLst/>
  </dgm:styleLbl>
  <dgm:styleLbl name="node2">
    <dgm:fillClrLst meth="repeat">
      <a:schemeClr val="accent1"/>
    </dgm:fillClrLst>
    <dgm:linClrLst meth="repeat">
      <a:schemeClr val="lt1"/>
    </dgm:linClrLst>
    <dgm:effectClrLst/>
    <dgm:txLinClrLst/>
    <dgm:txFillClrLst/>
    <dgm:txEffectClrLst/>
  </dgm:styleLbl>
  <dgm:styleLbl name="node3">
    <dgm:fillClrLst meth="repeat">
      <a:schemeClr val="accent1"/>
    </dgm:fillClrLst>
    <dgm:linClrLst meth="repeat">
      <a:schemeClr val="lt1"/>
    </dgm:linClrLst>
    <dgm:effectClrLst/>
    <dgm:txLinClrLst/>
    <dgm:txFillClrLst/>
    <dgm:txEffectClrLst/>
  </dgm:styleLbl>
  <dgm:styleLbl name="node4">
    <dgm:fillClrLst meth="repeat">
      <a:schemeClr val="accent1"/>
    </dgm:fillClrLst>
    <dgm:linClrLst meth="repeat">
      <a:schemeClr val="lt1"/>
    </dgm:linClrLst>
    <dgm:effectClrLst/>
    <dgm:txLinClrLst/>
    <dgm:txFillClrLst/>
    <dgm:txEffectClrLst/>
  </dgm:styleLbl>
  <dgm:styleLbl name="f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align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b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sibTrans2D1">
    <dgm:fillClrLst meth="repeat">
      <a:schemeClr val="accent1">
        <a:tint val="60000"/>
      </a:schemeClr>
    </dgm:fillClrLst>
    <dgm:linClrLst meth="repeat">
      <a:schemeClr val="accent1">
        <a:tint val="60000"/>
      </a:schemeClr>
    </dgm:linClrLst>
    <dgm:effectClrLst/>
    <dgm:txLinClrLst/>
    <dgm:txFillClrLst/>
    <dgm:txEffectClrLst/>
  </dgm:styleLbl>
  <dgm:styleLbl name="fgSibTrans2D1">
    <dgm:fillClrLst meth="repeat">
      <a:schemeClr val="accent1">
        <a:tint val="60000"/>
      </a:schemeClr>
    </dgm:fillClrLst>
    <dgm:linClrLst meth="repeat">
      <a:schemeClr val="accent1">
        <a:tint val="60000"/>
      </a:schemeClr>
    </dgm:linClrLst>
    <dgm:effectClrLst/>
    <dgm:txLinClrLst/>
    <dgm:txFillClrLst/>
    <dgm:txEffectClrLst/>
  </dgm:styleLbl>
  <dgm:styleLbl name="bgSibTrans2D1">
    <dgm:fillClrLst meth="repeat">
      <a:schemeClr val="accent1">
        <a:tint val="60000"/>
      </a:schemeClr>
    </dgm:fillClrLst>
    <dgm:linClrLst meth="repeat">
      <a:schemeClr val="accent1">
        <a:tint val="60000"/>
      </a:schemeClr>
    </dgm:linClrLst>
    <dgm:effectClrLst/>
    <dgm:txLinClrLst/>
    <dgm:txFillClrLst/>
    <dgm:txEffectClrLst/>
  </dgm:styleLbl>
  <dgm:styleLbl name="sibTrans1D1">
    <dgm:fillClrLst meth="repeat">
      <a:schemeClr val="accent1"/>
    </dgm:fillClrLst>
    <dgm:linClrLst meth="repeat">
      <a:schemeClr val="accent1"/>
    </dgm:linClrLst>
    <dgm:effectClrLst/>
    <dgm:txLinClrLst/>
    <dgm:txFillClrLst meth="repeat">
      <a:schemeClr val="tx1"/>
    </dgm:txFillClrLst>
    <dgm:txEffectClrLst/>
  </dgm:styleLbl>
  <dgm:styleLbl name="callout">
    <dgm:fillClrLst meth="repeat">
      <a:schemeClr val="accent1"/>
    </dgm:fillClrLst>
    <dgm:linClrLst meth="repeat">
      <a:schemeClr val="accent1">
        <a:tint val="50000"/>
      </a:schemeClr>
    </dgm:linClrLst>
    <dgm:effectClrLst/>
    <dgm:txLinClrLst/>
    <dgm:txFillClrLst meth="repeat">
      <a:schemeClr val="tx1"/>
    </dgm:txFillClrLst>
    <dgm:txEffectClrLst/>
  </dgm:styleLbl>
  <dgm:styleLbl name="asst0">
    <dgm:fillClrLst meth="repeat">
      <a:schemeClr val="accent1"/>
    </dgm:fillClrLst>
    <dgm:linClrLst meth="repeat">
      <a:schemeClr val="lt1"/>
    </dgm:linClrLst>
    <dgm:effectClrLst/>
    <dgm:txLinClrLst/>
    <dgm:txFillClrLst/>
    <dgm:txEffectClrLst/>
  </dgm:styleLbl>
  <dgm:styleLbl name="asst1">
    <dgm:fillClrLst meth="repeat">
      <a:schemeClr val="accent1"/>
    </dgm:fillClrLst>
    <dgm:linClrLst meth="repeat">
      <a:schemeClr val="lt1"/>
    </dgm:linClrLst>
    <dgm:effectClrLst/>
    <dgm:txLinClrLst/>
    <dgm:txFillClrLst/>
    <dgm:txEffectClrLst/>
  </dgm:styleLbl>
  <dgm:styleLbl name="asst2">
    <dgm:fillClrLst meth="repeat">
      <a:schemeClr val="accent1"/>
    </dgm:fillClrLst>
    <dgm:linClrLst meth="repeat">
      <a:schemeClr val="lt1"/>
    </dgm:linClrLst>
    <dgm:effectClrLst/>
    <dgm:txLinClrLst/>
    <dgm:txFillClrLst/>
    <dgm:txEffectClrLst/>
  </dgm:styleLbl>
  <dgm:styleLbl name="asst3">
    <dgm:fillClrLst meth="repeat">
      <a:schemeClr val="accent1"/>
    </dgm:fillClrLst>
    <dgm:linClrLst meth="repeat">
      <a:schemeClr val="lt1"/>
    </dgm:linClrLst>
    <dgm:effectClrLst/>
    <dgm:txLinClrLst/>
    <dgm:txFillClrLst/>
    <dgm:txEffectClrLst/>
  </dgm:styleLbl>
  <dgm:styleLbl name="asst4">
    <dgm:fillClrLst meth="repeat">
      <a:schemeClr val="accent1"/>
    </dgm:fillClrLst>
    <dgm:linClrLst meth="repeat">
      <a:schemeClr val="lt1"/>
    </dgm:linClrLst>
    <dgm:effectClrLst/>
    <dgm:txLinClrLst/>
    <dgm:txFillClrLst/>
    <dgm:txEffectClrLst/>
  </dgm:styleLbl>
  <dgm:styleLbl name="parChTrans2D1">
    <dgm:fillClrLst meth="repeat">
      <a:schemeClr val="accent1">
        <a:tint val="60000"/>
      </a:schemeClr>
    </dgm:fillClrLst>
    <dgm:linClrLst meth="repeat">
      <a:schemeClr val="accent1">
        <a:tint val="60000"/>
      </a:schemeClr>
    </dgm:linClrLst>
    <dgm:effectClrLst/>
    <dgm:txLinClrLst/>
    <dgm:txFillClrLst meth="repeat">
      <a:schemeClr val="lt1"/>
    </dgm:txFillClrLst>
    <dgm:txEffectClrLst/>
  </dgm:styleLbl>
  <dgm:styleLbl name="parChTrans2D2">
    <dgm:fillClrLst meth="repeat">
      <a:schemeClr val="accent1"/>
    </dgm:fillClrLst>
    <dgm:linClrLst meth="repeat">
      <a:schemeClr val="accent1"/>
    </dgm:linClrLst>
    <dgm:effectClrLst/>
    <dgm:txLinClrLst/>
    <dgm:txFillClrLst meth="repeat">
      <a:schemeClr val="lt1"/>
    </dgm:txFillClrLst>
    <dgm:txEffectClrLst/>
  </dgm:styleLbl>
  <dgm:styleLbl name="parChTrans2D3">
    <dgm:fillClrLst meth="repeat">
      <a:schemeClr val="accent1"/>
    </dgm:fillClrLst>
    <dgm:linClrLst meth="repeat">
      <a:schemeClr val="accent1"/>
    </dgm:linClrLst>
    <dgm:effectClrLst/>
    <dgm:txLinClrLst/>
    <dgm:txFillClrLst meth="repeat">
      <a:schemeClr val="lt1"/>
    </dgm:txFillClrLst>
    <dgm:txEffectClrLst/>
  </dgm:styleLbl>
  <dgm:styleLbl name="parChTrans2D4">
    <dgm:fillClrLst meth="repeat">
      <a:schemeClr val="accent1"/>
    </dgm:fillClrLst>
    <dgm:linClrLst meth="repeat">
      <a:schemeClr val="accent1"/>
    </dgm:linClrLst>
    <dgm:effectClrLst/>
    <dgm:txLinClrLst/>
    <dgm:txFillClrLst meth="repeat">
      <a:schemeClr val="lt1"/>
    </dgm:txFillClrLst>
    <dgm:txEffectClrLst/>
  </dgm:styleLbl>
  <dgm:styleLbl name="parChTrans1D1">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2">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3">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parChTrans1D4">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con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align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1"/>
    </dgm:linClrLst>
    <dgm:effectClrLst/>
    <dgm:txLinClrLst/>
    <dgm:txFillClrLst meth="repeat">
      <a:schemeClr val="dk1"/>
    </dgm:txFillClrLst>
    <dgm:txEffectClrLst/>
  </dgm:styleLbl>
  <dgm:styleLbl name="b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solidFgAcc1">
    <dgm:fillClrLst meth="repeat">
      <a:schemeClr val="lt1"/>
    </dgm:fillClrLst>
    <dgm:linClrLst meth="repeat">
      <a:schemeClr val="accent1"/>
    </dgm:linClrLst>
    <dgm:effectClrLst/>
    <dgm:txLinClrLst/>
    <dgm:txFillClrLst meth="repeat">
      <a:schemeClr val="dk1"/>
    </dgm:txFillClrLst>
    <dgm:txEffectClrLst/>
  </dgm:styleLbl>
  <dgm:styleLbl name="solidAlignAcc1">
    <dgm:fillClrLst meth="repeat">
      <a:schemeClr val="lt1"/>
    </dgm:fillClrLst>
    <dgm:linClrLst meth="repeat">
      <a:schemeClr val="accent1"/>
    </dgm:linClrLst>
    <dgm:effectClrLst/>
    <dgm:txLinClrLst/>
    <dgm:txFillClrLst meth="repeat">
      <a:schemeClr val="dk1"/>
    </dgm:txFillClrLst>
    <dgm:txEffectClrLst/>
  </dgm:styleLbl>
  <dgm:styleLbl name="solidBgAcc1">
    <dgm:fillClrLst meth="repeat">
      <a:schemeClr val="lt1"/>
    </dgm:fillClrLst>
    <dgm:linClrLst meth="repeat">
      <a:schemeClr val="accent1"/>
    </dgm:linClrLst>
    <dgm:effectClrLst/>
    <dgm:txLinClrLst/>
    <dgm:txFillClrLst meth="repeat">
      <a:schemeClr val="dk1"/>
    </dgm:txFillClrLst>
    <dgm:txEffectClrLst/>
  </dgm:styleLbl>
  <dgm:styleLbl name="f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align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b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fgAcc0">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2">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3">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4">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bgShp">
    <dgm:fillClrLst meth="repeat">
      <a:schemeClr val="accent1">
        <a:tint val="40000"/>
      </a:schemeClr>
    </dgm:fillClrLst>
    <dgm:linClrLst meth="repeat">
      <a:schemeClr val="accent1"/>
    </dgm:linClrLst>
    <dgm:effectClrLst/>
    <dgm:txLinClrLst/>
    <dgm:txFillClrLst meth="repeat">
      <a:schemeClr val="dk1"/>
    </dgm:txFillClrLst>
    <dgm:txEffectClrLst/>
  </dgm:styleLbl>
  <dgm:styleLbl name="dkBgShp">
    <dgm:fillClrLst meth="repeat">
      <a:schemeClr val="accent1">
        <a:shade val="80000"/>
      </a:schemeClr>
    </dgm:fillClrLst>
    <dgm:linClrLst meth="repeat">
      <a:schemeClr val="accent1"/>
    </dgm:linClrLst>
    <dgm:effectClrLst/>
    <dgm:txLinClrLst/>
    <dgm:txFillClrLst meth="repeat">
      <a:schemeClr val="lt1"/>
    </dgm:txFillClrLst>
    <dgm:txEffectClrLst/>
  </dgm:styleLbl>
  <dgm:styleLbl name="trBgShp">
    <dgm:fillClrLst meth="repeat">
      <a:schemeClr val="accent1">
        <a:tint val="50000"/>
        <a:alpha val="40000"/>
      </a:schemeClr>
    </dgm:fillClrLst>
    <dgm:linClrLst meth="repeat">
      <a:schemeClr val="accent1"/>
    </dgm:linClrLst>
    <dgm:effectClrLst/>
    <dgm:txLinClrLst/>
    <dgm:txFillClrLst meth="repeat">
      <a:schemeClr val="lt1"/>
    </dgm:txFillClrLst>
    <dgm:txEffectClrLst/>
  </dgm:styleLbl>
  <dgm:styleLbl name="fgShp">
    <dgm:fillClrLst meth="repeat">
      <a:schemeClr val="accent1">
        <a:tint val="6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data1.xml><?xml version="1.0" encoding="utf-8"?>
<dgm:dataModel xmlns:dgm="http://schemas.openxmlformats.org/drawingml/2006/diagram" xmlns:a="http://schemas.openxmlformats.org/drawingml/2006/main">
  <dgm:ptLst>
    <dgm:pt modelId="{6A0A7118-D1FF-49B9-8080-D59744F421DC}" type="doc">
      <dgm:prSet loTypeId="urn:microsoft.com/office/officeart/2005/8/layout/hProcess9" loCatId="process" qsTypeId="urn:microsoft.com/office/officeart/2005/8/quickstyle/simple1" qsCatId="simple" csTypeId="urn:microsoft.com/office/officeart/2005/8/colors/accent1_2" csCatId="accent1" phldr="1"/>
      <dgm:spPr/>
    </dgm:pt>
    <dgm:pt modelId="{36127541-471B-4185-87BC-C82008670374}">
      <dgm:prSet phldrT="[Texto]"/>
      <dgm:spPr/>
      <dgm:t>
        <a:bodyPr/>
        <a:lstStyle/>
        <a:p>
          <a:r>
            <a:rPr lang="es-CO">
              <a:latin typeface="Arial" panose="020B0604020202020204" pitchFamily="34" charset="0"/>
              <a:cs typeface="Arial" panose="020B0604020202020204" pitchFamily="34" charset="0"/>
            </a:rPr>
            <a:t>Población objeto</a:t>
          </a:r>
          <a:endParaRPr lang="es-ES">
            <a:latin typeface="Arial" panose="020B0604020202020204" pitchFamily="34" charset="0"/>
            <a:cs typeface="Arial" panose="020B0604020202020204" pitchFamily="34" charset="0"/>
          </a:endParaRPr>
        </a:p>
      </dgm:t>
    </dgm:pt>
    <dgm:pt modelId="{71EA9A28-B0EB-4F81-A4D9-373F676D41EE}" type="parTrans" cxnId="{0D940B66-0E04-411E-9432-67AD45FF5A09}">
      <dgm:prSet/>
      <dgm:spPr/>
      <dgm:t>
        <a:bodyPr/>
        <a:lstStyle/>
        <a:p>
          <a:endParaRPr lang="es-ES">
            <a:latin typeface="Arial" panose="020B0604020202020204" pitchFamily="34" charset="0"/>
            <a:cs typeface="Arial" panose="020B0604020202020204" pitchFamily="34" charset="0"/>
          </a:endParaRPr>
        </a:p>
      </dgm:t>
    </dgm:pt>
    <dgm:pt modelId="{979C1568-6E3D-41EF-A4EB-700FAAED6B74}" type="sibTrans" cxnId="{0D940B66-0E04-411E-9432-67AD45FF5A09}">
      <dgm:prSet/>
      <dgm:spPr/>
      <dgm:t>
        <a:bodyPr/>
        <a:lstStyle/>
        <a:p>
          <a:endParaRPr lang="es-ES">
            <a:latin typeface="Arial" panose="020B0604020202020204" pitchFamily="34" charset="0"/>
            <a:cs typeface="Arial" panose="020B0604020202020204" pitchFamily="34" charset="0"/>
          </a:endParaRPr>
        </a:p>
      </dgm:t>
    </dgm:pt>
    <dgm:pt modelId="{20594B56-CD9E-4558-9356-704701662EE1}">
      <dgm:prSet/>
      <dgm:spPr/>
      <dgm:t>
        <a:bodyPr/>
        <a:lstStyle/>
        <a:p>
          <a:r>
            <a:rPr lang="es-CO">
              <a:latin typeface="Arial" panose="020B0604020202020204" pitchFamily="34" charset="0"/>
              <a:cs typeface="Arial" panose="020B0604020202020204" pitchFamily="34" charset="0"/>
            </a:rPr>
            <a:t>Servicios y tecnologías</a:t>
          </a:r>
          <a:endParaRPr lang="en-US">
            <a:latin typeface="Arial" panose="020B0604020202020204" pitchFamily="34" charset="0"/>
            <a:cs typeface="Arial" panose="020B0604020202020204" pitchFamily="34" charset="0"/>
          </a:endParaRPr>
        </a:p>
      </dgm:t>
    </dgm:pt>
    <dgm:pt modelId="{48E3F122-B66C-4947-B6E8-6347DD73F71F}" type="parTrans" cxnId="{2C876D6A-4D6D-4738-A20B-065C9DDECD37}">
      <dgm:prSet/>
      <dgm:spPr/>
      <dgm:t>
        <a:bodyPr/>
        <a:lstStyle/>
        <a:p>
          <a:endParaRPr lang="es-ES">
            <a:latin typeface="Arial" panose="020B0604020202020204" pitchFamily="34" charset="0"/>
            <a:cs typeface="Arial" panose="020B0604020202020204" pitchFamily="34" charset="0"/>
          </a:endParaRPr>
        </a:p>
      </dgm:t>
    </dgm:pt>
    <dgm:pt modelId="{81FA4C67-6689-4B91-9BEA-4A4AFD3CC80F}" type="sibTrans" cxnId="{2C876D6A-4D6D-4738-A20B-065C9DDECD37}">
      <dgm:prSet/>
      <dgm:spPr/>
      <dgm:t>
        <a:bodyPr/>
        <a:lstStyle/>
        <a:p>
          <a:endParaRPr lang="es-ES">
            <a:latin typeface="Arial" panose="020B0604020202020204" pitchFamily="34" charset="0"/>
            <a:cs typeface="Arial" panose="020B0604020202020204" pitchFamily="34" charset="0"/>
          </a:endParaRPr>
        </a:p>
      </dgm:t>
    </dgm:pt>
    <dgm:pt modelId="{C9D66B70-532C-43D3-9D4C-08E24A0C5A0E}">
      <dgm:prSet/>
      <dgm:spPr/>
      <dgm:t>
        <a:bodyPr/>
        <a:lstStyle/>
        <a:p>
          <a:r>
            <a:rPr lang="es-CO">
              <a:latin typeface="Arial" panose="020B0604020202020204" pitchFamily="34" charset="0"/>
              <a:cs typeface="Arial" panose="020B0604020202020204" pitchFamily="34" charset="0"/>
            </a:rPr>
            <a:t>Frecuencia de uso</a:t>
          </a:r>
          <a:endParaRPr lang="en-US">
            <a:latin typeface="Arial" panose="020B0604020202020204" pitchFamily="34" charset="0"/>
            <a:cs typeface="Arial" panose="020B0604020202020204" pitchFamily="34" charset="0"/>
          </a:endParaRPr>
        </a:p>
      </dgm:t>
    </dgm:pt>
    <dgm:pt modelId="{B2931E21-CF52-4F03-A38F-0944438EBFE4}" type="parTrans" cxnId="{D1E4A53A-50F8-42F2-8409-51C95E971A4D}">
      <dgm:prSet/>
      <dgm:spPr/>
      <dgm:t>
        <a:bodyPr/>
        <a:lstStyle/>
        <a:p>
          <a:endParaRPr lang="es-ES">
            <a:latin typeface="Arial" panose="020B0604020202020204" pitchFamily="34" charset="0"/>
            <a:cs typeface="Arial" panose="020B0604020202020204" pitchFamily="34" charset="0"/>
          </a:endParaRPr>
        </a:p>
      </dgm:t>
    </dgm:pt>
    <dgm:pt modelId="{B5CF82D2-9171-4652-948A-36775B6D2276}" type="sibTrans" cxnId="{D1E4A53A-50F8-42F2-8409-51C95E971A4D}">
      <dgm:prSet/>
      <dgm:spPr/>
      <dgm:t>
        <a:bodyPr/>
        <a:lstStyle/>
        <a:p>
          <a:endParaRPr lang="es-ES">
            <a:latin typeface="Arial" panose="020B0604020202020204" pitchFamily="34" charset="0"/>
            <a:cs typeface="Arial" panose="020B0604020202020204" pitchFamily="34" charset="0"/>
          </a:endParaRPr>
        </a:p>
      </dgm:t>
    </dgm:pt>
    <dgm:pt modelId="{813EEDAF-AB9C-4185-B8DF-033D43C358B6}">
      <dgm:prSet/>
      <dgm:spPr/>
      <dgm:t>
        <a:bodyPr/>
        <a:lstStyle/>
        <a:p>
          <a:r>
            <a:rPr lang="es-CO">
              <a:latin typeface="Arial" panose="020B0604020202020204" pitchFamily="34" charset="0"/>
              <a:cs typeface="Arial" panose="020B0604020202020204" pitchFamily="34" charset="0"/>
            </a:rPr>
            <a:t>Cantidad estimada</a:t>
          </a:r>
          <a:endParaRPr lang="en-US">
            <a:latin typeface="Arial" panose="020B0604020202020204" pitchFamily="34" charset="0"/>
            <a:cs typeface="Arial" panose="020B0604020202020204" pitchFamily="34" charset="0"/>
          </a:endParaRPr>
        </a:p>
      </dgm:t>
    </dgm:pt>
    <dgm:pt modelId="{CB29580B-15D7-487F-A2BD-2984365C2637}" type="parTrans" cxnId="{A00B003E-F500-4C0E-950A-D51C9FEC3049}">
      <dgm:prSet/>
      <dgm:spPr/>
      <dgm:t>
        <a:bodyPr/>
        <a:lstStyle/>
        <a:p>
          <a:endParaRPr lang="es-ES">
            <a:latin typeface="Arial" panose="020B0604020202020204" pitchFamily="34" charset="0"/>
            <a:cs typeface="Arial" panose="020B0604020202020204" pitchFamily="34" charset="0"/>
          </a:endParaRPr>
        </a:p>
      </dgm:t>
    </dgm:pt>
    <dgm:pt modelId="{99C1208A-32AF-4A57-8655-EA3C357143F9}" type="sibTrans" cxnId="{A00B003E-F500-4C0E-950A-D51C9FEC3049}">
      <dgm:prSet/>
      <dgm:spPr/>
      <dgm:t>
        <a:bodyPr/>
        <a:lstStyle/>
        <a:p>
          <a:endParaRPr lang="es-ES">
            <a:latin typeface="Arial" panose="020B0604020202020204" pitchFamily="34" charset="0"/>
            <a:cs typeface="Arial" panose="020B0604020202020204" pitchFamily="34" charset="0"/>
          </a:endParaRPr>
        </a:p>
      </dgm:t>
    </dgm:pt>
    <dgm:pt modelId="{AAA9B262-002A-4519-BBAD-85BC78FA7FDC}">
      <dgm:prSet/>
      <dgm:spPr/>
      <dgm:t>
        <a:bodyPr/>
        <a:lstStyle/>
        <a:p>
          <a:r>
            <a:rPr lang="es-CO">
              <a:latin typeface="Arial" panose="020B0604020202020204" pitchFamily="34" charset="0"/>
              <a:cs typeface="Arial" panose="020B0604020202020204" pitchFamily="34" charset="0"/>
            </a:rPr>
            <a:t>Costos y tarifas</a:t>
          </a:r>
          <a:endParaRPr lang="en-US">
            <a:latin typeface="Arial" panose="020B0604020202020204" pitchFamily="34" charset="0"/>
            <a:cs typeface="Arial" panose="020B0604020202020204" pitchFamily="34" charset="0"/>
          </a:endParaRPr>
        </a:p>
      </dgm:t>
    </dgm:pt>
    <dgm:pt modelId="{755E52FA-0844-402E-A50B-A7DA3E7C0034}" type="parTrans" cxnId="{B89B3EB2-EA8D-4FD0-8F5E-FD5E2FAB169E}">
      <dgm:prSet/>
      <dgm:spPr/>
      <dgm:t>
        <a:bodyPr/>
        <a:lstStyle/>
        <a:p>
          <a:endParaRPr lang="es-ES">
            <a:latin typeface="Arial" panose="020B0604020202020204" pitchFamily="34" charset="0"/>
            <a:cs typeface="Arial" panose="020B0604020202020204" pitchFamily="34" charset="0"/>
          </a:endParaRPr>
        </a:p>
      </dgm:t>
    </dgm:pt>
    <dgm:pt modelId="{23693D40-BCF0-48B7-BA91-688C4783C28F}" type="sibTrans" cxnId="{B89B3EB2-EA8D-4FD0-8F5E-FD5E2FAB169E}">
      <dgm:prSet/>
      <dgm:spPr/>
      <dgm:t>
        <a:bodyPr/>
        <a:lstStyle/>
        <a:p>
          <a:endParaRPr lang="es-ES">
            <a:latin typeface="Arial" panose="020B0604020202020204" pitchFamily="34" charset="0"/>
            <a:cs typeface="Arial" panose="020B0604020202020204" pitchFamily="34" charset="0"/>
          </a:endParaRPr>
        </a:p>
      </dgm:t>
    </dgm:pt>
    <dgm:pt modelId="{8AB0B25B-89BC-4F85-A0A4-053CF24776EB}">
      <dgm:prSet/>
      <dgm:spPr/>
      <dgm:t>
        <a:bodyPr/>
        <a:lstStyle/>
        <a:p>
          <a:r>
            <a:rPr lang="es-CO">
              <a:latin typeface="Arial" panose="020B0604020202020204" pitchFamily="34" charset="0"/>
              <a:cs typeface="Arial" panose="020B0604020202020204" pitchFamily="34" charset="0"/>
            </a:rPr>
            <a:t>Valor proyectado</a:t>
          </a:r>
          <a:endParaRPr lang="en-US">
            <a:latin typeface="Arial" panose="020B0604020202020204" pitchFamily="34" charset="0"/>
            <a:cs typeface="Arial" panose="020B0604020202020204" pitchFamily="34" charset="0"/>
          </a:endParaRPr>
        </a:p>
      </dgm:t>
    </dgm:pt>
    <dgm:pt modelId="{D654A924-6993-478E-8BEA-A5551CE45AAA}" type="parTrans" cxnId="{EED73F2B-0433-4662-8767-EC431593395E}">
      <dgm:prSet/>
      <dgm:spPr/>
      <dgm:t>
        <a:bodyPr/>
        <a:lstStyle/>
        <a:p>
          <a:endParaRPr lang="es-ES">
            <a:latin typeface="Arial" panose="020B0604020202020204" pitchFamily="34" charset="0"/>
            <a:cs typeface="Arial" panose="020B0604020202020204" pitchFamily="34" charset="0"/>
          </a:endParaRPr>
        </a:p>
      </dgm:t>
    </dgm:pt>
    <dgm:pt modelId="{BB07BE65-9A08-4B90-A755-B1E2DB54DE8F}" type="sibTrans" cxnId="{EED73F2B-0433-4662-8767-EC431593395E}">
      <dgm:prSet/>
      <dgm:spPr/>
      <dgm:t>
        <a:bodyPr/>
        <a:lstStyle/>
        <a:p>
          <a:endParaRPr lang="es-ES">
            <a:latin typeface="Arial" panose="020B0604020202020204" pitchFamily="34" charset="0"/>
            <a:cs typeface="Arial" panose="020B0604020202020204" pitchFamily="34" charset="0"/>
          </a:endParaRPr>
        </a:p>
      </dgm:t>
    </dgm:pt>
    <dgm:pt modelId="{168697D8-1FEF-4AA3-9C89-44D48CFB1DEE}">
      <dgm:prSet/>
      <dgm:spPr/>
      <dgm:t>
        <a:bodyPr/>
        <a:lstStyle/>
        <a:p>
          <a:r>
            <a:rPr lang="es-CO">
              <a:latin typeface="Arial" panose="020B0604020202020204" pitchFamily="34" charset="0"/>
              <a:cs typeface="Arial" panose="020B0604020202020204" pitchFamily="34" charset="0"/>
            </a:rPr>
            <a:t>Seguimiento y gestión del riesgo</a:t>
          </a:r>
          <a:endParaRPr lang="en-US">
            <a:latin typeface="Arial" panose="020B0604020202020204" pitchFamily="34" charset="0"/>
            <a:cs typeface="Arial" panose="020B0604020202020204" pitchFamily="34" charset="0"/>
          </a:endParaRPr>
        </a:p>
      </dgm:t>
    </dgm:pt>
    <dgm:pt modelId="{999252DC-CF85-4A39-AD99-50D904B78D37}" type="parTrans" cxnId="{E0354C19-E8BA-4D57-8873-C5E76D0349BC}">
      <dgm:prSet/>
      <dgm:spPr/>
      <dgm:t>
        <a:bodyPr/>
        <a:lstStyle/>
        <a:p>
          <a:endParaRPr lang="es-ES">
            <a:latin typeface="Arial" panose="020B0604020202020204" pitchFamily="34" charset="0"/>
            <a:cs typeface="Arial" panose="020B0604020202020204" pitchFamily="34" charset="0"/>
          </a:endParaRPr>
        </a:p>
      </dgm:t>
    </dgm:pt>
    <dgm:pt modelId="{5935DFDB-5C34-4FF2-92AE-AB9863478146}" type="sibTrans" cxnId="{E0354C19-E8BA-4D57-8873-C5E76D0349BC}">
      <dgm:prSet/>
      <dgm:spPr/>
      <dgm:t>
        <a:bodyPr/>
        <a:lstStyle/>
        <a:p>
          <a:endParaRPr lang="es-ES">
            <a:latin typeface="Arial" panose="020B0604020202020204" pitchFamily="34" charset="0"/>
            <a:cs typeface="Arial" panose="020B0604020202020204" pitchFamily="34" charset="0"/>
          </a:endParaRPr>
        </a:p>
      </dgm:t>
    </dgm:pt>
    <dgm:pt modelId="{9A463FB5-F5CF-48FF-8A78-727766A32A64}" type="pres">
      <dgm:prSet presAssocID="{6A0A7118-D1FF-49B9-8080-D59744F421DC}" presName="CompostProcess" presStyleCnt="0">
        <dgm:presLayoutVars>
          <dgm:dir/>
          <dgm:resizeHandles val="exact"/>
        </dgm:presLayoutVars>
      </dgm:prSet>
      <dgm:spPr/>
    </dgm:pt>
    <dgm:pt modelId="{909BB5B6-740B-483D-A3B9-3A7AA0F46E97}" type="pres">
      <dgm:prSet presAssocID="{6A0A7118-D1FF-49B9-8080-D59744F421DC}" presName="arrow" presStyleLbl="bgShp" presStyleIdx="0" presStyleCnt="1"/>
      <dgm:spPr/>
    </dgm:pt>
    <dgm:pt modelId="{7A52F27E-4CF3-423D-AD84-CC3EF50844A3}" type="pres">
      <dgm:prSet presAssocID="{6A0A7118-D1FF-49B9-8080-D59744F421DC}" presName="linearProcess" presStyleCnt="0"/>
      <dgm:spPr/>
    </dgm:pt>
    <dgm:pt modelId="{E5194A48-C9B7-4F10-B16F-B284B7066215}" type="pres">
      <dgm:prSet presAssocID="{36127541-471B-4185-87BC-C82008670374}" presName="textNode" presStyleLbl="node1" presStyleIdx="0" presStyleCnt="7">
        <dgm:presLayoutVars>
          <dgm:bulletEnabled val="1"/>
        </dgm:presLayoutVars>
      </dgm:prSet>
      <dgm:spPr/>
      <dgm:t>
        <a:bodyPr/>
        <a:lstStyle/>
        <a:p>
          <a:endParaRPr lang="es-ES"/>
        </a:p>
      </dgm:t>
    </dgm:pt>
    <dgm:pt modelId="{3A1E19D1-8FC0-4FE2-93DB-B2608747B404}" type="pres">
      <dgm:prSet presAssocID="{979C1568-6E3D-41EF-A4EB-700FAAED6B74}" presName="sibTrans" presStyleCnt="0"/>
      <dgm:spPr/>
    </dgm:pt>
    <dgm:pt modelId="{1507F910-BA56-4FEE-9361-E615EF6A1CEA}" type="pres">
      <dgm:prSet presAssocID="{20594B56-CD9E-4558-9356-704701662EE1}" presName="textNode" presStyleLbl="node1" presStyleIdx="1" presStyleCnt="7">
        <dgm:presLayoutVars>
          <dgm:bulletEnabled val="1"/>
        </dgm:presLayoutVars>
      </dgm:prSet>
      <dgm:spPr/>
      <dgm:t>
        <a:bodyPr/>
        <a:lstStyle/>
        <a:p>
          <a:endParaRPr lang="es-ES"/>
        </a:p>
      </dgm:t>
    </dgm:pt>
    <dgm:pt modelId="{E67A902E-5956-45B4-AD01-00B1BD20E6C6}" type="pres">
      <dgm:prSet presAssocID="{81FA4C67-6689-4B91-9BEA-4A4AFD3CC80F}" presName="sibTrans" presStyleCnt="0"/>
      <dgm:spPr/>
    </dgm:pt>
    <dgm:pt modelId="{E9DFD5B7-D3E4-45F5-B95F-F338851CD1A5}" type="pres">
      <dgm:prSet presAssocID="{C9D66B70-532C-43D3-9D4C-08E24A0C5A0E}" presName="textNode" presStyleLbl="node1" presStyleIdx="2" presStyleCnt="7">
        <dgm:presLayoutVars>
          <dgm:bulletEnabled val="1"/>
        </dgm:presLayoutVars>
      </dgm:prSet>
      <dgm:spPr/>
      <dgm:t>
        <a:bodyPr/>
        <a:lstStyle/>
        <a:p>
          <a:endParaRPr lang="es-ES"/>
        </a:p>
      </dgm:t>
    </dgm:pt>
    <dgm:pt modelId="{17DE194B-B276-4AB0-806E-F10A8DD57EF6}" type="pres">
      <dgm:prSet presAssocID="{B5CF82D2-9171-4652-948A-36775B6D2276}" presName="sibTrans" presStyleCnt="0"/>
      <dgm:spPr/>
    </dgm:pt>
    <dgm:pt modelId="{974B3A72-F65B-4357-8915-81D41B628CD7}" type="pres">
      <dgm:prSet presAssocID="{813EEDAF-AB9C-4185-B8DF-033D43C358B6}" presName="textNode" presStyleLbl="node1" presStyleIdx="3" presStyleCnt="7">
        <dgm:presLayoutVars>
          <dgm:bulletEnabled val="1"/>
        </dgm:presLayoutVars>
      </dgm:prSet>
      <dgm:spPr/>
      <dgm:t>
        <a:bodyPr/>
        <a:lstStyle/>
        <a:p>
          <a:endParaRPr lang="es-ES"/>
        </a:p>
      </dgm:t>
    </dgm:pt>
    <dgm:pt modelId="{FADA4999-6080-461A-8B1B-53BE44D2DDB8}" type="pres">
      <dgm:prSet presAssocID="{99C1208A-32AF-4A57-8655-EA3C357143F9}" presName="sibTrans" presStyleCnt="0"/>
      <dgm:spPr/>
    </dgm:pt>
    <dgm:pt modelId="{AF6FE945-C829-45F0-BD83-C1D0D0857F4C}" type="pres">
      <dgm:prSet presAssocID="{AAA9B262-002A-4519-BBAD-85BC78FA7FDC}" presName="textNode" presStyleLbl="node1" presStyleIdx="4" presStyleCnt="7">
        <dgm:presLayoutVars>
          <dgm:bulletEnabled val="1"/>
        </dgm:presLayoutVars>
      </dgm:prSet>
      <dgm:spPr/>
      <dgm:t>
        <a:bodyPr/>
        <a:lstStyle/>
        <a:p>
          <a:endParaRPr lang="es-ES"/>
        </a:p>
      </dgm:t>
    </dgm:pt>
    <dgm:pt modelId="{5DB0996A-F57D-488C-AC8F-0D5E77E512FE}" type="pres">
      <dgm:prSet presAssocID="{23693D40-BCF0-48B7-BA91-688C4783C28F}" presName="sibTrans" presStyleCnt="0"/>
      <dgm:spPr/>
    </dgm:pt>
    <dgm:pt modelId="{F1A7B92D-3D67-47D2-9E2E-265726446B9A}" type="pres">
      <dgm:prSet presAssocID="{8AB0B25B-89BC-4F85-A0A4-053CF24776EB}" presName="textNode" presStyleLbl="node1" presStyleIdx="5" presStyleCnt="7">
        <dgm:presLayoutVars>
          <dgm:bulletEnabled val="1"/>
        </dgm:presLayoutVars>
      </dgm:prSet>
      <dgm:spPr/>
      <dgm:t>
        <a:bodyPr/>
        <a:lstStyle/>
        <a:p>
          <a:endParaRPr lang="es-ES"/>
        </a:p>
      </dgm:t>
    </dgm:pt>
    <dgm:pt modelId="{E2CAF633-3FBA-4AD1-A7C3-57D0A3B8F5E3}" type="pres">
      <dgm:prSet presAssocID="{BB07BE65-9A08-4B90-A755-B1E2DB54DE8F}" presName="sibTrans" presStyleCnt="0"/>
      <dgm:spPr/>
    </dgm:pt>
    <dgm:pt modelId="{E7E066F4-551B-4018-9618-25C14A2370D5}" type="pres">
      <dgm:prSet presAssocID="{168697D8-1FEF-4AA3-9C89-44D48CFB1DEE}" presName="textNode" presStyleLbl="node1" presStyleIdx="6" presStyleCnt="7">
        <dgm:presLayoutVars>
          <dgm:bulletEnabled val="1"/>
        </dgm:presLayoutVars>
      </dgm:prSet>
      <dgm:spPr/>
      <dgm:t>
        <a:bodyPr/>
        <a:lstStyle/>
        <a:p>
          <a:endParaRPr lang="es-ES"/>
        </a:p>
      </dgm:t>
    </dgm:pt>
  </dgm:ptLst>
  <dgm:cxnLst>
    <dgm:cxn modelId="{D1E4A53A-50F8-42F2-8409-51C95E971A4D}" srcId="{6A0A7118-D1FF-49B9-8080-D59744F421DC}" destId="{C9D66B70-532C-43D3-9D4C-08E24A0C5A0E}" srcOrd="2" destOrd="0" parTransId="{B2931E21-CF52-4F03-A38F-0944438EBFE4}" sibTransId="{B5CF82D2-9171-4652-948A-36775B6D2276}"/>
    <dgm:cxn modelId="{DEDFB2FB-F97E-4368-A9CA-D46BE8EBCC01}" type="presOf" srcId="{AAA9B262-002A-4519-BBAD-85BC78FA7FDC}" destId="{AF6FE945-C829-45F0-BD83-C1D0D0857F4C}" srcOrd="0" destOrd="0" presId="urn:microsoft.com/office/officeart/2005/8/layout/hProcess9"/>
    <dgm:cxn modelId="{D08B0F9D-2604-4A7A-88DF-1199B0B35488}" type="presOf" srcId="{6A0A7118-D1FF-49B9-8080-D59744F421DC}" destId="{9A463FB5-F5CF-48FF-8A78-727766A32A64}" srcOrd="0" destOrd="0" presId="urn:microsoft.com/office/officeart/2005/8/layout/hProcess9"/>
    <dgm:cxn modelId="{0D940B66-0E04-411E-9432-67AD45FF5A09}" srcId="{6A0A7118-D1FF-49B9-8080-D59744F421DC}" destId="{36127541-471B-4185-87BC-C82008670374}" srcOrd="0" destOrd="0" parTransId="{71EA9A28-B0EB-4F81-A4D9-373F676D41EE}" sibTransId="{979C1568-6E3D-41EF-A4EB-700FAAED6B74}"/>
    <dgm:cxn modelId="{CE65990C-F652-45FA-8788-02A1234201B7}" type="presOf" srcId="{36127541-471B-4185-87BC-C82008670374}" destId="{E5194A48-C9B7-4F10-B16F-B284B7066215}" srcOrd="0" destOrd="0" presId="urn:microsoft.com/office/officeart/2005/8/layout/hProcess9"/>
    <dgm:cxn modelId="{D60949F4-A0B5-4934-8F72-4902630E62E4}" type="presOf" srcId="{168697D8-1FEF-4AA3-9C89-44D48CFB1DEE}" destId="{E7E066F4-551B-4018-9618-25C14A2370D5}" srcOrd="0" destOrd="0" presId="urn:microsoft.com/office/officeart/2005/8/layout/hProcess9"/>
    <dgm:cxn modelId="{E0354C19-E8BA-4D57-8873-C5E76D0349BC}" srcId="{6A0A7118-D1FF-49B9-8080-D59744F421DC}" destId="{168697D8-1FEF-4AA3-9C89-44D48CFB1DEE}" srcOrd="6" destOrd="0" parTransId="{999252DC-CF85-4A39-AD99-50D904B78D37}" sibTransId="{5935DFDB-5C34-4FF2-92AE-AB9863478146}"/>
    <dgm:cxn modelId="{B89B3EB2-EA8D-4FD0-8F5E-FD5E2FAB169E}" srcId="{6A0A7118-D1FF-49B9-8080-D59744F421DC}" destId="{AAA9B262-002A-4519-BBAD-85BC78FA7FDC}" srcOrd="4" destOrd="0" parTransId="{755E52FA-0844-402E-A50B-A7DA3E7C0034}" sibTransId="{23693D40-BCF0-48B7-BA91-688C4783C28F}"/>
    <dgm:cxn modelId="{FFC2007F-E9C5-4D07-8886-CD3CECC3E3FA}" type="presOf" srcId="{C9D66B70-532C-43D3-9D4C-08E24A0C5A0E}" destId="{E9DFD5B7-D3E4-45F5-B95F-F338851CD1A5}" srcOrd="0" destOrd="0" presId="urn:microsoft.com/office/officeart/2005/8/layout/hProcess9"/>
    <dgm:cxn modelId="{A00B003E-F500-4C0E-950A-D51C9FEC3049}" srcId="{6A0A7118-D1FF-49B9-8080-D59744F421DC}" destId="{813EEDAF-AB9C-4185-B8DF-033D43C358B6}" srcOrd="3" destOrd="0" parTransId="{CB29580B-15D7-487F-A2BD-2984365C2637}" sibTransId="{99C1208A-32AF-4A57-8655-EA3C357143F9}"/>
    <dgm:cxn modelId="{F7FDD483-FFA1-43BB-A80F-BAA31E0B3113}" type="presOf" srcId="{8AB0B25B-89BC-4F85-A0A4-053CF24776EB}" destId="{F1A7B92D-3D67-47D2-9E2E-265726446B9A}" srcOrd="0" destOrd="0" presId="urn:microsoft.com/office/officeart/2005/8/layout/hProcess9"/>
    <dgm:cxn modelId="{2C876D6A-4D6D-4738-A20B-065C9DDECD37}" srcId="{6A0A7118-D1FF-49B9-8080-D59744F421DC}" destId="{20594B56-CD9E-4558-9356-704701662EE1}" srcOrd="1" destOrd="0" parTransId="{48E3F122-B66C-4947-B6E8-6347DD73F71F}" sibTransId="{81FA4C67-6689-4B91-9BEA-4A4AFD3CC80F}"/>
    <dgm:cxn modelId="{EED73F2B-0433-4662-8767-EC431593395E}" srcId="{6A0A7118-D1FF-49B9-8080-D59744F421DC}" destId="{8AB0B25B-89BC-4F85-A0A4-053CF24776EB}" srcOrd="5" destOrd="0" parTransId="{D654A924-6993-478E-8BEA-A5551CE45AAA}" sibTransId="{BB07BE65-9A08-4B90-A755-B1E2DB54DE8F}"/>
    <dgm:cxn modelId="{9C622A24-5BE3-4DDF-95F0-417E4557FA56}" type="presOf" srcId="{20594B56-CD9E-4558-9356-704701662EE1}" destId="{1507F910-BA56-4FEE-9361-E615EF6A1CEA}" srcOrd="0" destOrd="0" presId="urn:microsoft.com/office/officeart/2005/8/layout/hProcess9"/>
    <dgm:cxn modelId="{1444502F-A742-4804-985E-5326D26176B2}" type="presOf" srcId="{813EEDAF-AB9C-4185-B8DF-033D43C358B6}" destId="{974B3A72-F65B-4357-8915-81D41B628CD7}" srcOrd="0" destOrd="0" presId="urn:microsoft.com/office/officeart/2005/8/layout/hProcess9"/>
    <dgm:cxn modelId="{A8685095-A02C-45EF-B147-9875FA598819}" type="presParOf" srcId="{9A463FB5-F5CF-48FF-8A78-727766A32A64}" destId="{909BB5B6-740B-483D-A3B9-3A7AA0F46E97}" srcOrd="0" destOrd="0" presId="urn:microsoft.com/office/officeart/2005/8/layout/hProcess9"/>
    <dgm:cxn modelId="{E48B2C98-C07C-42A3-8E2D-979937F3CFD5}" type="presParOf" srcId="{9A463FB5-F5CF-48FF-8A78-727766A32A64}" destId="{7A52F27E-4CF3-423D-AD84-CC3EF50844A3}" srcOrd="1" destOrd="0" presId="urn:microsoft.com/office/officeart/2005/8/layout/hProcess9"/>
    <dgm:cxn modelId="{EBDCC880-5813-4199-B2EE-E597A9AC4FEC}" type="presParOf" srcId="{7A52F27E-4CF3-423D-AD84-CC3EF50844A3}" destId="{E5194A48-C9B7-4F10-B16F-B284B7066215}" srcOrd="0" destOrd="0" presId="urn:microsoft.com/office/officeart/2005/8/layout/hProcess9"/>
    <dgm:cxn modelId="{8DF03915-AF94-44A2-A4F0-12324B0F5FC8}" type="presParOf" srcId="{7A52F27E-4CF3-423D-AD84-CC3EF50844A3}" destId="{3A1E19D1-8FC0-4FE2-93DB-B2608747B404}" srcOrd="1" destOrd="0" presId="urn:microsoft.com/office/officeart/2005/8/layout/hProcess9"/>
    <dgm:cxn modelId="{FFC81C61-6B0E-4FE8-81A4-72918B367135}" type="presParOf" srcId="{7A52F27E-4CF3-423D-AD84-CC3EF50844A3}" destId="{1507F910-BA56-4FEE-9361-E615EF6A1CEA}" srcOrd="2" destOrd="0" presId="urn:microsoft.com/office/officeart/2005/8/layout/hProcess9"/>
    <dgm:cxn modelId="{5D67D32A-FF03-47C6-AB44-5DD1DABB7A84}" type="presParOf" srcId="{7A52F27E-4CF3-423D-AD84-CC3EF50844A3}" destId="{E67A902E-5956-45B4-AD01-00B1BD20E6C6}" srcOrd="3" destOrd="0" presId="urn:microsoft.com/office/officeart/2005/8/layout/hProcess9"/>
    <dgm:cxn modelId="{8B979218-1616-4E74-A008-8A21380C7C46}" type="presParOf" srcId="{7A52F27E-4CF3-423D-AD84-CC3EF50844A3}" destId="{E9DFD5B7-D3E4-45F5-B95F-F338851CD1A5}" srcOrd="4" destOrd="0" presId="urn:microsoft.com/office/officeart/2005/8/layout/hProcess9"/>
    <dgm:cxn modelId="{F5D8245B-4F15-4C7C-8E0E-99EB906283ED}" type="presParOf" srcId="{7A52F27E-4CF3-423D-AD84-CC3EF50844A3}" destId="{17DE194B-B276-4AB0-806E-F10A8DD57EF6}" srcOrd="5" destOrd="0" presId="urn:microsoft.com/office/officeart/2005/8/layout/hProcess9"/>
    <dgm:cxn modelId="{22006F46-FD12-4C26-B826-3A1FEA4E8FF0}" type="presParOf" srcId="{7A52F27E-4CF3-423D-AD84-CC3EF50844A3}" destId="{974B3A72-F65B-4357-8915-81D41B628CD7}" srcOrd="6" destOrd="0" presId="urn:microsoft.com/office/officeart/2005/8/layout/hProcess9"/>
    <dgm:cxn modelId="{C5A9AA1C-6055-4A7F-8CEB-D4F90632F891}" type="presParOf" srcId="{7A52F27E-4CF3-423D-AD84-CC3EF50844A3}" destId="{FADA4999-6080-461A-8B1B-53BE44D2DDB8}" srcOrd="7" destOrd="0" presId="urn:microsoft.com/office/officeart/2005/8/layout/hProcess9"/>
    <dgm:cxn modelId="{FFEF3D76-4D30-434C-8C1F-936E812B173D}" type="presParOf" srcId="{7A52F27E-4CF3-423D-AD84-CC3EF50844A3}" destId="{AF6FE945-C829-45F0-BD83-C1D0D0857F4C}" srcOrd="8" destOrd="0" presId="urn:microsoft.com/office/officeart/2005/8/layout/hProcess9"/>
    <dgm:cxn modelId="{773AA675-534B-48B9-99C8-524ABFD62BF1}" type="presParOf" srcId="{7A52F27E-4CF3-423D-AD84-CC3EF50844A3}" destId="{5DB0996A-F57D-488C-AC8F-0D5E77E512FE}" srcOrd="9" destOrd="0" presId="urn:microsoft.com/office/officeart/2005/8/layout/hProcess9"/>
    <dgm:cxn modelId="{252ECACA-BC75-4672-B5BA-9B1064835972}" type="presParOf" srcId="{7A52F27E-4CF3-423D-AD84-CC3EF50844A3}" destId="{F1A7B92D-3D67-47D2-9E2E-265726446B9A}" srcOrd="10" destOrd="0" presId="urn:microsoft.com/office/officeart/2005/8/layout/hProcess9"/>
    <dgm:cxn modelId="{65EF87D9-D23B-453B-9FBC-CC7FF6B3B0B6}" type="presParOf" srcId="{7A52F27E-4CF3-423D-AD84-CC3EF50844A3}" destId="{E2CAF633-3FBA-4AD1-A7C3-57D0A3B8F5E3}" srcOrd="11" destOrd="0" presId="urn:microsoft.com/office/officeart/2005/8/layout/hProcess9"/>
    <dgm:cxn modelId="{381B8AE6-D12A-49FE-A029-2073CB6263F2}" type="presParOf" srcId="{7A52F27E-4CF3-423D-AD84-CC3EF50844A3}" destId="{E7E066F4-551B-4018-9618-25C14A2370D5}" srcOrd="12" destOrd="0" presId="urn:microsoft.com/office/officeart/2005/8/layout/hProcess9"/>
  </dgm:cxnLst>
  <dgm:bg/>
  <dgm:whole/>
  <dgm:extLst>
    <a:ext uri="http://schemas.microsoft.com/office/drawing/2008/diagram">
      <dsp:dataModelExt xmlns:dsp="http://schemas.microsoft.com/office/drawing/2008/diagram" relId="rId16" minVer="http://schemas.openxmlformats.org/drawingml/2006/diagram"/>
    </a:ext>
  </dgm:extLst>
</dgm:dataModel>
</file>

<file path=word/diagrams/data2.xml><?xml version="1.0" encoding="utf-8"?>
<dgm:dataModel xmlns:dgm="http://schemas.openxmlformats.org/drawingml/2006/diagram" xmlns:a="http://schemas.openxmlformats.org/drawingml/2006/main">
  <dgm:ptLst>
    <dgm:pt modelId="{DF1231FB-088D-4A1A-B839-F5BD40774E4B}" type="doc">
      <dgm:prSet loTypeId="urn:microsoft.com/office/officeart/2005/8/layout/pList1" loCatId="list" qsTypeId="urn:microsoft.com/office/officeart/2005/8/quickstyle/simple1" qsCatId="simple" csTypeId="urn:microsoft.com/office/officeart/2005/8/colors/accent1_2" csCatId="accent1" phldr="1"/>
      <dgm:spPr/>
      <dgm:t>
        <a:bodyPr/>
        <a:lstStyle/>
        <a:p>
          <a:endParaRPr lang="es-ES"/>
        </a:p>
      </dgm:t>
    </dgm:pt>
    <dgm:pt modelId="{F01B9097-2801-4890-AF6A-2597EA7A0A75}">
      <dgm:prSet phldrT="[Texto]"/>
      <dgm:spPr/>
      <dgm:t>
        <a:bodyPr/>
        <a:lstStyle/>
        <a:p>
          <a:r>
            <a:rPr lang="es-CO">
              <a:latin typeface="Arial" panose="020B0604020202020204" pitchFamily="34" charset="0"/>
              <a:cs typeface="Arial" panose="020B0604020202020204" pitchFamily="34" charset="0"/>
            </a:rPr>
            <a:t>CUPS (Clasificación Única de Procedimientos en Salud): permite identificar y codificar los procedimientos y servicios de salud.</a:t>
          </a:r>
          <a:endParaRPr lang="es-ES">
            <a:latin typeface="Arial" panose="020B0604020202020204" pitchFamily="34" charset="0"/>
            <a:cs typeface="Arial" panose="020B0604020202020204" pitchFamily="34" charset="0"/>
          </a:endParaRPr>
        </a:p>
      </dgm:t>
    </dgm:pt>
    <dgm:pt modelId="{C950D312-1BCB-4E3D-A602-A5FD12B02A09}" type="parTrans" cxnId="{606E1669-9EA8-47B5-9D6D-ADEB4915B977}">
      <dgm:prSet/>
      <dgm:spPr/>
      <dgm:t>
        <a:bodyPr/>
        <a:lstStyle/>
        <a:p>
          <a:endParaRPr lang="es-ES">
            <a:latin typeface="Arial" panose="020B0604020202020204" pitchFamily="34" charset="0"/>
            <a:cs typeface="Arial" panose="020B0604020202020204" pitchFamily="34" charset="0"/>
          </a:endParaRPr>
        </a:p>
      </dgm:t>
    </dgm:pt>
    <dgm:pt modelId="{B9F3856E-DC99-4C78-B2EE-DBEACD81EA93}" type="sibTrans" cxnId="{606E1669-9EA8-47B5-9D6D-ADEB4915B977}">
      <dgm:prSet/>
      <dgm:spPr/>
      <dgm:t>
        <a:bodyPr/>
        <a:lstStyle/>
        <a:p>
          <a:endParaRPr lang="es-ES">
            <a:latin typeface="Arial" panose="020B0604020202020204" pitchFamily="34" charset="0"/>
            <a:cs typeface="Arial" panose="020B0604020202020204" pitchFamily="34" charset="0"/>
          </a:endParaRPr>
        </a:p>
      </dgm:t>
    </dgm:pt>
    <dgm:pt modelId="{34A46B0B-2A3E-459C-AA3A-6DF9666329AB}">
      <dgm:prSet/>
      <dgm:spPr/>
      <dgm:t>
        <a:bodyPr/>
        <a:lstStyle/>
        <a:p>
          <a:r>
            <a:rPr lang="es-CO">
              <a:latin typeface="Arial" panose="020B0604020202020204" pitchFamily="34" charset="0"/>
              <a:cs typeface="Arial" panose="020B0604020202020204" pitchFamily="34" charset="0"/>
            </a:rPr>
            <a:t>CUM (Código Único de Medicamentos): permite identificar los medicamentos registrados y autorizados.</a:t>
          </a:r>
          <a:endParaRPr lang="en-US">
            <a:latin typeface="Arial" panose="020B0604020202020204" pitchFamily="34" charset="0"/>
            <a:cs typeface="Arial" panose="020B0604020202020204" pitchFamily="34" charset="0"/>
          </a:endParaRPr>
        </a:p>
      </dgm:t>
    </dgm:pt>
    <dgm:pt modelId="{D59061A2-CB42-4157-A56B-005018989B2A}" type="parTrans" cxnId="{C58A82EC-0D26-4A3F-BDD0-686B2840043A}">
      <dgm:prSet/>
      <dgm:spPr/>
      <dgm:t>
        <a:bodyPr/>
        <a:lstStyle/>
        <a:p>
          <a:endParaRPr lang="es-ES">
            <a:latin typeface="Arial" panose="020B0604020202020204" pitchFamily="34" charset="0"/>
            <a:cs typeface="Arial" panose="020B0604020202020204" pitchFamily="34" charset="0"/>
          </a:endParaRPr>
        </a:p>
      </dgm:t>
    </dgm:pt>
    <dgm:pt modelId="{DD7D42D8-C0AE-4C5E-AECB-9076919BD0DA}" type="sibTrans" cxnId="{C58A82EC-0D26-4A3F-BDD0-686B2840043A}">
      <dgm:prSet/>
      <dgm:spPr/>
      <dgm:t>
        <a:bodyPr/>
        <a:lstStyle/>
        <a:p>
          <a:endParaRPr lang="es-ES">
            <a:latin typeface="Arial" panose="020B0604020202020204" pitchFamily="34" charset="0"/>
            <a:cs typeface="Arial" panose="020B0604020202020204" pitchFamily="34" charset="0"/>
          </a:endParaRPr>
        </a:p>
      </dgm:t>
    </dgm:pt>
    <dgm:pt modelId="{E3A2CD5A-2C1E-439F-BEC9-6A94B85AE1BC}">
      <dgm:prSet/>
      <dgm:spPr/>
      <dgm:t>
        <a:bodyPr/>
        <a:lstStyle/>
        <a:p>
          <a:r>
            <a:rPr lang="es-CO">
              <a:latin typeface="Arial" panose="020B0604020202020204" pitchFamily="34" charset="0"/>
              <a:cs typeface="Arial" panose="020B0604020202020204" pitchFamily="34" charset="0"/>
            </a:rPr>
            <a:t>IUM (Identificador Único de Medicamentos): facilita la identificación estandarizada de los medicamentos en los procesos de información del sector salud.</a:t>
          </a:r>
          <a:endParaRPr lang="en-US">
            <a:latin typeface="Arial" panose="020B0604020202020204" pitchFamily="34" charset="0"/>
            <a:cs typeface="Arial" panose="020B0604020202020204" pitchFamily="34" charset="0"/>
          </a:endParaRPr>
        </a:p>
      </dgm:t>
    </dgm:pt>
    <dgm:pt modelId="{2812CC3F-ED80-43CE-AF62-7A583EC7A83F}" type="parTrans" cxnId="{A7479D16-A013-4A30-826C-06A7F02AA63E}">
      <dgm:prSet/>
      <dgm:spPr/>
      <dgm:t>
        <a:bodyPr/>
        <a:lstStyle/>
        <a:p>
          <a:endParaRPr lang="es-ES">
            <a:latin typeface="Arial" panose="020B0604020202020204" pitchFamily="34" charset="0"/>
            <a:cs typeface="Arial" panose="020B0604020202020204" pitchFamily="34" charset="0"/>
          </a:endParaRPr>
        </a:p>
      </dgm:t>
    </dgm:pt>
    <dgm:pt modelId="{381716FC-851B-4A2F-A34C-6BE68131F20E}" type="sibTrans" cxnId="{A7479D16-A013-4A30-826C-06A7F02AA63E}">
      <dgm:prSet/>
      <dgm:spPr/>
      <dgm:t>
        <a:bodyPr/>
        <a:lstStyle/>
        <a:p>
          <a:endParaRPr lang="es-ES">
            <a:latin typeface="Arial" panose="020B0604020202020204" pitchFamily="34" charset="0"/>
            <a:cs typeface="Arial" panose="020B0604020202020204" pitchFamily="34" charset="0"/>
          </a:endParaRPr>
        </a:p>
      </dgm:t>
    </dgm:pt>
    <dgm:pt modelId="{555F5296-63FC-47B3-A626-B6C4192F4B20}" type="pres">
      <dgm:prSet presAssocID="{DF1231FB-088D-4A1A-B839-F5BD40774E4B}" presName="Name0" presStyleCnt="0">
        <dgm:presLayoutVars>
          <dgm:dir/>
          <dgm:resizeHandles val="exact"/>
        </dgm:presLayoutVars>
      </dgm:prSet>
      <dgm:spPr/>
      <dgm:t>
        <a:bodyPr/>
        <a:lstStyle/>
        <a:p>
          <a:endParaRPr lang="es-ES"/>
        </a:p>
      </dgm:t>
    </dgm:pt>
    <dgm:pt modelId="{0F3F736F-14B8-4416-88D1-B9FCB62C5171}" type="pres">
      <dgm:prSet presAssocID="{F01B9097-2801-4890-AF6A-2597EA7A0A75}" presName="compNode" presStyleCnt="0"/>
      <dgm:spPr/>
    </dgm:pt>
    <dgm:pt modelId="{5154F5E6-0FC8-42F4-87EF-C89B47FD6A44}" type="pres">
      <dgm:prSet presAssocID="{F01B9097-2801-4890-AF6A-2597EA7A0A75}" presName="pictRect" presStyleLbl="node1" presStyleIdx="0" presStyleCnt="3"/>
      <dgm:spPr>
        <a:blipFill rotWithShape="1">
          <a:blip xmlns:r="http://schemas.openxmlformats.org/officeDocument/2006/relationships" r:embed="rId1"/>
          <a:stretch>
            <a:fillRect/>
          </a:stretch>
        </a:blipFill>
      </dgm:spPr>
    </dgm:pt>
    <dgm:pt modelId="{A2B37E99-AA1A-43DE-B2D9-0C382BCAC5F9}" type="pres">
      <dgm:prSet presAssocID="{F01B9097-2801-4890-AF6A-2597EA7A0A75}" presName="textRect" presStyleLbl="revTx" presStyleIdx="0" presStyleCnt="3">
        <dgm:presLayoutVars>
          <dgm:bulletEnabled val="1"/>
        </dgm:presLayoutVars>
      </dgm:prSet>
      <dgm:spPr/>
      <dgm:t>
        <a:bodyPr/>
        <a:lstStyle/>
        <a:p>
          <a:endParaRPr lang="es-ES"/>
        </a:p>
      </dgm:t>
    </dgm:pt>
    <dgm:pt modelId="{19648037-A190-481D-8234-9A4DC8A392DA}" type="pres">
      <dgm:prSet presAssocID="{B9F3856E-DC99-4C78-B2EE-DBEACD81EA93}" presName="sibTrans" presStyleLbl="sibTrans2D1" presStyleIdx="0" presStyleCnt="0"/>
      <dgm:spPr/>
      <dgm:t>
        <a:bodyPr/>
        <a:lstStyle/>
        <a:p>
          <a:endParaRPr lang="es-ES"/>
        </a:p>
      </dgm:t>
    </dgm:pt>
    <dgm:pt modelId="{03B0AC82-B3C1-4E8C-B1DE-8B5BB9865904}" type="pres">
      <dgm:prSet presAssocID="{34A46B0B-2A3E-459C-AA3A-6DF9666329AB}" presName="compNode" presStyleCnt="0"/>
      <dgm:spPr/>
    </dgm:pt>
    <dgm:pt modelId="{D10E97D6-6556-4205-8A77-53058FFEFE4E}" type="pres">
      <dgm:prSet presAssocID="{34A46B0B-2A3E-459C-AA3A-6DF9666329AB}" presName="pictRect" presStyleLbl="node1" presStyleIdx="1" presStyleCnt="3"/>
      <dgm:spPr>
        <a:blipFill rotWithShape="1">
          <a:blip xmlns:r="http://schemas.openxmlformats.org/officeDocument/2006/relationships" r:embed="rId2"/>
          <a:stretch>
            <a:fillRect/>
          </a:stretch>
        </a:blipFill>
      </dgm:spPr>
    </dgm:pt>
    <dgm:pt modelId="{E93A71CE-85F2-44E9-BBF7-AF756E47C7F4}" type="pres">
      <dgm:prSet presAssocID="{34A46B0B-2A3E-459C-AA3A-6DF9666329AB}" presName="textRect" presStyleLbl="revTx" presStyleIdx="1" presStyleCnt="3">
        <dgm:presLayoutVars>
          <dgm:bulletEnabled val="1"/>
        </dgm:presLayoutVars>
      </dgm:prSet>
      <dgm:spPr/>
      <dgm:t>
        <a:bodyPr/>
        <a:lstStyle/>
        <a:p>
          <a:endParaRPr lang="es-ES"/>
        </a:p>
      </dgm:t>
    </dgm:pt>
    <dgm:pt modelId="{CD7126AE-88C6-4E40-B3F3-878732CDC927}" type="pres">
      <dgm:prSet presAssocID="{DD7D42D8-C0AE-4C5E-AECB-9076919BD0DA}" presName="sibTrans" presStyleLbl="sibTrans2D1" presStyleIdx="0" presStyleCnt="0"/>
      <dgm:spPr/>
      <dgm:t>
        <a:bodyPr/>
        <a:lstStyle/>
        <a:p>
          <a:endParaRPr lang="es-ES"/>
        </a:p>
      </dgm:t>
    </dgm:pt>
    <dgm:pt modelId="{7F9F1DE6-10B0-49A9-8690-D8E127EC9ADC}" type="pres">
      <dgm:prSet presAssocID="{E3A2CD5A-2C1E-439F-BEC9-6A94B85AE1BC}" presName="compNode" presStyleCnt="0"/>
      <dgm:spPr/>
    </dgm:pt>
    <dgm:pt modelId="{DE3B16C2-31AB-4A43-8097-07D2B9A26244}" type="pres">
      <dgm:prSet presAssocID="{E3A2CD5A-2C1E-439F-BEC9-6A94B85AE1BC}" presName="pictRect" presStyleLbl="node1" presStyleIdx="2" presStyleCnt="3"/>
      <dgm:spPr>
        <a:blipFill rotWithShape="1">
          <a:blip xmlns:r="http://schemas.openxmlformats.org/officeDocument/2006/relationships" r:embed="rId3"/>
          <a:stretch>
            <a:fillRect/>
          </a:stretch>
        </a:blipFill>
      </dgm:spPr>
    </dgm:pt>
    <dgm:pt modelId="{6CF01C65-FA6C-4570-B165-10DC8E2F0FF3}" type="pres">
      <dgm:prSet presAssocID="{E3A2CD5A-2C1E-439F-BEC9-6A94B85AE1BC}" presName="textRect" presStyleLbl="revTx" presStyleIdx="2" presStyleCnt="3">
        <dgm:presLayoutVars>
          <dgm:bulletEnabled val="1"/>
        </dgm:presLayoutVars>
      </dgm:prSet>
      <dgm:spPr/>
      <dgm:t>
        <a:bodyPr/>
        <a:lstStyle/>
        <a:p>
          <a:endParaRPr lang="es-ES"/>
        </a:p>
      </dgm:t>
    </dgm:pt>
  </dgm:ptLst>
  <dgm:cxnLst>
    <dgm:cxn modelId="{EFDD3E55-A04E-4504-9B31-80240CE475CA}" type="presOf" srcId="{DD7D42D8-C0AE-4C5E-AECB-9076919BD0DA}" destId="{CD7126AE-88C6-4E40-B3F3-878732CDC927}" srcOrd="0" destOrd="0" presId="urn:microsoft.com/office/officeart/2005/8/layout/pList1"/>
    <dgm:cxn modelId="{3320F356-1E26-4A3A-8783-ECB63E93791B}" type="presOf" srcId="{B9F3856E-DC99-4C78-B2EE-DBEACD81EA93}" destId="{19648037-A190-481D-8234-9A4DC8A392DA}" srcOrd="0" destOrd="0" presId="urn:microsoft.com/office/officeart/2005/8/layout/pList1"/>
    <dgm:cxn modelId="{24D3A533-DDA5-4D24-9AC9-E2370BCC7CEC}" type="presOf" srcId="{E3A2CD5A-2C1E-439F-BEC9-6A94B85AE1BC}" destId="{6CF01C65-FA6C-4570-B165-10DC8E2F0FF3}" srcOrd="0" destOrd="0" presId="urn:microsoft.com/office/officeart/2005/8/layout/pList1"/>
    <dgm:cxn modelId="{FF0BAA24-EBE9-4443-8BF0-C230B7996744}" type="presOf" srcId="{34A46B0B-2A3E-459C-AA3A-6DF9666329AB}" destId="{E93A71CE-85F2-44E9-BBF7-AF756E47C7F4}" srcOrd="0" destOrd="0" presId="urn:microsoft.com/office/officeart/2005/8/layout/pList1"/>
    <dgm:cxn modelId="{C58A82EC-0D26-4A3F-BDD0-686B2840043A}" srcId="{DF1231FB-088D-4A1A-B839-F5BD40774E4B}" destId="{34A46B0B-2A3E-459C-AA3A-6DF9666329AB}" srcOrd="1" destOrd="0" parTransId="{D59061A2-CB42-4157-A56B-005018989B2A}" sibTransId="{DD7D42D8-C0AE-4C5E-AECB-9076919BD0DA}"/>
    <dgm:cxn modelId="{7A61BFE1-6618-473C-B3A3-8F1C210AADF0}" type="presOf" srcId="{DF1231FB-088D-4A1A-B839-F5BD40774E4B}" destId="{555F5296-63FC-47B3-A626-B6C4192F4B20}" srcOrd="0" destOrd="0" presId="urn:microsoft.com/office/officeart/2005/8/layout/pList1"/>
    <dgm:cxn modelId="{A7479D16-A013-4A30-826C-06A7F02AA63E}" srcId="{DF1231FB-088D-4A1A-B839-F5BD40774E4B}" destId="{E3A2CD5A-2C1E-439F-BEC9-6A94B85AE1BC}" srcOrd="2" destOrd="0" parTransId="{2812CC3F-ED80-43CE-AF62-7A583EC7A83F}" sibTransId="{381716FC-851B-4A2F-A34C-6BE68131F20E}"/>
    <dgm:cxn modelId="{606E1669-9EA8-47B5-9D6D-ADEB4915B977}" srcId="{DF1231FB-088D-4A1A-B839-F5BD40774E4B}" destId="{F01B9097-2801-4890-AF6A-2597EA7A0A75}" srcOrd="0" destOrd="0" parTransId="{C950D312-1BCB-4E3D-A602-A5FD12B02A09}" sibTransId="{B9F3856E-DC99-4C78-B2EE-DBEACD81EA93}"/>
    <dgm:cxn modelId="{3992B40B-FA36-4267-AC26-05A330162FAC}" type="presOf" srcId="{F01B9097-2801-4890-AF6A-2597EA7A0A75}" destId="{A2B37E99-AA1A-43DE-B2D9-0C382BCAC5F9}" srcOrd="0" destOrd="0" presId="urn:microsoft.com/office/officeart/2005/8/layout/pList1"/>
    <dgm:cxn modelId="{71CC95EB-243C-4000-8F56-2C07D6FF3EAC}" type="presParOf" srcId="{555F5296-63FC-47B3-A626-B6C4192F4B20}" destId="{0F3F736F-14B8-4416-88D1-B9FCB62C5171}" srcOrd="0" destOrd="0" presId="urn:microsoft.com/office/officeart/2005/8/layout/pList1"/>
    <dgm:cxn modelId="{10F4FD32-CCD9-42E9-A4F3-26BF3625956E}" type="presParOf" srcId="{0F3F736F-14B8-4416-88D1-B9FCB62C5171}" destId="{5154F5E6-0FC8-42F4-87EF-C89B47FD6A44}" srcOrd="0" destOrd="0" presId="urn:microsoft.com/office/officeart/2005/8/layout/pList1"/>
    <dgm:cxn modelId="{573D185F-DB66-4B7C-B1CB-624D1C08409F}" type="presParOf" srcId="{0F3F736F-14B8-4416-88D1-B9FCB62C5171}" destId="{A2B37E99-AA1A-43DE-B2D9-0C382BCAC5F9}" srcOrd="1" destOrd="0" presId="urn:microsoft.com/office/officeart/2005/8/layout/pList1"/>
    <dgm:cxn modelId="{83779232-6B81-4745-AE28-18209BD6C97F}" type="presParOf" srcId="{555F5296-63FC-47B3-A626-B6C4192F4B20}" destId="{19648037-A190-481D-8234-9A4DC8A392DA}" srcOrd="1" destOrd="0" presId="urn:microsoft.com/office/officeart/2005/8/layout/pList1"/>
    <dgm:cxn modelId="{1821D6D5-1DB8-43E1-AD17-C8799803136A}" type="presParOf" srcId="{555F5296-63FC-47B3-A626-B6C4192F4B20}" destId="{03B0AC82-B3C1-4E8C-B1DE-8B5BB9865904}" srcOrd="2" destOrd="0" presId="urn:microsoft.com/office/officeart/2005/8/layout/pList1"/>
    <dgm:cxn modelId="{665722C6-B0DD-4508-98FC-498E841B9E8A}" type="presParOf" srcId="{03B0AC82-B3C1-4E8C-B1DE-8B5BB9865904}" destId="{D10E97D6-6556-4205-8A77-53058FFEFE4E}" srcOrd="0" destOrd="0" presId="urn:microsoft.com/office/officeart/2005/8/layout/pList1"/>
    <dgm:cxn modelId="{4744BFF5-6DE2-48B7-A71B-19DE00DBB231}" type="presParOf" srcId="{03B0AC82-B3C1-4E8C-B1DE-8B5BB9865904}" destId="{E93A71CE-85F2-44E9-BBF7-AF756E47C7F4}" srcOrd="1" destOrd="0" presId="urn:microsoft.com/office/officeart/2005/8/layout/pList1"/>
    <dgm:cxn modelId="{25C703BC-F0E7-41F5-AC88-2733DD53F74E}" type="presParOf" srcId="{555F5296-63FC-47B3-A626-B6C4192F4B20}" destId="{CD7126AE-88C6-4E40-B3F3-878732CDC927}" srcOrd="3" destOrd="0" presId="urn:microsoft.com/office/officeart/2005/8/layout/pList1"/>
    <dgm:cxn modelId="{B65DEAD6-8509-4673-9656-65375A9DFAEA}" type="presParOf" srcId="{555F5296-63FC-47B3-A626-B6C4192F4B20}" destId="{7F9F1DE6-10B0-49A9-8690-D8E127EC9ADC}" srcOrd="4" destOrd="0" presId="urn:microsoft.com/office/officeart/2005/8/layout/pList1"/>
    <dgm:cxn modelId="{C7673103-3BE7-4FB5-ACF3-57D2D01A537F}" type="presParOf" srcId="{7F9F1DE6-10B0-49A9-8690-D8E127EC9ADC}" destId="{DE3B16C2-31AB-4A43-8097-07D2B9A26244}" srcOrd="0" destOrd="0" presId="urn:microsoft.com/office/officeart/2005/8/layout/pList1"/>
    <dgm:cxn modelId="{F161BE3C-281D-4914-B969-866C5486C42F}" type="presParOf" srcId="{7F9F1DE6-10B0-49A9-8690-D8E127EC9ADC}" destId="{6CF01C65-FA6C-4570-B165-10DC8E2F0FF3}" srcOrd="1" destOrd="0" presId="urn:microsoft.com/office/officeart/2005/8/layout/pList1"/>
  </dgm:cxnLst>
  <dgm:bg/>
  <dgm:whole/>
  <dgm:extLst>
    <a:ext uri="http://schemas.microsoft.com/office/drawing/2008/diagram">
      <dsp:dataModelExt xmlns:dsp="http://schemas.microsoft.com/office/drawing/2008/diagram" relId="rId21" minVer="http://schemas.openxmlformats.org/drawingml/2006/diagram"/>
    </a:ext>
  </dgm:extLst>
</dgm:dataModel>
</file>

<file path=word/diagrams/data3.xml><?xml version="1.0" encoding="utf-8"?>
<dgm:dataModel xmlns:dgm="http://schemas.openxmlformats.org/drawingml/2006/diagram" xmlns:a="http://schemas.openxmlformats.org/drawingml/2006/main">
  <dgm:ptLst>
    <dgm:pt modelId="{1F19D081-3533-4CF5-BB96-2358B36605CE}" type="doc">
      <dgm:prSet loTypeId="urn:microsoft.com/office/officeart/2005/8/layout/vList3" loCatId="picture" qsTypeId="urn:microsoft.com/office/officeart/2005/8/quickstyle/simple1" qsCatId="simple" csTypeId="urn:microsoft.com/office/officeart/2005/8/colors/colorful3" csCatId="colorful" phldr="1"/>
      <dgm:spPr/>
      <dgm:t>
        <a:bodyPr/>
        <a:lstStyle/>
        <a:p>
          <a:endParaRPr lang="es-ES"/>
        </a:p>
      </dgm:t>
    </dgm:pt>
    <dgm:pt modelId="{4F8BC729-EE3E-483D-9240-BB201FF58C8C}">
      <dgm:prSet phldrT="[Texto]"/>
      <dgm:spPr/>
      <dgm:t>
        <a:bodyPr/>
        <a:lstStyle/>
        <a:p>
          <a:r>
            <a:rPr lang="es-CO">
              <a:latin typeface="Arial" panose="020B0604020202020204" pitchFamily="34" charset="0"/>
              <a:cs typeface="Arial" panose="020B0604020202020204" pitchFamily="34" charset="0"/>
            </a:rPr>
            <a:t>Insumos y materiales requeridos para la prestación.</a:t>
          </a:r>
          <a:endParaRPr lang="es-ES">
            <a:latin typeface="Arial" panose="020B0604020202020204" pitchFamily="34" charset="0"/>
            <a:cs typeface="Arial" panose="020B0604020202020204" pitchFamily="34" charset="0"/>
          </a:endParaRPr>
        </a:p>
      </dgm:t>
    </dgm:pt>
    <dgm:pt modelId="{D25934FD-E105-457A-8737-5E222DBCD6EF}" type="parTrans" cxnId="{03F5BF0C-B66B-4AF6-AA08-C78A65F88EC3}">
      <dgm:prSet/>
      <dgm:spPr/>
      <dgm:t>
        <a:bodyPr/>
        <a:lstStyle/>
        <a:p>
          <a:endParaRPr lang="es-ES">
            <a:latin typeface="Arial" panose="020B0604020202020204" pitchFamily="34" charset="0"/>
            <a:cs typeface="Arial" panose="020B0604020202020204" pitchFamily="34" charset="0"/>
          </a:endParaRPr>
        </a:p>
      </dgm:t>
    </dgm:pt>
    <dgm:pt modelId="{A91D5DD6-738C-46B9-9B9F-03EF58321B59}" type="sibTrans" cxnId="{03F5BF0C-B66B-4AF6-AA08-C78A65F88EC3}">
      <dgm:prSet/>
      <dgm:spPr/>
      <dgm:t>
        <a:bodyPr/>
        <a:lstStyle/>
        <a:p>
          <a:endParaRPr lang="es-ES">
            <a:latin typeface="Arial" panose="020B0604020202020204" pitchFamily="34" charset="0"/>
            <a:cs typeface="Arial" panose="020B0604020202020204" pitchFamily="34" charset="0"/>
          </a:endParaRPr>
        </a:p>
      </dgm:t>
    </dgm:pt>
    <dgm:pt modelId="{C5781C32-A462-4659-91B2-2696C13259FD}">
      <dgm:prSet/>
      <dgm:spPr/>
      <dgm:t>
        <a:bodyPr/>
        <a:lstStyle/>
        <a:p>
          <a:r>
            <a:rPr lang="es-CO">
              <a:latin typeface="Arial" panose="020B0604020202020204" pitchFamily="34" charset="0"/>
              <a:cs typeface="Arial" panose="020B0604020202020204" pitchFamily="34" charset="0"/>
            </a:rPr>
            <a:t>Talento humano, según el tiempo destinado a la atención.</a:t>
          </a:r>
          <a:endParaRPr lang="en-US">
            <a:latin typeface="Arial" panose="020B0604020202020204" pitchFamily="34" charset="0"/>
            <a:cs typeface="Arial" panose="020B0604020202020204" pitchFamily="34" charset="0"/>
          </a:endParaRPr>
        </a:p>
      </dgm:t>
    </dgm:pt>
    <dgm:pt modelId="{E6AE8688-75CB-4628-8D6D-491B6DE18A93}" type="parTrans" cxnId="{2C4C6BF1-194D-4FAD-BC8F-FE1FBB2A1A5A}">
      <dgm:prSet/>
      <dgm:spPr/>
      <dgm:t>
        <a:bodyPr/>
        <a:lstStyle/>
        <a:p>
          <a:endParaRPr lang="es-ES">
            <a:latin typeface="Arial" panose="020B0604020202020204" pitchFamily="34" charset="0"/>
            <a:cs typeface="Arial" panose="020B0604020202020204" pitchFamily="34" charset="0"/>
          </a:endParaRPr>
        </a:p>
      </dgm:t>
    </dgm:pt>
    <dgm:pt modelId="{57F6B772-1F6A-44DE-88D7-A3FA9915F226}" type="sibTrans" cxnId="{2C4C6BF1-194D-4FAD-BC8F-FE1FBB2A1A5A}">
      <dgm:prSet/>
      <dgm:spPr/>
      <dgm:t>
        <a:bodyPr/>
        <a:lstStyle/>
        <a:p>
          <a:endParaRPr lang="es-ES">
            <a:latin typeface="Arial" panose="020B0604020202020204" pitchFamily="34" charset="0"/>
            <a:cs typeface="Arial" panose="020B0604020202020204" pitchFamily="34" charset="0"/>
          </a:endParaRPr>
        </a:p>
      </dgm:t>
    </dgm:pt>
    <dgm:pt modelId="{613E5F2D-E75A-4B92-99F4-5BBCE57A91E3}">
      <dgm:prSet/>
      <dgm:spPr/>
      <dgm:t>
        <a:bodyPr/>
        <a:lstStyle/>
        <a:p>
          <a:r>
            <a:rPr lang="es-CO">
              <a:latin typeface="Arial" panose="020B0604020202020204" pitchFamily="34" charset="0"/>
              <a:cs typeface="Arial" panose="020B0604020202020204" pitchFamily="34" charset="0"/>
            </a:rPr>
            <a:t>Depreciación de equipos e infraestructura.</a:t>
          </a:r>
          <a:endParaRPr lang="en-US">
            <a:latin typeface="Arial" panose="020B0604020202020204" pitchFamily="34" charset="0"/>
            <a:cs typeface="Arial" panose="020B0604020202020204" pitchFamily="34" charset="0"/>
          </a:endParaRPr>
        </a:p>
      </dgm:t>
    </dgm:pt>
    <dgm:pt modelId="{8A26129A-DF90-48DC-B4A4-B5E545C40CA8}" type="parTrans" cxnId="{3020D4D5-0ABD-420A-AE37-2EA3F83AC491}">
      <dgm:prSet/>
      <dgm:spPr/>
      <dgm:t>
        <a:bodyPr/>
        <a:lstStyle/>
        <a:p>
          <a:endParaRPr lang="es-ES">
            <a:latin typeface="Arial" panose="020B0604020202020204" pitchFamily="34" charset="0"/>
            <a:cs typeface="Arial" panose="020B0604020202020204" pitchFamily="34" charset="0"/>
          </a:endParaRPr>
        </a:p>
      </dgm:t>
    </dgm:pt>
    <dgm:pt modelId="{6EA66585-E0E7-4C5B-9E6C-2F42D5353A70}" type="sibTrans" cxnId="{3020D4D5-0ABD-420A-AE37-2EA3F83AC491}">
      <dgm:prSet/>
      <dgm:spPr/>
      <dgm:t>
        <a:bodyPr/>
        <a:lstStyle/>
        <a:p>
          <a:endParaRPr lang="es-ES">
            <a:latin typeface="Arial" panose="020B0604020202020204" pitchFamily="34" charset="0"/>
            <a:cs typeface="Arial" panose="020B0604020202020204" pitchFamily="34" charset="0"/>
          </a:endParaRPr>
        </a:p>
      </dgm:t>
    </dgm:pt>
    <dgm:pt modelId="{80A08E93-B338-4EE3-9C33-D691581D07EC}">
      <dgm:prSet/>
      <dgm:spPr/>
      <dgm:t>
        <a:bodyPr/>
        <a:lstStyle/>
        <a:p>
          <a:r>
            <a:rPr lang="es-CO">
              <a:latin typeface="Arial" panose="020B0604020202020204" pitchFamily="34" charset="0"/>
              <a:cs typeface="Arial" panose="020B0604020202020204" pitchFamily="34" charset="0"/>
            </a:rPr>
            <a:t>Recursos físicos y tecnológicos utilizados.</a:t>
          </a:r>
          <a:endParaRPr lang="en-US">
            <a:latin typeface="Arial" panose="020B0604020202020204" pitchFamily="34" charset="0"/>
            <a:cs typeface="Arial" panose="020B0604020202020204" pitchFamily="34" charset="0"/>
          </a:endParaRPr>
        </a:p>
      </dgm:t>
    </dgm:pt>
    <dgm:pt modelId="{CF6A6F62-E0FF-4916-B838-41B7ECB7BB67}" type="parTrans" cxnId="{23BAA4E4-4BFC-4664-9300-E5DFC4FC8CC9}">
      <dgm:prSet/>
      <dgm:spPr/>
      <dgm:t>
        <a:bodyPr/>
        <a:lstStyle/>
        <a:p>
          <a:endParaRPr lang="es-ES">
            <a:latin typeface="Arial" panose="020B0604020202020204" pitchFamily="34" charset="0"/>
            <a:cs typeface="Arial" panose="020B0604020202020204" pitchFamily="34" charset="0"/>
          </a:endParaRPr>
        </a:p>
      </dgm:t>
    </dgm:pt>
    <dgm:pt modelId="{2A350587-47C2-46EF-ACED-2E80FC2C4C53}" type="sibTrans" cxnId="{23BAA4E4-4BFC-4664-9300-E5DFC4FC8CC9}">
      <dgm:prSet/>
      <dgm:spPr/>
      <dgm:t>
        <a:bodyPr/>
        <a:lstStyle/>
        <a:p>
          <a:endParaRPr lang="es-ES">
            <a:latin typeface="Arial" panose="020B0604020202020204" pitchFamily="34" charset="0"/>
            <a:cs typeface="Arial" panose="020B0604020202020204" pitchFamily="34" charset="0"/>
          </a:endParaRPr>
        </a:p>
      </dgm:t>
    </dgm:pt>
    <dgm:pt modelId="{BCEC49E9-4CF8-4B1F-9325-B96261D4E74B}">
      <dgm:prSet/>
      <dgm:spPr/>
      <dgm:t>
        <a:bodyPr/>
        <a:lstStyle/>
        <a:p>
          <a:r>
            <a:rPr lang="es-CO">
              <a:latin typeface="Arial" panose="020B0604020202020204" pitchFamily="34" charset="0"/>
              <a:cs typeface="Arial" panose="020B0604020202020204" pitchFamily="34" charset="0"/>
            </a:rPr>
            <a:t>Recursos administrativos relacionados con la prestación.</a:t>
          </a:r>
          <a:endParaRPr lang="en-US">
            <a:latin typeface="Arial" panose="020B0604020202020204" pitchFamily="34" charset="0"/>
            <a:cs typeface="Arial" panose="020B0604020202020204" pitchFamily="34" charset="0"/>
          </a:endParaRPr>
        </a:p>
      </dgm:t>
    </dgm:pt>
    <dgm:pt modelId="{9195F005-515D-4966-81D6-15161C64FC0A}" type="parTrans" cxnId="{478467E0-BEB8-4E79-A2EB-15DF96894447}">
      <dgm:prSet/>
      <dgm:spPr/>
      <dgm:t>
        <a:bodyPr/>
        <a:lstStyle/>
        <a:p>
          <a:endParaRPr lang="es-ES">
            <a:latin typeface="Arial" panose="020B0604020202020204" pitchFamily="34" charset="0"/>
            <a:cs typeface="Arial" panose="020B0604020202020204" pitchFamily="34" charset="0"/>
          </a:endParaRPr>
        </a:p>
      </dgm:t>
    </dgm:pt>
    <dgm:pt modelId="{9A86B75A-2C5D-4135-BD24-F912D41CAD5C}" type="sibTrans" cxnId="{478467E0-BEB8-4E79-A2EB-15DF96894447}">
      <dgm:prSet/>
      <dgm:spPr/>
      <dgm:t>
        <a:bodyPr/>
        <a:lstStyle/>
        <a:p>
          <a:endParaRPr lang="es-ES">
            <a:latin typeface="Arial" panose="020B0604020202020204" pitchFamily="34" charset="0"/>
            <a:cs typeface="Arial" panose="020B0604020202020204" pitchFamily="34" charset="0"/>
          </a:endParaRPr>
        </a:p>
      </dgm:t>
    </dgm:pt>
    <dgm:pt modelId="{541FCD6C-CEEC-4D05-AA88-ED7711F0DD25}" type="pres">
      <dgm:prSet presAssocID="{1F19D081-3533-4CF5-BB96-2358B36605CE}" presName="linearFlow" presStyleCnt="0">
        <dgm:presLayoutVars>
          <dgm:dir/>
          <dgm:resizeHandles val="exact"/>
        </dgm:presLayoutVars>
      </dgm:prSet>
      <dgm:spPr/>
      <dgm:t>
        <a:bodyPr/>
        <a:lstStyle/>
        <a:p>
          <a:endParaRPr lang="es-ES"/>
        </a:p>
      </dgm:t>
    </dgm:pt>
    <dgm:pt modelId="{B39A4A8F-CC04-4D7F-B535-4F9AE8A76D52}" type="pres">
      <dgm:prSet presAssocID="{4F8BC729-EE3E-483D-9240-BB201FF58C8C}" presName="composite" presStyleCnt="0"/>
      <dgm:spPr/>
    </dgm:pt>
    <dgm:pt modelId="{CBA603B1-6D76-4727-8AD4-8B483A5F67FE}" type="pres">
      <dgm:prSet presAssocID="{4F8BC729-EE3E-483D-9240-BB201FF58C8C}" presName="imgShp" presStyleLbl="fgImgPlace1" presStyleIdx="0" presStyleCnt="5"/>
      <dgm:spPr>
        <a:blipFill rotWithShape="1">
          <a:blip xmlns:r="http://schemas.openxmlformats.org/officeDocument/2006/relationships" r:embed="rId1"/>
          <a:stretch>
            <a:fillRect/>
          </a:stretch>
        </a:blipFill>
      </dgm:spPr>
    </dgm:pt>
    <dgm:pt modelId="{B29AA94C-84B8-4441-B518-F984C4B993E4}" type="pres">
      <dgm:prSet presAssocID="{4F8BC729-EE3E-483D-9240-BB201FF58C8C}" presName="txShp" presStyleLbl="node1" presStyleIdx="0" presStyleCnt="5">
        <dgm:presLayoutVars>
          <dgm:bulletEnabled val="1"/>
        </dgm:presLayoutVars>
      </dgm:prSet>
      <dgm:spPr/>
      <dgm:t>
        <a:bodyPr/>
        <a:lstStyle/>
        <a:p>
          <a:endParaRPr lang="es-ES"/>
        </a:p>
      </dgm:t>
    </dgm:pt>
    <dgm:pt modelId="{0F69F4E8-8516-490A-92D2-CD24B06A1E0B}" type="pres">
      <dgm:prSet presAssocID="{A91D5DD6-738C-46B9-9B9F-03EF58321B59}" presName="spacing" presStyleCnt="0"/>
      <dgm:spPr/>
    </dgm:pt>
    <dgm:pt modelId="{49D7B455-A093-459A-BBA6-A0AF08EBD880}" type="pres">
      <dgm:prSet presAssocID="{C5781C32-A462-4659-91B2-2696C13259FD}" presName="composite" presStyleCnt="0"/>
      <dgm:spPr/>
    </dgm:pt>
    <dgm:pt modelId="{D3107823-EC20-482C-884F-3E7209B2627F}" type="pres">
      <dgm:prSet presAssocID="{C5781C32-A462-4659-91B2-2696C13259FD}" presName="imgShp" presStyleLbl="fgImgPlace1" presStyleIdx="1" presStyleCnt="5"/>
      <dgm:spPr>
        <a:blipFill rotWithShape="1">
          <a:blip xmlns:r="http://schemas.openxmlformats.org/officeDocument/2006/relationships" r:embed="rId2"/>
          <a:stretch>
            <a:fillRect/>
          </a:stretch>
        </a:blipFill>
      </dgm:spPr>
    </dgm:pt>
    <dgm:pt modelId="{269F57DA-684C-414F-B4C8-1E4E987E4853}" type="pres">
      <dgm:prSet presAssocID="{C5781C32-A462-4659-91B2-2696C13259FD}" presName="txShp" presStyleLbl="node1" presStyleIdx="1" presStyleCnt="5">
        <dgm:presLayoutVars>
          <dgm:bulletEnabled val="1"/>
        </dgm:presLayoutVars>
      </dgm:prSet>
      <dgm:spPr/>
      <dgm:t>
        <a:bodyPr/>
        <a:lstStyle/>
        <a:p>
          <a:endParaRPr lang="es-ES"/>
        </a:p>
      </dgm:t>
    </dgm:pt>
    <dgm:pt modelId="{766D51E3-33A5-4E08-9E10-A07D733A9597}" type="pres">
      <dgm:prSet presAssocID="{57F6B772-1F6A-44DE-88D7-A3FA9915F226}" presName="spacing" presStyleCnt="0"/>
      <dgm:spPr/>
    </dgm:pt>
    <dgm:pt modelId="{98D4C2B2-E148-4602-97FA-FF39EDDA3A22}" type="pres">
      <dgm:prSet presAssocID="{613E5F2D-E75A-4B92-99F4-5BBCE57A91E3}" presName="composite" presStyleCnt="0"/>
      <dgm:spPr/>
    </dgm:pt>
    <dgm:pt modelId="{0E2891EE-1E65-4E9E-92D0-AA6B8EF7A308}" type="pres">
      <dgm:prSet presAssocID="{613E5F2D-E75A-4B92-99F4-5BBCE57A91E3}" presName="imgShp" presStyleLbl="fgImgPlace1" presStyleIdx="2" presStyleCnt="5"/>
      <dgm:spPr>
        <a:blipFill rotWithShape="1">
          <a:blip xmlns:r="http://schemas.openxmlformats.org/officeDocument/2006/relationships" r:embed="rId3"/>
          <a:stretch>
            <a:fillRect/>
          </a:stretch>
        </a:blipFill>
      </dgm:spPr>
    </dgm:pt>
    <dgm:pt modelId="{2B7A583D-E3CC-43E7-9B31-ADF7A0F65ACD}" type="pres">
      <dgm:prSet presAssocID="{613E5F2D-E75A-4B92-99F4-5BBCE57A91E3}" presName="txShp" presStyleLbl="node1" presStyleIdx="2" presStyleCnt="5">
        <dgm:presLayoutVars>
          <dgm:bulletEnabled val="1"/>
        </dgm:presLayoutVars>
      </dgm:prSet>
      <dgm:spPr/>
      <dgm:t>
        <a:bodyPr/>
        <a:lstStyle/>
        <a:p>
          <a:endParaRPr lang="es-ES"/>
        </a:p>
      </dgm:t>
    </dgm:pt>
    <dgm:pt modelId="{FA6B3E5A-3C27-47F9-A9F4-85E92C3F4A00}" type="pres">
      <dgm:prSet presAssocID="{6EA66585-E0E7-4C5B-9E6C-2F42D5353A70}" presName="spacing" presStyleCnt="0"/>
      <dgm:spPr/>
    </dgm:pt>
    <dgm:pt modelId="{AAE87181-858D-420D-BA0C-02AE5CC0CD41}" type="pres">
      <dgm:prSet presAssocID="{80A08E93-B338-4EE3-9C33-D691581D07EC}" presName="composite" presStyleCnt="0"/>
      <dgm:spPr/>
    </dgm:pt>
    <dgm:pt modelId="{4E308750-91BD-40A8-A2A6-74FC3791F4F7}" type="pres">
      <dgm:prSet presAssocID="{80A08E93-B338-4EE3-9C33-D691581D07EC}" presName="imgShp" presStyleLbl="fgImgPlace1" presStyleIdx="3" presStyleCnt="5"/>
      <dgm:spPr>
        <a:blipFill rotWithShape="1">
          <a:blip xmlns:r="http://schemas.openxmlformats.org/officeDocument/2006/relationships" r:embed="rId4"/>
          <a:stretch>
            <a:fillRect/>
          </a:stretch>
        </a:blipFill>
      </dgm:spPr>
    </dgm:pt>
    <dgm:pt modelId="{A20C6F09-88ED-4EA6-A10A-9F06BF22D912}" type="pres">
      <dgm:prSet presAssocID="{80A08E93-B338-4EE3-9C33-D691581D07EC}" presName="txShp" presStyleLbl="node1" presStyleIdx="3" presStyleCnt="5">
        <dgm:presLayoutVars>
          <dgm:bulletEnabled val="1"/>
        </dgm:presLayoutVars>
      </dgm:prSet>
      <dgm:spPr/>
      <dgm:t>
        <a:bodyPr/>
        <a:lstStyle/>
        <a:p>
          <a:endParaRPr lang="es-ES"/>
        </a:p>
      </dgm:t>
    </dgm:pt>
    <dgm:pt modelId="{2639143F-0280-4C84-ABAE-BA31FA00A121}" type="pres">
      <dgm:prSet presAssocID="{2A350587-47C2-46EF-ACED-2E80FC2C4C53}" presName="spacing" presStyleCnt="0"/>
      <dgm:spPr/>
    </dgm:pt>
    <dgm:pt modelId="{BA3923A1-FDE4-4F7F-B4E1-CE60B49A4449}" type="pres">
      <dgm:prSet presAssocID="{BCEC49E9-4CF8-4B1F-9325-B96261D4E74B}" presName="composite" presStyleCnt="0"/>
      <dgm:spPr/>
    </dgm:pt>
    <dgm:pt modelId="{7A332DBC-A295-4C5C-9D5C-16EF1A98AD44}" type="pres">
      <dgm:prSet presAssocID="{BCEC49E9-4CF8-4B1F-9325-B96261D4E74B}" presName="imgShp" presStyleLbl="fgImgPlace1" presStyleIdx="4" presStyleCnt="5"/>
      <dgm:spPr>
        <a:blipFill rotWithShape="1">
          <a:blip xmlns:r="http://schemas.openxmlformats.org/officeDocument/2006/relationships" r:embed="rId5"/>
          <a:stretch>
            <a:fillRect/>
          </a:stretch>
        </a:blipFill>
      </dgm:spPr>
    </dgm:pt>
    <dgm:pt modelId="{F3EC86A9-C9A7-4827-92C1-25CFBB7A37F4}" type="pres">
      <dgm:prSet presAssocID="{BCEC49E9-4CF8-4B1F-9325-B96261D4E74B}" presName="txShp" presStyleLbl="node1" presStyleIdx="4" presStyleCnt="5">
        <dgm:presLayoutVars>
          <dgm:bulletEnabled val="1"/>
        </dgm:presLayoutVars>
      </dgm:prSet>
      <dgm:spPr/>
      <dgm:t>
        <a:bodyPr/>
        <a:lstStyle/>
        <a:p>
          <a:endParaRPr lang="es-ES"/>
        </a:p>
      </dgm:t>
    </dgm:pt>
  </dgm:ptLst>
  <dgm:cxnLst>
    <dgm:cxn modelId="{3244F972-B67D-47BF-B55B-D3F5BFA826FE}" type="presOf" srcId="{613E5F2D-E75A-4B92-99F4-5BBCE57A91E3}" destId="{2B7A583D-E3CC-43E7-9B31-ADF7A0F65ACD}" srcOrd="0" destOrd="0" presId="urn:microsoft.com/office/officeart/2005/8/layout/vList3"/>
    <dgm:cxn modelId="{DEA8B7BA-2E98-43D3-9520-5B3AF8FD4F0F}" type="presOf" srcId="{C5781C32-A462-4659-91B2-2696C13259FD}" destId="{269F57DA-684C-414F-B4C8-1E4E987E4853}" srcOrd="0" destOrd="0" presId="urn:microsoft.com/office/officeart/2005/8/layout/vList3"/>
    <dgm:cxn modelId="{3020D4D5-0ABD-420A-AE37-2EA3F83AC491}" srcId="{1F19D081-3533-4CF5-BB96-2358B36605CE}" destId="{613E5F2D-E75A-4B92-99F4-5BBCE57A91E3}" srcOrd="2" destOrd="0" parTransId="{8A26129A-DF90-48DC-B4A4-B5E545C40CA8}" sibTransId="{6EA66585-E0E7-4C5B-9E6C-2F42D5353A70}"/>
    <dgm:cxn modelId="{901DC008-00E1-4BCF-9CE7-A9807F3CC453}" type="presOf" srcId="{80A08E93-B338-4EE3-9C33-D691581D07EC}" destId="{A20C6F09-88ED-4EA6-A10A-9F06BF22D912}" srcOrd="0" destOrd="0" presId="urn:microsoft.com/office/officeart/2005/8/layout/vList3"/>
    <dgm:cxn modelId="{79FF8364-C4D1-48E0-892E-06ED55C82097}" type="presOf" srcId="{BCEC49E9-4CF8-4B1F-9325-B96261D4E74B}" destId="{F3EC86A9-C9A7-4827-92C1-25CFBB7A37F4}" srcOrd="0" destOrd="0" presId="urn:microsoft.com/office/officeart/2005/8/layout/vList3"/>
    <dgm:cxn modelId="{23BAA4E4-4BFC-4664-9300-E5DFC4FC8CC9}" srcId="{1F19D081-3533-4CF5-BB96-2358B36605CE}" destId="{80A08E93-B338-4EE3-9C33-D691581D07EC}" srcOrd="3" destOrd="0" parTransId="{CF6A6F62-E0FF-4916-B838-41B7ECB7BB67}" sibTransId="{2A350587-47C2-46EF-ACED-2E80FC2C4C53}"/>
    <dgm:cxn modelId="{478467E0-BEB8-4E79-A2EB-15DF96894447}" srcId="{1F19D081-3533-4CF5-BB96-2358B36605CE}" destId="{BCEC49E9-4CF8-4B1F-9325-B96261D4E74B}" srcOrd="4" destOrd="0" parTransId="{9195F005-515D-4966-81D6-15161C64FC0A}" sibTransId="{9A86B75A-2C5D-4135-BD24-F912D41CAD5C}"/>
    <dgm:cxn modelId="{2C4C6BF1-194D-4FAD-BC8F-FE1FBB2A1A5A}" srcId="{1F19D081-3533-4CF5-BB96-2358B36605CE}" destId="{C5781C32-A462-4659-91B2-2696C13259FD}" srcOrd="1" destOrd="0" parTransId="{E6AE8688-75CB-4628-8D6D-491B6DE18A93}" sibTransId="{57F6B772-1F6A-44DE-88D7-A3FA9915F226}"/>
    <dgm:cxn modelId="{B17C3108-FD05-438D-8C60-79FAE138EA66}" type="presOf" srcId="{1F19D081-3533-4CF5-BB96-2358B36605CE}" destId="{541FCD6C-CEEC-4D05-AA88-ED7711F0DD25}" srcOrd="0" destOrd="0" presId="urn:microsoft.com/office/officeart/2005/8/layout/vList3"/>
    <dgm:cxn modelId="{F61F2A11-BC1E-4A15-9DC5-3C46DA8D1892}" type="presOf" srcId="{4F8BC729-EE3E-483D-9240-BB201FF58C8C}" destId="{B29AA94C-84B8-4441-B518-F984C4B993E4}" srcOrd="0" destOrd="0" presId="urn:microsoft.com/office/officeart/2005/8/layout/vList3"/>
    <dgm:cxn modelId="{03F5BF0C-B66B-4AF6-AA08-C78A65F88EC3}" srcId="{1F19D081-3533-4CF5-BB96-2358B36605CE}" destId="{4F8BC729-EE3E-483D-9240-BB201FF58C8C}" srcOrd="0" destOrd="0" parTransId="{D25934FD-E105-457A-8737-5E222DBCD6EF}" sibTransId="{A91D5DD6-738C-46B9-9B9F-03EF58321B59}"/>
    <dgm:cxn modelId="{3E0DFFB0-AB8F-4E55-A34F-B99403BDBF7D}" type="presParOf" srcId="{541FCD6C-CEEC-4D05-AA88-ED7711F0DD25}" destId="{B39A4A8F-CC04-4D7F-B535-4F9AE8A76D52}" srcOrd="0" destOrd="0" presId="urn:microsoft.com/office/officeart/2005/8/layout/vList3"/>
    <dgm:cxn modelId="{AC482FE5-0500-448A-A156-B9EF25C0BD22}" type="presParOf" srcId="{B39A4A8F-CC04-4D7F-B535-4F9AE8A76D52}" destId="{CBA603B1-6D76-4727-8AD4-8B483A5F67FE}" srcOrd="0" destOrd="0" presId="urn:microsoft.com/office/officeart/2005/8/layout/vList3"/>
    <dgm:cxn modelId="{D4A2D490-DE5D-4276-A10C-CE1649AF88D6}" type="presParOf" srcId="{B39A4A8F-CC04-4D7F-B535-4F9AE8A76D52}" destId="{B29AA94C-84B8-4441-B518-F984C4B993E4}" srcOrd="1" destOrd="0" presId="urn:microsoft.com/office/officeart/2005/8/layout/vList3"/>
    <dgm:cxn modelId="{1000A34D-5CBB-4E7D-ABAB-84EDAA744868}" type="presParOf" srcId="{541FCD6C-CEEC-4D05-AA88-ED7711F0DD25}" destId="{0F69F4E8-8516-490A-92D2-CD24B06A1E0B}" srcOrd="1" destOrd="0" presId="urn:microsoft.com/office/officeart/2005/8/layout/vList3"/>
    <dgm:cxn modelId="{91DE9CEB-9A16-42FA-91C3-06D40344A14C}" type="presParOf" srcId="{541FCD6C-CEEC-4D05-AA88-ED7711F0DD25}" destId="{49D7B455-A093-459A-BBA6-A0AF08EBD880}" srcOrd="2" destOrd="0" presId="urn:microsoft.com/office/officeart/2005/8/layout/vList3"/>
    <dgm:cxn modelId="{2F9FD55E-B999-4ACB-9B7E-E8E3D106205C}" type="presParOf" srcId="{49D7B455-A093-459A-BBA6-A0AF08EBD880}" destId="{D3107823-EC20-482C-884F-3E7209B2627F}" srcOrd="0" destOrd="0" presId="urn:microsoft.com/office/officeart/2005/8/layout/vList3"/>
    <dgm:cxn modelId="{DC763396-E255-465B-96CE-FD9D328A176C}" type="presParOf" srcId="{49D7B455-A093-459A-BBA6-A0AF08EBD880}" destId="{269F57DA-684C-414F-B4C8-1E4E987E4853}" srcOrd="1" destOrd="0" presId="urn:microsoft.com/office/officeart/2005/8/layout/vList3"/>
    <dgm:cxn modelId="{6B4E023E-1AF0-4928-8E30-8266CC0D62DB}" type="presParOf" srcId="{541FCD6C-CEEC-4D05-AA88-ED7711F0DD25}" destId="{766D51E3-33A5-4E08-9E10-A07D733A9597}" srcOrd="3" destOrd="0" presId="urn:microsoft.com/office/officeart/2005/8/layout/vList3"/>
    <dgm:cxn modelId="{7B12FE01-F480-46B8-8388-861E3D4EEC56}" type="presParOf" srcId="{541FCD6C-CEEC-4D05-AA88-ED7711F0DD25}" destId="{98D4C2B2-E148-4602-97FA-FF39EDDA3A22}" srcOrd="4" destOrd="0" presId="urn:microsoft.com/office/officeart/2005/8/layout/vList3"/>
    <dgm:cxn modelId="{4DD814C6-4ADF-4AE7-97A1-63EB9232DF60}" type="presParOf" srcId="{98D4C2B2-E148-4602-97FA-FF39EDDA3A22}" destId="{0E2891EE-1E65-4E9E-92D0-AA6B8EF7A308}" srcOrd="0" destOrd="0" presId="urn:microsoft.com/office/officeart/2005/8/layout/vList3"/>
    <dgm:cxn modelId="{A99B2FED-2444-4E00-A2B9-1CBC8FD17848}" type="presParOf" srcId="{98D4C2B2-E148-4602-97FA-FF39EDDA3A22}" destId="{2B7A583D-E3CC-43E7-9B31-ADF7A0F65ACD}" srcOrd="1" destOrd="0" presId="urn:microsoft.com/office/officeart/2005/8/layout/vList3"/>
    <dgm:cxn modelId="{5C5F6DAC-EBAB-409E-8D68-A34B1C20E421}" type="presParOf" srcId="{541FCD6C-CEEC-4D05-AA88-ED7711F0DD25}" destId="{FA6B3E5A-3C27-47F9-A9F4-85E92C3F4A00}" srcOrd="5" destOrd="0" presId="urn:microsoft.com/office/officeart/2005/8/layout/vList3"/>
    <dgm:cxn modelId="{95502C70-5D11-4B17-8612-925D10F10B1B}" type="presParOf" srcId="{541FCD6C-CEEC-4D05-AA88-ED7711F0DD25}" destId="{AAE87181-858D-420D-BA0C-02AE5CC0CD41}" srcOrd="6" destOrd="0" presId="urn:microsoft.com/office/officeart/2005/8/layout/vList3"/>
    <dgm:cxn modelId="{5BDB3006-6792-46BF-9F5E-DB91CB778553}" type="presParOf" srcId="{AAE87181-858D-420D-BA0C-02AE5CC0CD41}" destId="{4E308750-91BD-40A8-A2A6-74FC3791F4F7}" srcOrd="0" destOrd="0" presId="urn:microsoft.com/office/officeart/2005/8/layout/vList3"/>
    <dgm:cxn modelId="{59D48D2C-441D-4C44-867C-6C442E2C9F79}" type="presParOf" srcId="{AAE87181-858D-420D-BA0C-02AE5CC0CD41}" destId="{A20C6F09-88ED-4EA6-A10A-9F06BF22D912}" srcOrd="1" destOrd="0" presId="urn:microsoft.com/office/officeart/2005/8/layout/vList3"/>
    <dgm:cxn modelId="{616D6F69-056C-43FB-B068-D0D5C481124F}" type="presParOf" srcId="{541FCD6C-CEEC-4D05-AA88-ED7711F0DD25}" destId="{2639143F-0280-4C84-ABAE-BA31FA00A121}" srcOrd="7" destOrd="0" presId="urn:microsoft.com/office/officeart/2005/8/layout/vList3"/>
    <dgm:cxn modelId="{DBEAFFE5-DD44-4C74-B842-C9952EAD3C2A}" type="presParOf" srcId="{541FCD6C-CEEC-4D05-AA88-ED7711F0DD25}" destId="{BA3923A1-FDE4-4F7F-B4E1-CE60B49A4449}" srcOrd="8" destOrd="0" presId="urn:microsoft.com/office/officeart/2005/8/layout/vList3"/>
    <dgm:cxn modelId="{05E863C8-4B14-498C-9FF6-6042D3073AF3}" type="presParOf" srcId="{BA3923A1-FDE4-4F7F-B4E1-CE60B49A4449}" destId="{7A332DBC-A295-4C5C-9D5C-16EF1A98AD44}" srcOrd="0" destOrd="0" presId="urn:microsoft.com/office/officeart/2005/8/layout/vList3"/>
    <dgm:cxn modelId="{4CBE593D-0C11-419B-9800-9249619583C4}" type="presParOf" srcId="{BA3923A1-FDE4-4F7F-B4E1-CE60B49A4449}" destId="{F3EC86A9-C9A7-4827-92C1-25CFBB7A37F4}" srcOrd="1" destOrd="0" presId="urn:microsoft.com/office/officeart/2005/8/layout/vList3"/>
  </dgm:cxnLst>
  <dgm:bg/>
  <dgm:whole/>
  <dgm:extLst>
    <a:ext uri="http://schemas.microsoft.com/office/drawing/2008/diagram">
      <dsp:dataModelExt xmlns:dsp="http://schemas.microsoft.com/office/drawing/2008/diagram" relId="rId26" minVer="http://schemas.openxmlformats.org/drawingml/2006/diagram"/>
    </a:ext>
  </dgm:extLst>
</dgm:dataModel>
</file>

<file path=word/diagrams/data4.xml><?xml version="1.0" encoding="utf-8"?>
<dgm:dataModel xmlns:dgm="http://schemas.openxmlformats.org/drawingml/2006/diagram" xmlns:a="http://schemas.openxmlformats.org/drawingml/2006/main">
  <dgm:ptLst>
    <dgm:pt modelId="{55EA97C4-A476-4CAD-90D0-24AE7E1E2860}" type="doc">
      <dgm:prSet loTypeId="urn:microsoft.com/office/officeart/2005/8/layout/bProcess3" loCatId="process" qsTypeId="urn:microsoft.com/office/officeart/2005/8/quickstyle/simple1" qsCatId="simple" csTypeId="urn:microsoft.com/office/officeart/2005/8/colors/accent1_2" csCatId="accent1" phldr="1"/>
      <dgm:spPr/>
      <dgm:t>
        <a:bodyPr/>
        <a:lstStyle/>
        <a:p>
          <a:endParaRPr lang="es-ES"/>
        </a:p>
      </dgm:t>
    </dgm:pt>
    <dgm:pt modelId="{238BF06B-F159-464B-8A3D-E872DA3EFFD3}">
      <dgm:prSet phldrT="[Texto]"/>
      <dgm:spPr/>
      <dgm:t>
        <a:bodyPr/>
        <a:lstStyle/>
        <a:p>
          <a:r>
            <a:rPr lang="es-CO">
              <a:latin typeface="Arial" panose="020B0604020202020204" pitchFamily="34" charset="0"/>
              <a:cs typeface="Arial" panose="020B0604020202020204" pitchFamily="34" charset="0"/>
            </a:rPr>
            <a:t>Población objeto</a:t>
          </a:r>
          <a:endParaRPr lang="es-ES">
            <a:latin typeface="Arial" panose="020B0604020202020204" pitchFamily="34" charset="0"/>
            <a:cs typeface="Arial" panose="020B0604020202020204" pitchFamily="34" charset="0"/>
          </a:endParaRPr>
        </a:p>
      </dgm:t>
    </dgm:pt>
    <dgm:pt modelId="{B43841D3-E45D-4F48-9D66-1AD89ADCC910}" type="parTrans" cxnId="{C862834C-9F56-4722-A290-77833C377A0B}">
      <dgm:prSet/>
      <dgm:spPr/>
      <dgm:t>
        <a:bodyPr/>
        <a:lstStyle/>
        <a:p>
          <a:endParaRPr lang="es-ES">
            <a:latin typeface="Arial" panose="020B0604020202020204" pitchFamily="34" charset="0"/>
            <a:cs typeface="Arial" panose="020B0604020202020204" pitchFamily="34" charset="0"/>
          </a:endParaRPr>
        </a:p>
      </dgm:t>
    </dgm:pt>
    <dgm:pt modelId="{73E50025-7E71-427F-9B36-A1395B9C2F04}" type="sibTrans" cxnId="{C862834C-9F56-4722-A290-77833C377A0B}">
      <dgm:prSet/>
      <dgm:spPr/>
      <dgm:t>
        <a:bodyPr/>
        <a:lstStyle/>
        <a:p>
          <a:endParaRPr lang="es-ES">
            <a:latin typeface="Arial" panose="020B0604020202020204" pitchFamily="34" charset="0"/>
            <a:cs typeface="Arial" panose="020B0604020202020204" pitchFamily="34" charset="0"/>
          </a:endParaRPr>
        </a:p>
      </dgm:t>
    </dgm:pt>
    <dgm:pt modelId="{6E7EF5ED-F06D-47CE-847A-6761894FC8D0}">
      <dgm:prSet/>
      <dgm:spPr/>
      <dgm:t>
        <a:bodyPr/>
        <a:lstStyle/>
        <a:p>
          <a:r>
            <a:rPr lang="es-CO">
              <a:latin typeface="Arial" panose="020B0604020202020204" pitchFamily="34" charset="0"/>
              <a:cs typeface="Arial" panose="020B0604020202020204" pitchFamily="34" charset="0"/>
            </a:rPr>
            <a:t>Población susceptible</a:t>
          </a:r>
          <a:endParaRPr lang="en-US">
            <a:latin typeface="Arial" panose="020B0604020202020204" pitchFamily="34" charset="0"/>
            <a:cs typeface="Arial" panose="020B0604020202020204" pitchFamily="34" charset="0"/>
          </a:endParaRPr>
        </a:p>
      </dgm:t>
    </dgm:pt>
    <dgm:pt modelId="{411FC784-6A6F-4BD6-89BA-3A243A138C18}" type="parTrans" cxnId="{BD41B70C-319C-4AB5-AED6-A67F76FFAF7F}">
      <dgm:prSet/>
      <dgm:spPr/>
      <dgm:t>
        <a:bodyPr/>
        <a:lstStyle/>
        <a:p>
          <a:endParaRPr lang="es-ES">
            <a:latin typeface="Arial" panose="020B0604020202020204" pitchFamily="34" charset="0"/>
            <a:cs typeface="Arial" panose="020B0604020202020204" pitchFamily="34" charset="0"/>
          </a:endParaRPr>
        </a:p>
      </dgm:t>
    </dgm:pt>
    <dgm:pt modelId="{EFB52F71-566E-44A5-974D-0233BC682D8D}" type="sibTrans" cxnId="{BD41B70C-319C-4AB5-AED6-A67F76FFAF7F}">
      <dgm:prSet/>
      <dgm:spPr/>
      <dgm:t>
        <a:bodyPr/>
        <a:lstStyle/>
        <a:p>
          <a:endParaRPr lang="es-ES">
            <a:latin typeface="Arial" panose="020B0604020202020204" pitchFamily="34" charset="0"/>
            <a:cs typeface="Arial" panose="020B0604020202020204" pitchFamily="34" charset="0"/>
          </a:endParaRPr>
        </a:p>
      </dgm:t>
    </dgm:pt>
    <dgm:pt modelId="{249EDC93-7756-4CE9-8D61-C499AEA1258F}">
      <dgm:prSet/>
      <dgm:spPr/>
      <dgm:t>
        <a:bodyPr/>
        <a:lstStyle/>
        <a:p>
          <a:r>
            <a:rPr lang="es-CO">
              <a:latin typeface="Arial" panose="020B0604020202020204" pitchFamily="34" charset="0"/>
              <a:cs typeface="Arial" panose="020B0604020202020204" pitchFamily="34" charset="0"/>
            </a:rPr>
            <a:t>Servicios y tecnologías</a:t>
          </a:r>
          <a:endParaRPr lang="en-US">
            <a:latin typeface="Arial" panose="020B0604020202020204" pitchFamily="34" charset="0"/>
            <a:cs typeface="Arial" panose="020B0604020202020204" pitchFamily="34" charset="0"/>
          </a:endParaRPr>
        </a:p>
      </dgm:t>
    </dgm:pt>
    <dgm:pt modelId="{A5742820-2F82-441D-8478-18AAE4BE807C}" type="parTrans" cxnId="{86D0F7F0-76DE-4F89-B4BD-093574A76D85}">
      <dgm:prSet/>
      <dgm:spPr/>
      <dgm:t>
        <a:bodyPr/>
        <a:lstStyle/>
        <a:p>
          <a:endParaRPr lang="es-ES">
            <a:latin typeface="Arial" panose="020B0604020202020204" pitchFamily="34" charset="0"/>
            <a:cs typeface="Arial" panose="020B0604020202020204" pitchFamily="34" charset="0"/>
          </a:endParaRPr>
        </a:p>
      </dgm:t>
    </dgm:pt>
    <dgm:pt modelId="{72620287-3B2A-49C0-94C5-2500F42BB4C1}" type="sibTrans" cxnId="{86D0F7F0-76DE-4F89-B4BD-093574A76D85}">
      <dgm:prSet/>
      <dgm:spPr/>
      <dgm:t>
        <a:bodyPr/>
        <a:lstStyle/>
        <a:p>
          <a:endParaRPr lang="es-ES">
            <a:latin typeface="Arial" panose="020B0604020202020204" pitchFamily="34" charset="0"/>
            <a:cs typeface="Arial" panose="020B0604020202020204" pitchFamily="34" charset="0"/>
          </a:endParaRPr>
        </a:p>
      </dgm:t>
    </dgm:pt>
    <dgm:pt modelId="{EE39384D-6575-49E2-BAA5-9B7729140290}">
      <dgm:prSet/>
      <dgm:spPr/>
      <dgm:t>
        <a:bodyPr/>
        <a:lstStyle/>
        <a:p>
          <a:r>
            <a:rPr lang="es-CO">
              <a:latin typeface="Arial" panose="020B0604020202020204" pitchFamily="34" charset="0"/>
              <a:cs typeface="Arial" panose="020B0604020202020204" pitchFamily="34" charset="0"/>
            </a:rPr>
            <a:t>Frecuencia de uso</a:t>
          </a:r>
          <a:endParaRPr lang="en-US">
            <a:latin typeface="Arial" panose="020B0604020202020204" pitchFamily="34" charset="0"/>
            <a:cs typeface="Arial" panose="020B0604020202020204" pitchFamily="34" charset="0"/>
          </a:endParaRPr>
        </a:p>
      </dgm:t>
    </dgm:pt>
    <dgm:pt modelId="{5A842C32-31F6-423C-A566-335EF2345944}" type="parTrans" cxnId="{D0224ABC-A0FD-4F71-9C50-ABEF2D457ADE}">
      <dgm:prSet/>
      <dgm:spPr/>
      <dgm:t>
        <a:bodyPr/>
        <a:lstStyle/>
        <a:p>
          <a:endParaRPr lang="es-ES">
            <a:latin typeface="Arial" panose="020B0604020202020204" pitchFamily="34" charset="0"/>
            <a:cs typeface="Arial" panose="020B0604020202020204" pitchFamily="34" charset="0"/>
          </a:endParaRPr>
        </a:p>
      </dgm:t>
    </dgm:pt>
    <dgm:pt modelId="{6D03FFDE-7EF6-441A-BB37-B6457B1CA516}" type="sibTrans" cxnId="{D0224ABC-A0FD-4F71-9C50-ABEF2D457ADE}">
      <dgm:prSet/>
      <dgm:spPr/>
      <dgm:t>
        <a:bodyPr/>
        <a:lstStyle/>
        <a:p>
          <a:endParaRPr lang="es-ES">
            <a:latin typeface="Arial" panose="020B0604020202020204" pitchFamily="34" charset="0"/>
            <a:cs typeface="Arial" panose="020B0604020202020204" pitchFamily="34" charset="0"/>
          </a:endParaRPr>
        </a:p>
      </dgm:t>
    </dgm:pt>
    <dgm:pt modelId="{F462227D-B2B1-4B33-A876-A47ABAD46D46}">
      <dgm:prSet/>
      <dgm:spPr/>
      <dgm:t>
        <a:bodyPr/>
        <a:lstStyle/>
        <a:p>
          <a:r>
            <a:rPr lang="es-CO">
              <a:latin typeface="Arial" panose="020B0604020202020204" pitchFamily="34" charset="0"/>
              <a:cs typeface="Arial" panose="020B0604020202020204" pitchFamily="34" charset="0"/>
            </a:rPr>
            <a:t>Cantidad proyectada</a:t>
          </a:r>
          <a:endParaRPr lang="en-US">
            <a:latin typeface="Arial" panose="020B0604020202020204" pitchFamily="34" charset="0"/>
            <a:cs typeface="Arial" panose="020B0604020202020204" pitchFamily="34" charset="0"/>
          </a:endParaRPr>
        </a:p>
      </dgm:t>
    </dgm:pt>
    <dgm:pt modelId="{698F5834-7969-43A1-ACC0-C0FF12397220}" type="parTrans" cxnId="{5DA161F0-7633-477C-8BDB-61961C3FBE63}">
      <dgm:prSet/>
      <dgm:spPr/>
      <dgm:t>
        <a:bodyPr/>
        <a:lstStyle/>
        <a:p>
          <a:endParaRPr lang="es-ES">
            <a:latin typeface="Arial" panose="020B0604020202020204" pitchFamily="34" charset="0"/>
            <a:cs typeface="Arial" panose="020B0604020202020204" pitchFamily="34" charset="0"/>
          </a:endParaRPr>
        </a:p>
      </dgm:t>
    </dgm:pt>
    <dgm:pt modelId="{AB9B0BFF-EAED-4B9D-B329-51000A294F1E}" type="sibTrans" cxnId="{5DA161F0-7633-477C-8BDB-61961C3FBE63}">
      <dgm:prSet/>
      <dgm:spPr/>
      <dgm:t>
        <a:bodyPr/>
        <a:lstStyle/>
        <a:p>
          <a:endParaRPr lang="es-ES">
            <a:latin typeface="Arial" panose="020B0604020202020204" pitchFamily="34" charset="0"/>
            <a:cs typeface="Arial" panose="020B0604020202020204" pitchFamily="34" charset="0"/>
          </a:endParaRPr>
        </a:p>
      </dgm:t>
    </dgm:pt>
    <dgm:pt modelId="{CCC3343A-244C-4862-B1D6-7991D80E6119}">
      <dgm:prSet/>
      <dgm:spPr/>
      <dgm:t>
        <a:bodyPr/>
        <a:lstStyle/>
        <a:p>
          <a:r>
            <a:rPr lang="es-CO">
              <a:latin typeface="Arial" panose="020B0604020202020204" pitchFamily="34" charset="0"/>
              <a:cs typeface="Arial" panose="020B0604020202020204" pitchFamily="34" charset="0"/>
            </a:rPr>
            <a:t>Costo o tarifa</a:t>
          </a:r>
          <a:endParaRPr lang="en-US">
            <a:latin typeface="Arial" panose="020B0604020202020204" pitchFamily="34" charset="0"/>
            <a:cs typeface="Arial" panose="020B0604020202020204" pitchFamily="34" charset="0"/>
          </a:endParaRPr>
        </a:p>
      </dgm:t>
    </dgm:pt>
    <dgm:pt modelId="{70FB46FF-B444-4FE5-A7D2-BCB08A0A2B92}" type="parTrans" cxnId="{0F375258-9EA9-4011-88DC-4CEF0E85E652}">
      <dgm:prSet/>
      <dgm:spPr/>
      <dgm:t>
        <a:bodyPr/>
        <a:lstStyle/>
        <a:p>
          <a:endParaRPr lang="es-ES">
            <a:latin typeface="Arial" panose="020B0604020202020204" pitchFamily="34" charset="0"/>
            <a:cs typeface="Arial" panose="020B0604020202020204" pitchFamily="34" charset="0"/>
          </a:endParaRPr>
        </a:p>
      </dgm:t>
    </dgm:pt>
    <dgm:pt modelId="{4A10E8BB-F6FC-4AA2-A0AA-8C3E4B10F40D}" type="sibTrans" cxnId="{0F375258-9EA9-4011-88DC-4CEF0E85E652}">
      <dgm:prSet/>
      <dgm:spPr/>
      <dgm:t>
        <a:bodyPr/>
        <a:lstStyle/>
        <a:p>
          <a:endParaRPr lang="es-ES">
            <a:latin typeface="Arial" panose="020B0604020202020204" pitchFamily="34" charset="0"/>
            <a:cs typeface="Arial" panose="020B0604020202020204" pitchFamily="34" charset="0"/>
          </a:endParaRPr>
        </a:p>
      </dgm:t>
    </dgm:pt>
    <dgm:pt modelId="{A88D7CDA-BDF3-41EB-9ADB-C790D4C3B509}">
      <dgm:prSet/>
      <dgm:spPr/>
      <dgm:t>
        <a:bodyPr/>
        <a:lstStyle/>
        <a:p>
          <a:r>
            <a:rPr lang="es-CO">
              <a:latin typeface="Arial" panose="020B0604020202020204" pitchFamily="34" charset="0"/>
              <a:cs typeface="Arial" panose="020B0604020202020204" pitchFamily="34" charset="0"/>
            </a:rPr>
            <a:t>Valor proyectado</a:t>
          </a:r>
          <a:endParaRPr lang="en-US">
            <a:latin typeface="Arial" panose="020B0604020202020204" pitchFamily="34" charset="0"/>
            <a:cs typeface="Arial" panose="020B0604020202020204" pitchFamily="34" charset="0"/>
          </a:endParaRPr>
        </a:p>
      </dgm:t>
    </dgm:pt>
    <dgm:pt modelId="{0133F56B-5AA4-4D5E-A651-D57A50077D59}" type="parTrans" cxnId="{EDD2DD5A-7B78-49B7-A126-AD667A0566CF}">
      <dgm:prSet/>
      <dgm:spPr/>
      <dgm:t>
        <a:bodyPr/>
        <a:lstStyle/>
        <a:p>
          <a:endParaRPr lang="es-ES">
            <a:latin typeface="Arial" panose="020B0604020202020204" pitchFamily="34" charset="0"/>
            <a:cs typeface="Arial" panose="020B0604020202020204" pitchFamily="34" charset="0"/>
          </a:endParaRPr>
        </a:p>
      </dgm:t>
    </dgm:pt>
    <dgm:pt modelId="{6BC043C3-0234-4DDA-93E2-2C910FD91623}" type="sibTrans" cxnId="{EDD2DD5A-7B78-49B7-A126-AD667A0566CF}">
      <dgm:prSet/>
      <dgm:spPr/>
      <dgm:t>
        <a:bodyPr/>
        <a:lstStyle/>
        <a:p>
          <a:endParaRPr lang="es-ES">
            <a:latin typeface="Arial" panose="020B0604020202020204" pitchFamily="34" charset="0"/>
            <a:cs typeface="Arial" panose="020B0604020202020204" pitchFamily="34" charset="0"/>
          </a:endParaRPr>
        </a:p>
      </dgm:t>
    </dgm:pt>
    <dgm:pt modelId="{0CB27053-C6F4-49B9-A0F7-106480B094EC}">
      <dgm:prSet/>
      <dgm:spPr/>
      <dgm:t>
        <a:bodyPr/>
        <a:lstStyle/>
        <a:p>
          <a:r>
            <a:rPr lang="es-CO">
              <a:latin typeface="Arial" panose="020B0604020202020204" pitchFamily="34" charset="0"/>
              <a:cs typeface="Arial" panose="020B0604020202020204" pitchFamily="34" charset="0"/>
            </a:rPr>
            <a:t>Riesgo y seguimiento</a:t>
          </a:r>
          <a:endParaRPr lang="en-US">
            <a:latin typeface="Arial" panose="020B0604020202020204" pitchFamily="34" charset="0"/>
            <a:cs typeface="Arial" panose="020B0604020202020204" pitchFamily="34" charset="0"/>
          </a:endParaRPr>
        </a:p>
      </dgm:t>
    </dgm:pt>
    <dgm:pt modelId="{CA6EA5F7-35F5-42AB-9782-C3CB5A4EB656}" type="parTrans" cxnId="{0684AEED-1607-4C69-B352-0406D2F6E6EF}">
      <dgm:prSet/>
      <dgm:spPr/>
      <dgm:t>
        <a:bodyPr/>
        <a:lstStyle/>
        <a:p>
          <a:endParaRPr lang="es-ES">
            <a:latin typeface="Arial" panose="020B0604020202020204" pitchFamily="34" charset="0"/>
            <a:cs typeface="Arial" panose="020B0604020202020204" pitchFamily="34" charset="0"/>
          </a:endParaRPr>
        </a:p>
      </dgm:t>
    </dgm:pt>
    <dgm:pt modelId="{0C220566-7371-4E2D-8CDA-67F21C0AA83B}" type="sibTrans" cxnId="{0684AEED-1607-4C69-B352-0406D2F6E6EF}">
      <dgm:prSet/>
      <dgm:spPr/>
      <dgm:t>
        <a:bodyPr/>
        <a:lstStyle/>
        <a:p>
          <a:endParaRPr lang="es-ES">
            <a:latin typeface="Arial" panose="020B0604020202020204" pitchFamily="34" charset="0"/>
            <a:cs typeface="Arial" panose="020B0604020202020204" pitchFamily="34" charset="0"/>
          </a:endParaRPr>
        </a:p>
      </dgm:t>
    </dgm:pt>
    <dgm:pt modelId="{BF120C19-04E1-4308-89B0-EBDB615D6FB6}" type="pres">
      <dgm:prSet presAssocID="{55EA97C4-A476-4CAD-90D0-24AE7E1E2860}" presName="Name0" presStyleCnt="0">
        <dgm:presLayoutVars>
          <dgm:dir/>
          <dgm:resizeHandles val="exact"/>
        </dgm:presLayoutVars>
      </dgm:prSet>
      <dgm:spPr/>
      <dgm:t>
        <a:bodyPr/>
        <a:lstStyle/>
        <a:p>
          <a:endParaRPr lang="es-ES"/>
        </a:p>
      </dgm:t>
    </dgm:pt>
    <dgm:pt modelId="{9EFBE409-707F-400D-9BCD-121895B3E3A4}" type="pres">
      <dgm:prSet presAssocID="{238BF06B-F159-464B-8A3D-E872DA3EFFD3}" presName="node" presStyleLbl="node1" presStyleIdx="0" presStyleCnt="8">
        <dgm:presLayoutVars>
          <dgm:bulletEnabled val="1"/>
        </dgm:presLayoutVars>
      </dgm:prSet>
      <dgm:spPr/>
      <dgm:t>
        <a:bodyPr/>
        <a:lstStyle/>
        <a:p>
          <a:endParaRPr lang="es-ES"/>
        </a:p>
      </dgm:t>
    </dgm:pt>
    <dgm:pt modelId="{C1DF9D69-17B9-438B-AF48-C8384A6D792A}" type="pres">
      <dgm:prSet presAssocID="{73E50025-7E71-427F-9B36-A1395B9C2F04}" presName="sibTrans" presStyleLbl="sibTrans1D1" presStyleIdx="0" presStyleCnt="7"/>
      <dgm:spPr/>
      <dgm:t>
        <a:bodyPr/>
        <a:lstStyle/>
        <a:p>
          <a:endParaRPr lang="es-ES"/>
        </a:p>
      </dgm:t>
    </dgm:pt>
    <dgm:pt modelId="{EE2075E6-9D7D-4EB6-9A51-CFA59C9EA0F7}" type="pres">
      <dgm:prSet presAssocID="{73E50025-7E71-427F-9B36-A1395B9C2F04}" presName="connectorText" presStyleLbl="sibTrans1D1" presStyleIdx="0" presStyleCnt="7"/>
      <dgm:spPr/>
      <dgm:t>
        <a:bodyPr/>
        <a:lstStyle/>
        <a:p>
          <a:endParaRPr lang="es-ES"/>
        </a:p>
      </dgm:t>
    </dgm:pt>
    <dgm:pt modelId="{0CBEA1F5-1228-46CA-8BE9-09A33BBDD369}" type="pres">
      <dgm:prSet presAssocID="{6E7EF5ED-F06D-47CE-847A-6761894FC8D0}" presName="node" presStyleLbl="node1" presStyleIdx="1" presStyleCnt="8">
        <dgm:presLayoutVars>
          <dgm:bulletEnabled val="1"/>
        </dgm:presLayoutVars>
      </dgm:prSet>
      <dgm:spPr/>
      <dgm:t>
        <a:bodyPr/>
        <a:lstStyle/>
        <a:p>
          <a:endParaRPr lang="es-ES"/>
        </a:p>
      </dgm:t>
    </dgm:pt>
    <dgm:pt modelId="{EAAA3CE0-EAC5-4F35-87F8-C17D6030E8BA}" type="pres">
      <dgm:prSet presAssocID="{EFB52F71-566E-44A5-974D-0233BC682D8D}" presName="sibTrans" presStyleLbl="sibTrans1D1" presStyleIdx="1" presStyleCnt="7"/>
      <dgm:spPr/>
      <dgm:t>
        <a:bodyPr/>
        <a:lstStyle/>
        <a:p>
          <a:endParaRPr lang="es-ES"/>
        </a:p>
      </dgm:t>
    </dgm:pt>
    <dgm:pt modelId="{2910EF29-7318-43BD-8D8C-E9B821E9DEDC}" type="pres">
      <dgm:prSet presAssocID="{EFB52F71-566E-44A5-974D-0233BC682D8D}" presName="connectorText" presStyleLbl="sibTrans1D1" presStyleIdx="1" presStyleCnt="7"/>
      <dgm:spPr/>
      <dgm:t>
        <a:bodyPr/>
        <a:lstStyle/>
        <a:p>
          <a:endParaRPr lang="es-ES"/>
        </a:p>
      </dgm:t>
    </dgm:pt>
    <dgm:pt modelId="{94A4D973-CA50-4B5C-9161-8608429B7298}" type="pres">
      <dgm:prSet presAssocID="{249EDC93-7756-4CE9-8D61-C499AEA1258F}" presName="node" presStyleLbl="node1" presStyleIdx="2" presStyleCnt="8">
        <dgm:presLayoutVars>
          <dgm:bulletEnabled val="1"/>
        </dgm:presLayoutVars>
      </dgm:prSet>
      <dgm:spPr/>
      <dgm:t>
        <a:bodyPr/>
        <a:lstStyle/>
        <a:p>
          <a:endParaRPr lang="es-ES"/>
        </a:p>
      </dgm:t>
    </dgm:pt>
    <dgm:pt modelId="{E8C3DABE-D0FA-422B-AC1D-CD1117788F68}" type="pres">
      <dgm:prSet presAssocID="{72620287-3B2A-49C0-94C5-2500F42BB4C1}" presName="sibTrans" presStyleLbl="sibTrans1D1" presStyleIdx="2" presStyleCnt="7"/>
      <dgm:spPr/>
      <dgm:t>
        <a:bodyPr/>
        <a:lstStyle/>
        <a:p>
          <a:endParaRPr lang="es-ES"/>
        </a:p>
      </dgm:t>
    </dgm:pt>
    <dgm:pt modelId="{33D80219-D12A-42EB-80B8-7F3F909D23D2}" type="pres">
      <dgm:prSet presAssocID="{72620287-3B2A-49C0-94C5-2500F42BB4C1}" presName="connectorText" presStyleLbl="sibTrans1D1" presStyleIdx="2" presStyleCnt="7"/>
      <dgm:spPr/>
      <dgm:t>
        <a:bodyPr/>
        <a:lstStyle/>
        <a:p>
          <a:endParaRPr lang="es-ES"/>
        </a:p>
      </dgm:t>
    </dgm:pt>
    <dgm:pt modelId="{4271152D-FA37-4A09-8E40-176D14BA4860}" type="pres">
      <dgm:prSet presAssocID="{EE39384D-6575-49E2-BAA5-9B7729140290}" presName="node" presStyleLbl="node1" presStyleIdx="3" presStyleCnt="8">
        <dgm:presLayoutVars>
          <dgm:bulletEnabled val="1"/>
        </dgm:presLayoutVars>
      </dgm:prSet>
      <dgm:spPr/>
      <dgm:t>
        <a:bodyPr/>
        <a:lstStyle/>
        <a:p>
          <a:endParaRPr lang="es-ES"/>
        </a:p>
      </dgm:t>
    </dgm:pt>
    <dgm:pt modelId="{A034E928-E46A-4930-808F-4D2A5510FE0B}" type="pres">
      <dgm:prSet presAssocID="{6D03FFDE-7EF6-441A-BB37-B6457B1CA516}" presName="sibTrans" presStyleLbl="sibTrans1D1" presStyleIdx="3" presStyleCnt="7"/>
      <dgm:spPr/>
      <dgm:t>
        <a:bodyPr/>
        <a:lstStyle/>
        <a:p>
          <a:endParaRPr lang="es-ES"/>
        </a:p>
      </dgm:t>
    </dgm:pt>
    <dgm:pt modelId="{4622C19B-6F24-4307-919D-4FF32EA1704E}" type="pres">
      <dgm:prSet presAssocID="{6D03FFDE-7EF6-441A-BB37-B6457B1CA516}" presName="connectorText" presStyleLbl="sibTrans1D1" presStyleIdx="3" presStyleCnt="7"/>
      <dgm:spPr/>
      <dgm:t>
        <a:bodyPr/>
        <a:lstStyle/>
        <a:p>
          <a:endParaRPr lang="es-ES"/>
        </a:p>
      </dgm:t>
    </dgm:pt>
    <dgm:pt modelId="{4D30BDC7-7278-46D6-BB42-C77A31524EAC}" type="pres">
      <dgm:prSet presAssocID="{F462227D-B2B1-4B33-A876-A47ABAD46D46}" presName="node" presStyleLbl="node1" presStyleIdx="4" presStyleCnt="8">
        <dgm:presLayoutVars>
          <dgm:bulletEnabled val="1"/>
        </dgm:presLayoutVars>
      </dgm:prSet>
      <dgm:spPr/>
      <dgm:t>
        <a:bodyPr/>
        <a:lstStyle/>
        <a:p>
          <a:endParaRPr lang="es-ES"/>
        </a:p>
      </dgm:t>
    </dgm:pt>
    <dgm:pt modelId="{A2DBDAAB-B85E-4F94-A27E-2F222D1825AA}" type="pres">
      <dgm:prSet presAssocID="{AB9B0BFF-EAED-4B9D-B329-51000A294F1E}" presName="sibTrans" presStyleLbl="sibTrans1D1" presStyleIdx="4" presStyleCnt="7"/>
      <dgm:spPr/>
      <dgm:t>
        <a:bodyPr/>
        <a:lstStyle/>
        <a:p>
          <a:endParaRPr lang="es-ES"/>
        </a:p>
      </dgm:t>
    </dgm:pt>
    <dgm:pt modelId="{6227B0C9-5904-4474-80AA-262B4B17FFC8}" type="pres">
      <dgm:prSet presAssocID="{AB9B0BFF-EAED-4B9D-B329-51000A294F1E}" presName="connectorText" presStyleLbl="sibTrans1D1" presStyleIdx="4" presStyleCnt="7"/>
      <dgm:spPr/>
      <dgm:t>
        <a:bodyPr/>
        <a:lstStyle/>
        <a:p>
          <a:endParaRPr lang="es-ES"/>
        </a:p>
      </dgm:t>
    </dgm:pt>
    <dgm:pt modelId="{F7AEC3C8-A194-440D-A549-FC979F58DF41}" type="pres">
      <dgm:prSet presAssocID="{CCC3343A-244C-4862-B1D6-7991D80E6119}" presName="node" presStyleLbl="node1" presStyleIdx="5" presStyleCnt="8">
        <dgm:presLayoutVars>
          <dgm:bulletEnabled val="1"/>
        </dgm:presLayoutVars>
      </dgm:prSet>
      <dgm:spPr/>
      <dgm:t>
        <a:bodyPr/>
        <a:lstStyle/>
        <a:p>
          <a:endParaRPr lang="es-ES"/>
        </a:p>
      </dgm:t>
    </dgm:pt>
    <dgm:pt modelId="{CC444508-972E-45CA-9915-A264FDE59083}" type="pres">
      <dgm:prSet presAssocID="{4A10E8BB-F6FC-4AA2-A0AA-8C3E4B10F40D}" presName="sibTrans" presStyleLbl="sibTrans1D1" presStyleIdx="5" presStyleCnt="7"/>
      <dgm:spPr/>
      <dgm:t>
        <a:bodyPr/>
        <a:lstStyle/>
        <a:p>
          <a:endParaRPr lang="es-ES"/>
        </a:p>
      </dgm:t>
    </dgm:pt>
    <dgm:pt modelId="{654FE4D2-3F94-41F4-9D49-05CA0D57D154}" type="pres">
      <dgm:prSet presAssocID="{4A10E8BB-F6FC-4AA2-A0AA-8C3E4B10F40D}" presName="connectorText" presStyleLbl="sibTrans1D1" presStyleIdx="5" presStyleCnt="7"/>
      <dgm:spPr/>
      <dgm:t>
        <a:bodyPr/>
        <a:lstStyle/>
        <a:p>
          <a:endParaRPr lang="es-ES"/>
        </a:p>
      </dgm:t>
    </dgm:pt>
    <dgm:pt modelId="{859810C1-6E25-4A03-8D86-48BA5BC9267C}" type="pres">
      <dgm:prSet presAssocID="{A88D7CDA-BDF3-41EB-9ADB-C790D4C3B509}" presName="node" presStyleLbl="node1" presStyleIdx="6" presStyleCnt="8">
        <dgm:presLayoutVars>
          <dgm:bulletEnabled val="1"/>
        </dgm:presLayoutVars>
      </dgm:prSet>
      <dgm:spPr/>
      <dgm:t>
        <a:bodyPr/>
        <a:lstStyle/>
        <a:p>
          <a:endParaRPr lang="es-ES"/>
        </a:p>
      </dgm:t>
    </dgm:pt>
    <dgm:pt modelId="{8C604122-0897-490F-833B-75AF641901C2}" type="pres">
      <dgm:prSet presAssocID="{6BC043C3-0234-4DDA-93E2-2C910FD91623}" presName="sibTrans" presStyleLbl="sibTrans1D1" presStyleIdx="6" presStyleCnt="7"/>
      <dgm:spPr/>
      <dgm:t>
        <a:bodyPr/>
        <a:lstStyle/>
        <a:p>
          <a:endParaRPr lang="es-ES"/>
        </a:p>
      </dgm:t>
    </dgm:pt>
    <dgm:pt modelId="{A31352AA-4834-4738-B850-08723F6F6E74}" type="pres">
      <dgm:prSet presAssocID="{6BC043C3-0234-4DDA-93E2-2C910FD91623}" presName="connectorText" presStyleLbl="sibTrans1D1" presStyleIdx="6" presStyleCnt="7"/>
      <dgm:spPr/>
      <dgm:t>
        <a:bodyPr/>
        <a:lstStyle/>
        <a:p>
          <a:endParaRPr lang="es-ES"/>
        </a:p>
      </dgm:t>
    </dgm:pt>
    <dgm:pt modelId="{E8F18DD0-DE6C-4B68-B4B6-98BB5501A492}" type="pres">
      <dgm:prSet presAssocID="{0CB27053-C6F4-49B9-A0F7-106480B094EC}" presName="node" presStyleLbl="node1" presStyleIdx="7" presStyleCnt="8">
        <dgm:presLayoutVars>
          <dgm:bulletEnabled val="1"/>
        </dgm:presLayoutVars>
      </dgm:prSet>
      <dgm:spPr/>
      <dgm:t>
        <a:bodyPr/>
        <a:lstStyle/>
        <a:p>
          <a:endParaRPr lang="es-ES"/>
        </a:p>
      </dgm:t>
    </dgm:pt>
  </dgm:ptLst>
  <dgm:cxnLst>
    <dgm:cxn modelId="{391C18C1-9BD9-4893-981A-A1FBE60B8371}" type="presOf" srcId="{AB9B0BFF-EAED-4B9D-B329-51000A294F1E}" destId="{6227B0C9-5904-4474-80AA-262B4B17FFC8}" srcOrd="1" destOrd="0" presId="urn:microsoft.com/office/officeart/2005/8/layout/bProcess3"/>
    <dgm:cxn modelId="{8626D77F-29D9-4496-8956-E6383DE9A936}" type="presOf" srcId="{AB9B0BFF-EAED-4B9D-B329-51000A294F1E}" destId="{A2DBDAAB-B85E-4F94-A27E-2F222D1825AA}" srcOrd="0" destOrd="0" presId="urn:microsoft.com/office/officeart/2005/8/layout/bProcess3"/>
    <dgm:cxn modelId="{ACD2E89D-6A56-4C92-AE61-7F895BF8C86F}" type="presOf" srcId="{6E7EF5ED-F06D-47CE-847A-6761894FC8D0}" destId="{0CBEA1F5-1228-46CA-8BE9-09A33BBDD369}" srcOrd="0" destOrd="0" presId="urn:microsoft.com/office/officeart/2005/8/layout/bProcess3"/>
    <dgm:cxn modelId="{C98862C9-5382-4AD0-8CF6-CE5527B5D969}" type="presOf" srcId="{73E50025-7E71-427F-9B36-A1395B9C2F04}" destId="{EE2075E6-9D7D-4EB6-9A51-CFA59C9EA0F7}" srcOrd="1" destOrd="0" presId="urn:microsoft.com/office/officeart/2005/8/layout/bProcess3"/>
    <dgm:cxn modelId="{BD41B70C-319C-4AB5-AED6-A67F76FFAF7F}" srcId="{55EA97C4-A476-4CAD-90D0-24AE7E1E2860}" destId="{6E7EF5ED-F06D-47CE-847A-6761894FC8D0}" srcOrd="1" destOrd="0" parTransId="{411FC784-6A6F-4BD6-89BA-3A243A138C18}" sibTransId="{EFB52F71-566E-44A5-974D-0233BC682D8D}"/>
    <dgm:cxn modelId="{0684AEED-1607-4C69-B352-0406D2F6E6EF}" srcId="{55EA97C4-A476-4CAD-90D0-24AE7E1E2860}" destId="{0CB27053-C6F4-49B9-A0F7-106480B094EC}" srcOrd="7" destOrd="0" parTransId="{CA6EA5F7-35F5-42AB-9782-C3CB5A4EB656}" sibTransId="{0C220566-7371-4E2D-8CDA-67F21C0AA83B}"/>
    <dgm:cxn modelId="{86D0F7F0-76DE-4F89-B4BD-093574A76D85}" srcId="{55EA97C4-A476-4CAD-90D0-24AE7E1E2860}" destId="{249EDC93-7756-4CE9-8D61-C499AEA1258F}" srcOrd="2" destOrd="0" parTransId="{A5742820-2F82-441D-8478-18AAE4BE807C}" sibTransId="{72620287-3B2A-49C0-94C5-2500F42BB4C1}"/>
    <dgm:cxn modelId="{AC0424C5-26DE-446B-8233-376F3CFD1AE5}" type="presOf" srcId="{6BC043C3-0234-4DDA-93E2-2C910FD91623}" destId="{8C604122-0897-490F-833B-75AF641901C2}" srcOrd="0" destOrd="0" presId="urn:microsoft.com/office/officeart/2005/8/layout/bProcess3"/>
    <dgm:cxn modelId="{86526A51-6B04-4AEB-9DAF-C1AFE82F426F}" type="presOf" srcId="{F462227D-B2B1-4B33-A876-A47ABAD46D46}" destId="{4D30BDC7-7278-46D6-BB42-C77A31524EAC}" srcOrd="0" destOrd="0" presId="urn:microsoft.com/office/officeart/2005/8/layout/bProcess3"/>
    <dgm:cxn modelId="{440269DA-A0D1-42D0-A6DA-6A426B65E00E}" type="presOf" srcId="{249EDC93-7756-4CE9-8D61-C499AEA1258F}" destId="{94A4D973-CA50-4B5C-9161-8608429B7298}" srcOrd="0" destOrd="0" presId="urn:microsoft.com/office/officeart/2005/8/layout/bProcess3"/>
    <dgm:cxn modelId="{F8CA238D-671E-4151-8779-E0650B33E04E}" type="presOf" srcId="{CCC3343A-244C-4862-B1D6-7991D80E6119}" destId="{F7AEC3C8-A194-440D-A549-FC979F58DF41}" srcOrd="0" destOrd="0" presId="urn:microsoft.com/office/officeart/2005/8/layout/bProcess3"/>
    <dgm:cxn modelId="{F10B3EB1-358B-4FCE-8028-85630A002CE1}" type="presOf" srcId="{EFB52F71-566E-44A5-974D-0233BC682D8D}" destId="{EAAA3CE0-EAC5-4F35-87F8-C17D6030E8BA}" srcOrd="0" destOrd="0" presId="urn:microsoft.com/office/officeart/2005/8/layout/bProcess3"/>
    <dgm:cxn modelId="{8CDB5869-9112-4093-8968-0C2153FBDA55}" type="presOf" srcId="{55EA97C4-A476-4CAD-90D0-24AE7E1E2860}" destId="{BF120C19-04E1-4308-89B0-EBDB615D6FB6}" srcOrd="0" destOrd="0" presId="urn:microsoft.com/office/officeart/2005/8/layout/bProcess3"/>
    <dgm:cxn modelId="{86B79546-0F36-48CB-823A-AB9D32F57A5D}" type="presOf" srcId="{6BC043C3-0234-4DDA-93E2-2C910FD91623}" destId="{A31352AA-4834-4738-B850-08723F6F6E74}" srcOrd="1" destOrd="0" presId="urn:microsoft.com/office/officeart/2005/8/layout/bProcess3"/>
    <dgm:cxn modelId="{B0295AAE-6122-45A9-80A9-C620B89F7F1F}" type="presOf" srcId="{0CB27053-C6F4-49B9-A0F7-106480B094EC}" destId="{E8F18DD0-DE6C-4B68-B4B6-98BB5501A492}" srcOrd="0" destOrd="0" presId="urn:microsoft.com/office/officeart/2005/8/layout/bProcess3"/>
    <dgm:cxn modelId="{0F375258-9EA9-4011-88DC-4CEF0E85E652}" srcId="{55EA97C4-A476-4CAD-90D0-24AE7E1E2860}" destId="{CCC3343A-244C-4862-B1D6-7991D80E6119}" srcOrd="5" destOrd="0" parTransId="{70FB46FF-B444-4FE5-A7D2-BCB08A0A2B92}" sibTransId="{4A10E8BB-F6FC-4AA2-A0AA-8C3E4B10F40D}"/>
    <dgm:cxn modelId="{1735A2EE-3055-4085-9D01-12D728733278}" type="presOf" srcId="{EE39384D-6575-49E2-BAA5-9B7729140290}" destId="{4271152D-FA37-4A09-8E40-176D14BA4860}" srcOrd="0" destOrd="0" presId="urn:microsoft.com/office/officeart/2005/8/layout/bProcess3"/>
    <dgm:cxn modelId="{52193E41-A77C-4FF1-AFBB-DEC9A7933D05}" type="presOf" srcId="{72620287-3B2A-49C0-94C5-2500F42BB4C1}" destId="{E8C3DABE-D0FA-422B-AC1D-CD1117788F68}" srcOrd="0" destOrd="0" presId="urn:microsoft.com/office/officeart/2005/8/layout/bProcess3"/>
    <dgm:cxn modelId="{FE9D89F2-533E-4FB3-A65B-23EEB7120699}" type="presOf" srcId="{73E50025-7E71-427F-9B36-A1395B9C2F04}" destId="{C1DF9D69-17B9-438B-AF48-C8384A6D792A}" srcOrd="0" destOrd="0" presId="urn:microsoft.com/office/officeart/2005/8/layout/bProcess3"/>
    <dgm:cxn modelId="{EDD2DD5A-7B78-49B7-A126-AD667A0566CF}" srcId="{55EA97C4-A476-4CAD-90D0-24AE7E1E2860}" destId="{A88D7CDA-BDF3-41EB-9ADB-C790D4C3B509}" srcOrd="6" destOrd="0" parTransId="{0133F56B-5AA4-4D5E-A651-D57A50077D59}" sibTransId="{6BC043C3-0234-4DDA-93E2-2C910FD91623}"/>
    <dgm:cxn modelId="{E67155F9-93FC-447C-B8FB-E81D650EF994}" type="presOf" srcId="{EFB52F71-566E-44A5-974D-0233BC682D8D}" destId="{2910EF29-7318-43BD-8D8C-E9B821E9DEDC}" srcOrd="1" destOrd="0" presId="urn:microsoft.com/office/officeart/2005/8/layout/bProcess3"/>
    <dgm:cxn modelId="{F698418E-0042-438F-AC96-3BA2AE894815}" type="presOf" srcId="{4A10E8BB-F6FC-4AA2-A0AA-8C3E4B10F40D}" destId="{CC444508-972E-45CA-9915-A264FDE59083}" srcOrd="0" destOrd="0" presId="urn:microsoft.com/office/officeart/2005/8/layout/bProcess3"/>
    <dgm:cxn modelId="{C55E26CB-FB76-4F01-8809-21C04F5AFDD4}" type="presOf" srcId="{A88D7CDA-BDF3-41EB-9ADB-C790D4C3B509}" destId="{859810C1-6E25-4A03-8D86-48BA5BC9267C}" srcOrd="0" destOrd="0" presId="urn:microsoft.com/office/officeart/2005/8/layout/bProcess3"/>
    <dgm:cxn modelId="{D0224ABC-A0FD-4F71-9C50-ABEF2D457ADE}" srcId="{55EA97C4-A476-4CAD-90D0-24AE7E1E2860}" destId="{EE39384D-6575-49E2-BAA5-9B7729140290}" srcOrd="3" destOrd="0" parTransId="{5A842C32-31F6-423C-A566-335EF2345944}" sibTransId="{6D03FFDE-7EF6-441A-BB37-B6457B1CA516}"/>
    <dgm:cxn modelId="{E935E262-6CD2-4B70-9F05-CA2F1ED21E9B}" type="presOf" srcId="{6D03FFDE-7EF6-441A-BB37-B6457B1CA516}" destId="{4622C19B-6F24-4307-919D-4FF32EA1704E}" srcOrd="1" destOrd="0" presId="urn:microsoft.com/office/officeart/2005/8/layout/bProcess3"/>
    <dgm:cxn modelId="{A69BA5C3-920E-4EF4-AE7B-17E6CCA07B46}" type="presOf" srcId="{6D03FFDE-7EF6-441A-BB37-B6457B1CA516}" destId="{A034E928-E46A-4930-808F-4D2A5510FE0B}" srcOrd="0" destOrd="0" presId="urn:microsoft.com/office/officeart/2005/8/layout/bProcess3"/>
    <dgm:cxn modelId="{62A54285-D606-483A-B60B-BBBB798E80C3}" type="presOf" srcId="{238BF06B-F159-464B-8A3D-E872DA3EFFD3}" destId="{9EFBE409-707F-400D-9BCD-121895B3E3A4}" srcOrd="0" destOrd="0" presId="urn:microsoft.com/office/officeart/2005/8/layout/bProcess3"/>
    <dgm:cxn modelId="{84396E91-35D9-493B-8B8F-E38D43DAF7AF}" type="presOf" srcId="{72620287-3B2A-49C0-94C5-2500F42BB4C1}" destId="{33D80219-D12A-42EB-80B8-7F3F909D23D2}" srcOrd="1" destOrd="0" presId="urn:microsoft.com/office/officeart/2005/8/layout/bProcess3"/>
    <dgm:cxn modelId="{5DA161F0-7633-477C-8BDB-61961C3FBE63}" srcId="{55EA97C4-A476-4CAD-90D0-24AE7E1E2860}" destId="{F462227D-B2B1-4B33-A876-A47ABAD46D46}" srcOrd="4" destOrd="0" parTransId="{698F5834-7969-43A1-ACC0-C0FF12397220}" sibTransId="{AB9B0BFF-EAED-4B9D-B329-51000A294F1E}"/>
    <dgm:cxn modelId="{C862834C-9F56-4722-A290-77833C377A0B}" srcId="{55EA97C4-A476-4CAD-90D0-24AE7E1E2860}" destId="{238BF06B-F159-464B-8A3D-E872DA3EFFD3}" srcOrd="0" destOrd="0" parTransId="{B43841D3-E45D-4F48-9D66-1AD89ADCC910}" sibTransId="{73E50025-7E71-427F-9B36-A1395B9C2F04}"/>
    <dgm:cxn modelId="{24FAFD7D-AA1D-486F-AF6B-241E80CC3BD5}" type="presOf" srcId="{4A10E8BB-F6FC-4AA2-A0AA-8C3E4B10F40D}" destId="{654FE4D2-3F94-41F4-9D49-05CA0D57D154}" srcOrd="1" destOrd="0" presId="urn:microsoft.com/office/officeart/2005/8/layout/bProcess3"/>
    <dgm:cxn modelId="{C8B076A0-76D9-4825-AD43-B1EDB7B45229}" type="presParOf" srcId="{BF120C19-04E1-4308-89B0-EBDB615D6FB6}" destId="{9EFBE409-707F-400D-9BCD-121895B3E3A4}" srcOrd="0" destOrd="0" presId="urn:microsoft.com/office/officeart/2005/8/layout/bProcess3"/>
    <dgm:cxn modelId="{DDC29DAF-15FC-475D-8813-67E9B8BE6A3E}" type="presParOf" srcId="{BF120C19-04E1-4308-89B0-EBDB615D6FB6}" destId="{C1DF9D69-17B9-438B-AF48-C8384A6D792A}" srcOrd="1" destOrd="0" presId="urn:microsoft.com/office/officeart/2005/8/layout/bProcess3"/>
    <dgm:cxn modelId="{579266CC-F675-4CE5-8D75-AC78F89016F9}" type="presParOf" srcId="{C1DF9D69-17B9-438B-AF48-C8384A6D792A}" destId="{EE2075E6-9D7D-4EB6-9A51-CFA59C9EA0F7}" srcOrd="0" destOrd="0" presId="urn:microsoft.com/office/officeart/2005/8/layout/bProcess3"/>
    <dgm:cxn modelId="{14DB2F6D-F4B7-4CC4-BF87-1FB4A68980EA}" type="presParOf" srcId="{BF120C19-04E1-4308-89B0-EBDB615D6FB6}" destId="{0CBEA1F5-1228-46CA-8BE9-09A33BBDD369}" srcOrd="2" destOrd="0" presId="urn:microsoft.com/office/officeart/2005/8/layout/bProcess3"/>
    <dgm:cxn modelId="{198436B0-5014-48F9-8DA6-97CE230B5A30}" type="presParOf" srcId="{BF120C19-04E1-4308-89B0-EBDB615D6FB6}" destId="{EAAA3CE0-EAC5-4F35-87F8-C17D6030E8BA}" srcOrd="3" destOrd="0" presId="urn:microsoft.com/office/officeart/2005/8/layout/bProcess3"/>
    <dgm:cxn modelId="{64F1E3BD-5210-4D3C-8BEB-45E22213A19A}" type="presParOf" srcId="{EAAA3CE0-EAC5-4F35-87F8-C17D6030E8BA}" destId="{2910EF29-7318-43BD-8D8C-E9B821E9DEDC}" srcOrd="0" destOrd="0" presId="urn:microsoft.com/office/officeart/2005/8/layout/bProcess3"/>
    <dgm:cxn modelId="{71E88808-21B0-4857-AA03-60F101C0079A}" type="presParOf" srcId="{BF120C19-04E1-4308-89B0-EBDB615D6FB6}" destId="{94A4D973-CA50-4B5C-9161-8608429B7298}" srcOrd="4" destOrd="0" presId="urn:microsoft.com/office/officeart/2005/8/layout/bProcess3"/>
    <dgm:cxn modelId="{45E60E8A-EB2A-45BF-92D5-D9579D2347CF}" type="presParOf" srcId="{BF120C19-04E1-4308-89B0-EBDB615D6FB6}" destId="{E8C3DABE-D0FA-422B-AC1D-CD1117788F68}" srcOrd="5" destOrd="0" presId="urn:microsoft.com/office/officeart/2005/8/layout/bProcess3"/>
    <dgm:cxn modelId="{0186C923-3296-4473-A984-ED5F924DE7A9}" type="presParOf" srcId="{E8C3DABE-D0FA-422B-AC1D-CD1117788F68}" destId="{33D80219-D12A-42EB-80B8-7F3F909D23D2}" srcOrd="0" destOrd="0" presId="urn:microsoft.com/office/officeart/2005/8/layout/bProcess3"/>
    <dgm:cxn modelId="{499F8460-5247-4384-BD10-925ED691B238}" type="presParOf" srcId="{BF120C19-04E1-4308-89B0-EBDB615D6FB6}" destId="{4271152D-FA37-4A09-8E40-176D14BA4860}" srcOrd="6" destOrd="0" presId="urn:microsoft.com/office/officeart/2005/8/layout/bProcess3"/>
    <dgm:cxn modelId="{0D0B6E39-E699-4426-96A0-46D3A6C2676F}" type="presParOf" srcId="{BF120C19-04E1-4308-89B0-EBDB615D6FB6}" destId="{A034E928-E46A-4930-808F-4D2A5510FE0B}" srcOrd="7" destOrd="0" presId="urn:microsoft.com/office/officeart/2005/8/layout/bProcess3"/>
    <dgm:cxn modelId="{93087B36-D85B-4C9B-981B-4476ABE22850}" type="presParOf" srcId="{A034E928-E46A-4930-808F-4D2A5510FE0B}" destId="{4622C19B-6F24-4307-919D-4FF32EA1704E}" srcOrd="0" destOrd="0" presId="urn:microsoft.com/office/officeart/2005/8/layout/bProcess3"/>
    <dgm:cxn modelId="{91B1C1A2-66CA-44CA-9F9C-00DB5E8DE08A}" type="presParOf" srcId="{BF120C19-04E1-4308-89B0-EBDB615D6FB6}" destId="{4D30BDC7-7278-46D6-BB42-C77A31524EAC}" srcOrd="8" destOrd="0" presId="urn:microsoft.com/office/officeart/2005/8/layout/bProcess3"/>
    <dgm:cxn modelId="{2EB175ED-4AEA-4048-94A1-DF5DC5FB8CE7}" type="presParOf" srcId="{BF120C19-04E1-4308-89B0-EBDB615D6FB6}" destId="{A2DBDAAB-B85E-4F94-A27E-2F222D1825AA}" srcOrd="9" destOrd="0" presId="urn:microsoft.com/office/officeart/2005/8/layout/bProcess3"/>
    <dgm:cxn modelId="{9AC8F5EF-21C8-476A-836E-FE901B1E0973}" type="presParOf" srcId="{A2DBDAAB-B85E-4F94-A27E-2F222D1825AA}" destId="{6227B0C9-5904-4474-80AA-262B4B17FFC8}" srcOrd="0" destOrd="0" presId="urn:microsoft.com/office/officeart/2005/8/layout/bProcess3"/>
    <dgm:cxn modelId="{1A64216A-7319-4917-8553-29B83E7B4AAA}" type="presParOf" srcId="{BF120C19-04E1-4308-89B0-EBDB615D6FB6}" destId="{F7AEC3C8-A194-440D-A549-FC979F58DF41}" srcOrd="10" destOrd="0" presId="urn:microsoft.com/office/officeart/2005/8/layout/bProcess3"/>
    <dgm:cxn modelId="{242D1AA4-68DD-4853-8E6F-A91048A33CCF}" type="presParOf" srcId="{BF120C19-04E1-4308-89B0-EBDB615D6FB6}" destId="{CC444508-972E-45CA-9915-A264FDE59083}" srcOrd="11" destOrd="0" presId="urn:microsoft.com/office/officeart/2005/8/layout/bProcess3"/>
    <dgm:cxn modelId="{EB9DC83C-3234-4931-990E-961F3F5338AF}" type="presParOf" srcId="{CC444508-972E-45CA-9915-A264FDE59083}" destId="{654FE4D2-3F94-41F4-9D49-05CA0D57D154}" srcOrd="0" destOrd="0" presId="urn:microsoft.com/office/officeart/2005/8/layout/bProcess3"/>
    <dgm:cxn modelId="{ED966FEE-59E9-4398-A322-7ADA22E93A46}" type="presParOf" srcId="{BF120C19-04E1-4308-89B0-EBDB615D6FB6}" destId="{859810C1-6E25-4A03-8D86-48BA5BC9267C}" srcOrd="12" destOrd="0" presId="urn:microsoft.com/office/officeart/2005/8/layout/bProcess3"/>
    <dgm:cxn modelId="{55CBF283-E8B8-4465-B99F-C12493CA660A}" type="presParOf" srcId="{BF120C19-04E1-4308-89B0-EBDB615D6FB6}" destId="{8C604122-0897-490F-833B-75AF641901C2}" srcOrd="13" destOrd="0" presId="urn:microsoft.com/office/officeart/2005/8/layout/bProcess3"/>
    <dgm:cxn modelId="{B7DE5B00-F81A-49BD-A775-ABBC7EB851B0}" type="presParOf" srcId="{8C604122-0897-490F-833B-75AF641901C2}" destId="{A31352AA-4834-4738-B850-08723F6F6E74}" srcOrd="0" destOrd="0" presId="urn:microsoft.com/office/officeart/2005/8/layout/bProcess3"/>
    <dgm:cxn modelId="{4AD2E6B7-A7B9-429D-95E4-89E2577B94CF}" type="presParOf" srcId="{BF120C19-04E1-4308-89B0-EBDB615D6FB6}" destId="{E8F18DD0-DE6C-4B68-B4B6-98BB5501A492}" srcOrd="14" destOrd="0" presId="urn:microsoft.com/office/officeart/2005/8/layout/bProcess3"/>
  </dgm:cxnLst>
  <dgm:bg/>
  <dgm:whole/>
  <dgm:extLst>
    <a:ext uri="http://schemas.microsoft.com/office/drawing/2008/diagram">
      <dsp:dataModelExt xmlns:dsp="http://schemas.microsoft.com/office/drawing/2008/diagram" relId="rId33" minVer="http://schemas.openxmlformats.org/drawingml/2006/diagram"/>
    </a:ext>
  </dgm:extLst>
</dgm:dataModel>
</file>

<file path=word/diagrams/data5.xml><?xml version="1.0" encoding="utf-8"?>
<dgm:dataModel xmlns:dgm="http://schemas.openxmlformats.org/drawingml/2006/diagram" xmlns:a="http://schemas.openxmlformats.org/drawingml/2006/main">
  <dgm:ptLst>
    <dgm:pt modelId="{55F4AB1A-8BF2-473B-B8B8-98709E97BC0F}" type="doc">
      <dgm:prSet loTypeId="urn:microsoft.com/office/officeart/2005/8/layout/vList3" loCatId="picture" qsTypeId="urn:microsoft.com/office/officeart/2005/8/quickstyle/simple1" qsCatId="simple" csTypeId="urn:microsoft.com/office/officeart/2005/8/colors/accent1_1" csCatId="accent1" phldr="1"/>
      <dgm:spPr/>
      <dgm:t>
        <a:bodyPr/>
        <a:lstStyle/>
        <a:p>
          <a:endParaRPr lang="es-ES"/>
        </a:p>
      </dgm:t>
    </dgm:pt>
    <dgm:pt modelId="{35646CBB-AA94-41A5-BB1E-DFAD2F1A09CC}">
      <dgm:prSet phldrT="[Texto]"/>
      <dgm:spPr/>
      <dgm:t>
        <a:bodyPr/>
        <a:lstStyle/>
        <a:p>
          <a:r>
            <a:rPr lang="es-CO" b="1">
              <a:latin typeface="Arial" panose="020B0604020202020204" pitchFamily="34" charset="0"/>
              <a:cs typeface="Arial" panose="020B0604020202020204" pitchFamily="34" charset="0"/>
            </a:rPr>
            <a:t>Población: </a:t>
          </a:r>
          <a:r>
            <a:rPr lang="es-CO">
              <a:latin typeface="Arial" panose="020B0604020202020204" pitchFamily="34" charset="0"/>
              <a:cs typeface="Arial" panose="020B0604020202020204" pitchFamily="34" charset="0"/>
            </a:rPr>
            <a:t>verificar que la población utilizada en los cálculos corresponda a la población objeto del acuerdo.</a:t>
          </a:r>
          <a:endParaRPr lang="es-ES">
            <a:latin typeface="Arial" panose="020B0604020202020204" pitchFamily="34" charset="0"/>
            <a:cs typeface="Arial" panose="020B0604020202020204" pitchFamily="34" charset="0"/>
          </a:endParaRPr>
        </a:p>
      </dgm:t>
    </dgm:pt>
    <dgm:pt modelId="{8DAD7D30-D3C6-4FEF-AEB3-F51576F45DE0}" type="parTrans" cxnId="{18A37880-04F0-4E15-9380-E826D98DE641}">
      <dgm:prSet/>
      <dgm:spPr/>
      <dgm:t>
        <a:bodyPr/>
        <a:lstStyle/>
        <a:p>
          <a:endParaRPr lang="es-ES">
            <a:solidFill>
              <a:sysClr val="windowText" lastClr="000000"/>
            </a:solidFill>
            <a:latin typeface="Arial" panose="020B0604020202020204" pitchFamily="34" charset="0"/>
            <a:cs typeface="Arial" panose="020B0604020202020204" pitchFamily="34" charset="0"/>
          </a:endParaRPr>
        </a:p>
      </dgm:t>
    </dgm:pt>
    <dgm:pt modelId="{10615219-46A8-47EE-8399-4546EF4E5F9C}" type="sibTrans" cxnId="{18A37880-04F0-4E15-9380-E826D98DE641}">
      <dgm:prSet/>
      <dgm:spPr/>
      <dgm:t>
        <a:bodyPr/>
        <a:lstStyle/>
        <a:p>
          <a:endParaRPr lang="es-ES">
            <a:solidFill>
              <a:sysClr val="windowText" lastClr="000000"/>
            </a:solidFill>
            <a:latin typeface="Arial" panose="020B0604020202020204" pitchFamily="34" charset="0"/>
            <a:cs typeface="Arial" panose="020B0604020202020204" pitchFamily="34" charset="0"/>
          </a:endParaRPr>
        </a:p>
      </dgm:t>
    </dgm:pt>
    <dgm:pt modelId="{BA488B4B-C00C-4602-BF6C-371F2AA9AB23}">
      <dgm:prSet/>
      <dgm:spPr/>
      <dgm:t>
        <a:bodyPr/>
        <a:lstStyle/>
        <a:p>
          <a:r>
            <a:rPr lang="es-CO" b="1">
              <a:latin typeface="Arial" panose="020B0604020202020204" pitchFamily="34" charset="0"/>
              <a:cs typeface="Arial" panose="020B0604020202020204" pitchFamily="34" charset="0"/>
            </a:rPr>
            <a:t>Servicios y tecnologías: </a:t>
          </a:r>
          <a:r>
            <a:rPr lang="es-CO">
              <a:latin typeface="Arial" panose="020B0604020202020204" pitchFamily="34" charset="0"/>
              <a:cs typeface="Arial" panose="020B0604020202020204" pitchFamily="34" charset="0"/>
            </a:rPr>
            <a:t>comprobar que los servicios incluidos estén correctamente identificados y codificados.</a:t>
          </a:r>
          <a:endParaRPr lang="en-US">
            <a:latin typeface="Arial" panose="020B0604020202020204" pitchFamily="34" charset="0"/>
            <a:cs typeface="Arial" panose="020B0604020202020204" pitchFamily="34" charset="0"/>
          </a:endParaRPr>
        </a:p>
      </dgm:t>
    </dgm:pt>
    <dgm:pt modelId="{B86E4BC1-7AA6-4AED-81E1-68FDF48E7830}" type="parTrans" cxnId="{E5986E83-EC47-4F3F-94C0-02517783ECD9}">
      <dgm:prSet/>
      <dgm:spPr/>
      <dgm:t>
        <a:bodyPr/>
        <a:lstStyle/>
        <a:p>
          <a:endParaRPr lang="es-ES">
            <a:solidFill>
              <a:sysClr val="windowText" lastClr="000000"/>
            </a:solidFill>
            <a:latin typeface="Arial" panose="020B0604020202020204" pitchFamily="34" charset="0"/>
            <a:cs typeface="Arial" panose="020B0604020202020204" pitchFamily="34" charset="0"/>
          </a:endParaRPr>
        </a:p>
      </dgm:t>
    </dgm:pt>
    <dgm:pt modelId="{F846DE7B-8233-49B2-96F8-DED3501AC404}" type="sibTrans" cxnId="{E5986E83-EC47-4F3F-94C0-02517783ECD9}">
      <dgm:prSet/>
      <dgm:spPr/>
      <dgm:t>
        <a:bodyPr/>
        <a:lstStyle/>
        <a:p>
          <a:endParaRPr lang="es-ES">
            <a:solidFill>
              <a:sysClr val="windowText" lastClr="000000"/>
            </a:solidFill>
            <a:latin typeface="Arial" panose="020B0604020202020204" pitchFamily="34" charset="0"/>
            <a:cs typeface="Arial" panose="020B0604020202020204" pitchFamily="34" charset="0"/>
          </a:endParaRPr>
        </a:p>
      </dgm:t>
    </dgm:pt>
    <dgm:pt modelId="{2B674FF3-1DA0-47C5-984A-D1AA9B54692C}">
      <dgm:prSet/>
      <dgm:spPr/>
      <dgm:t>
        <a:bodyPr/>
        <a:lstStyle/>
        <a:p>
          <a:r>
            <a:rPr lang="es-CO" b="1">
              <a:latin typeface="Arial" panose="020B0604020202020204" pitchFamily="34" charset="0"/>
              <a:cs typeface="Arial" panose="020B0604020202020204" pitchFamily="34" charset="0"/>
            </a:rPr>
            <a:t>Frecuencias de uso: </a:t>
          </a:r>
          <a:r>
            <a:rPr lang="es-CO">
              <a:latin typeface="Arial" panose="020B0604020202020204" pitchFamily="34" charset="0"/>
              <a:cs typeface="Arial" panose="020B0604020202020204" pitchFamily="34" charset="0"/>
            </a:rPr>
            <a:t>revisar que las frecuencias hayan sido calculadas a partir de información histórica pertinente y que guarden correspondencia con la población susceptible.</a:t>
          </a:r>
          <a:endParaRPr lang="en-US">
            <a:latin typeface="Arial" panose="020B0604020202020204" pitchFamily="34" charset="0"/>
            <a:cs typeface="Arial" panose="020B0604020202020204" pitchFamily="34" charset="0"/>
          </a:endParaRPr>
        </a:p>
      </dgm:t>
    </dgm:pt>
    <dgm:pt modelId="{2E863F37-BB75-4263-B527-FA94019801DF}" type="parTrans" cxnId="{3A99DC7D-0221-4D86-A768-BE4513EC3A91}">
      <dgm:prSet/>
      <dgm:spPr/>
      <dgm:t>
        <a:bodyPr/>
        <a:lstStyle/>
        <a:p>
          <a:endParaRPr lang="es-ES">
            <a:solidFill>
              <a:sysClr val="windowText" lastClr="000000"/>
            </a:solidFill>
            <a:latin typeface="Arial" panose="020B0604020202020204" pitchFamily="34" charset="0"/>
            <a:cs typeface="Arial" panose="020B0604020202020204" pitchFamily="34" charset="0"/>
          </a:endParaRPr>
        </a:p>
      </dgm:t>
    </dgm:pt>
    <dgm:pt modelId="{7F2F3758-36E2-4F7A-A6C2-81A5C97711BA}" type="sibTrans" cxnId="{3A99DC7D-0221-4D86-A768-BE4513EC3A91}">
      <dgm:prSet/>
      <dgm:spPr/>
      <dgm:t>
        <a:bodyPr/>
        <a:lstStyle/>
        <a:p>
          <a:endParaRPr lang="es-ES">
            <a:solidFill>
              <a:sysClr val="windowText" lastClr="000000"/>
            </a:solidFill>
            <a:latin typeface="Arial" panose="020B0604020202020204" pitchFamily="34" charset="0"/>
            <a:cs typeface="Arial" panose="020B0604020202020204" pitchFamily="34" charset="0"/>
          </a:endParaRPr>
        </a:p>
      </dgm:t>
    </dgm:pt>
    <dgm:pt modelId="{E349E76B-AC34-432C-9BA0-C9B9E3EC5B28}">
      <dgm:prSet/>
      <dgm:spPr/>
      <dgm:t>
        <a:bodyPr/>
        <a:lstStyle/>
        <a:p>
          <a:r>
            <a:rPr lang="es-CO" b="1">
              <a:latin typeface="Arial" panose="020B0604020202020204" pitchFamily="34" charset="0"/>
              <a:cs typeface="Arial" panose="020B0604020202020204" pitchFamily="34" charset="0"/>
            </a:rPr>
            <a:t>Cantidades proyectadas: </a:t>
          </a:r>
          <a:r>
            <a:rPr lang="es-CO">
              <a:latin typeface="Arial" panose="020B0604020202020204" pitchFamily="34" charset="0"/>
              <a:cs typeface="Arial" panose="020B0604020202020204" pitchFamily="34" charset="0"/>
            </a:rPr>
            <a:t>comprobar la relación entre población, frecuencia y cantidad de servicios estimada.</a:t>
          </a:r>
          <a:endParaRPr lang="en-US">
            <a:latin typeface="Arial" panose="020B0604020202020204" pitchFamily="34" charset="0"/>
            <a:cs typeface="Arial" panose="020B0604020202020204" pitchFamily="34" charset="0"/>
          </a:endParaRPr>
        </a:p>
      </dgm:t>
    </dgm:pt>
    <dgm:pt modelId="{29034F62-476E-4A9C-82D1-247FE4812024}" type="parTrans" cxnId="{913E09B4-0461-4032-B878-3C699D506C31}">
      <dgm:prSet/>
      <dgm:spPr/>
      <dgm:t>
        <a:bodyPr/>
        <a:lstStyle/>
        <a:p>
          <a:endParaRPr lang="es-ES">
            <a:solidFill>
              <a:sysClr val="windowText" lastClr="000000"/>
            </a:solidFill>
            <a:latin typeface="Arial" panose="020B0604020202020204" pitchFamily="34" charset="0"/>
            <a:cs typeface="Arial" panose="020B0604020202020204" pitchFamily="34" charset="0"/>
          </a:endParaRPr>
        </a:p>
      </dgm:t>
    </dgm:pt>
    <dgm:pt modelId="{087988B3-DE1B-4EC5-8BD3-59F9C3689B1A}" type="sibTrans" cxnId="{913E09B4-0461-4032-B878-3C699D506C31}">
      <dgm:prSet/>
      <dgm:spPr/>
      <dgm:t>
        <a:bodyPr/>
        <a:lstStyle/>
        <a:p>
          <a:endParaRPr lang="es-ES">
            <a:solidFill>
              <a:sysClr val="windowText" lastClr="000000"/>
            </a:solidFill>
            <a:latin typeface="Arial" panose="020B0604020202020204" pitchFamily="34" charset="0"/>
            <a:cs typeface="Arial" panose="020B0604020202020204" pitchFamily="34" charset="0"/>
          </a:endParaRPr>
        </a:p>
      </dgm:t>
    </dgm:pt>
    <dgm:pt modelId="{0548AE97-4013-458F-A7FD-3483C9F148A3}">
      <dgm:prSet/>
      <dgm:spPr/>
      <dgm:t>
        <a:bodyPr/>
        <a:lstStyle/>
        <a:p>
          <a:r>
            <a:rPr lang="es-CO" b="1">
              <a:latin typeface="Arial" panose="020B0604020202020204" pitchFamily="34" charset="0"/>
              <a:cs typeface="Arial" panose="020B0604020202020204" pitchFamily="34" charset="0"/>
            </a:rPr>
            <a:t>Costos y tarifas: </a:t>
          </a:r>
          <a:r>
            <a:rPr lang="es-CO">
              <a:latin typeface="Arial" panose="020B0604020202020204" pitchFamily="34" charset="0"/>
              <a:cs typeface="Arial" panose="020B0604020202020204" pitchFamily="34" charset="0"/>
            </a:rPr>
            <a:t>verificar que los valores utilizados correspondan a los servicios proyectados y a las referencias o condiciones establecidas.</a:t>
          </a:r>
          <a:endParaRPr lang="en-US">
            <a:latin typeface="Arial" panose="020B0604020202020204" pitchFamily="34" charset="0"/>
            <a:cs typeface="Arial" panose="020B0604020202020204" pitchFamily="34" charset="0"/>
          </a:endParaRPr>
        </a:p>
      </dgm:t>
    </dgm:pt>
    <dgm:pt modelId="{F5FB2413-5D8F-46EB-A020-11448FBA644D}" type="parTrans" cxnId="{B2EE3E13-07A5-4C09-8B71-F060AC8B69AB}">
      <dgm:prSet/>
      <dgm:spPr/>
      <dgm:t>
        <a:bodyPr/>
        <a:lstStyle/>
        <a:p>
          <a:endParaRPr lang="es-ES">
            <a:solidFill>
              <a:sysClr val="windowText" lastClr="000000"/>
            </a:solidFill>
            <a:latin typeface="Arial" panose="020B0604020202020204" pitchFamily="34" charset="0"/>
            <a:cs typeface="Arial" panose="020B0604020202020204" pitchFamily="34" charset="0"/>
          </a:endParaRPr>
        </a:p>
      </dgm:t>
    </dgm:pt>
    <dgm:pt modelId="{C32A8479-E4ED-455B-9EB7-8E138BB32F8C}" type="sibTrans" cxnId="{B2EE3E13-07A5-4C09-8B71-F060AC8B69AB}">
      <dgm:prSet/>
      <dgm:spPr/>
      <dgm:t>
        <a:bodyPr/>
        <a:lstStyle/>
        <a:p>
          <a:endParaRPr lang="es-ES">
            <a:solidFill>
              <a:sysClr val="windowText" lastClr="000000"/>
            </a:solidFill>
            <a:latin typeface="Arial" panose="020B0604020202020204" pitchFamily="34" charset="0"/>
            <a:cs typeface="Arial" panose="020B0604020202020204" pitchFamily="34" charset="0"/>
          </a:endParaRPr>
        </a:p>
      </dgm:t>
    </dgm:pt>
    <dgm:pt modelId="{BD937244-42AA-4863-BA4A-22BAEC0E5EBD}">
      <dgm:prSet/>
      <dgm:spPr/>
      <dgm:t>
        <a:bodyPr/>
        <a:lstStyle/>
        <a:p>
          <a:r>
            <a:rPr lang="es-CO" b="1">
              <a:latin typeface="Arial" panose="020B0604020202020204" pitchFamily="34" charset="0"/>
              <a:cs typeface="Arial" panose="020B0604020202020204" pitchFamily="34" charset="0"/>
            </a:rPr>
            <a:t>Soportes: </a:t>
          </a:r>
          <a:r>
            <a:rPr lang="es-CO">
              <a:latin typeface="Arial" panose="020B0604020202020204" pitchFamily="34" charset="0"/>
              <a:cs typeface="Arial" panose="020B0604020202020204" pitchFamily="34" charset="0"/>
            </a:rPr>
            <a:t>comprobar que los datos y cálculos cuenten con la documentación que permita sustentar su origen y trazabilidad.</a:t>
          </a:r>
          <a:endParaRPr lang="en-US">
            <a:latin typeface="Arial" panose="020B0604020202020204" pitchFamily="34" charset="0"/>
            <a:cs typeface="Arial" panose="020B0604020202020204" pitchFamily="34" charset="0"/>
          </a:endParaRPr>
        </a:p>
      </dgm:t>
    </dgm:pt>
    <dgm:pt modelId="{DD39FB29-484C-4FE4-B035-F298FF81C3BB}" type="parTrans" cxnId="{CAB88F4D-7399-42A8-8135-8641E91C8D39}">
      <dgm:prSet/>
      <dgm:spPr/>
      <dgm:t>
        <a:bodyPr/>
        <a:lstStyle/>
        <a:p>
          <a:endParaRPr lang="es-ES">
            <a:solidFill>
              <a:sysClr val="windowText" lastClr="000000"/>
            </a:solidFill>
            <a:latin typeface="Arial" panose="020B0604020202020204" pitchFamily="34" charset="0"/>
            <a:cs typeface="Arial" panose="020B0604020202020204" pitchFamily="34" charset="0"/>
          </a:endParaRPr>
        </a:p>
      </dgm:t>
    </dgm:pt>
    <dgm:pt modelId="{F9C5812C-18C6-4C3D-819F-81B564FFD153}" type="sibTrans" cxnId="{CAB88F4D-7399-42A8-8135-8641E91C8D39}">
      <dgm:prSet/>
      <dgm:spPr/>
      <dgm:t>
        <a:bodyPr/>
        <a:lstStyle/>
        <a:p>
          <a:endParaRPr lang="es-ES">
            <a:solidFill>
              <a:sysClr val="windowText" lastClr="000000"/>
            </a:solidFill>
            <a:latin typeface="Arial" panose="020B0604020202020204" pitchFamily="34" charset="0"/>
            <a:cs typeface="Arial" panose="020B0604020202020204" pitchFamily="34" charset="0"/>
          </a:endParaRPr>
        </a:p>
      </dgm:t>
    </dgm:pt>
    <dgm:pt modelId="{2CDACEDF-9B19-4744-B061-12B942E0B197}">
      <dgm:prSet/>
      <dgm:spPr/>
      <dgm:t>
        <a:bodyPr/>
        <a:lstStyle/>
        <a:p>
          <a:r>
            <a:rPr lang="es-CO" b="1">
              <a:latin typeface="Arial" panose="020B0604020202020204" pitchFamily="34" charset="0"/>
              <a:cs typeface="Arial" panose="020B0604020202020204" pitchFamily="34" charset="0"/>
            </a:rPr>
            <a:t>Coherencia interna: </a:t>
          </a:r>
          <a:r>
            <a:rPr lang="es-CO">
              <a:latin typeface="Arial" panose="020B0604020202020204" pitchFamily="34" charset="0"/>
              <a:cs typeface="Arial" panose="020B0604020202020204" pitchFamily="34" charset="0"/>
            </a:rPr>
            <a:t>verificar que no existan inconsistencias entre los diferentes componentes de la nota técnica.</a:t>
          </a:r>
          <a:endParaRPr lang="en-US">
            <a:latin typeface="Arial" panose="020B0604020202020204" pitchFamily="34" charset="0"/>
            <a:cs typeface="Arial" panose="020B0604020202020204" pitchFamily="34" charset="0"/>
          </a:endParaRPr>
        </a:p>
      </dgm:t>
    </dgm:pt>
    <dgm:pt modelId="{A8A22191-B0DD-41C8-93A3-E69809B6A2E0}" type="parTrans" cxnId="{C7FA7896-9939-4B67-A48C-8421573AEAA5}">
      <dgm:prSet/>
      <dgm:spPr/>
      <dgm:t>
        <a:bodyPr/>
        <a:lstStyle/>
        <a:p>
          <a:endParaRPr lang="es-ES">
            <a:solidFill>
              <a:sysClr val="windowText" lastClr="000000"/>
            </a:solidFill>
            <a:latin typeface="Arial" panose="020B0604020202020204" pitchFamily="34" charset="0"/>
            <a:cs typeface="Arial" panose="020B0604020202020204" pitchFamily="34" charset="0"/>
          </a:endParaRPr>
        </a:p>
      </dgm:t>
    </dgm:pt>
    <dgm:pt modelId="{16235E10-6B9D-4930-AD4D-39AA3C0C1590}" type="sibTrans" cxnId="{C7FA7896-9939-4B67-A48C-8421573AEAA5}">
      <dgm:prSet/>
      <dgm:spPr/>
      <dgm:t>
        <a:bodyPr/>
        <a:lstStyle/>
        <a:p>
          <a:endParaRPr lang="es-ES">
            <a:solidFill>
              <a:sysClr val="windowText" lastClr="000000"/>
            </a:solidFill>
            <a:latin typeface="Arial" panose="020B0604020202020204" pitchFamily="34" charset="0"/>
            <a:cs typeface="Arial" panose="020B0604020202020204" pitchFamily="34" charset="0"/>
          </a:endParaRPr>
        </a:p>
      </dgm:t>
    </dgm:pt>
    <dgm:pt modelId="{FA199817-BA2B-40C9-B7FC-655361F3650A}" type="pres">
      <dgm:prSet presAssocID="{55F4AB1A-8BF2-473B-B8B8-98709E97BC0F}" presName="linearFlow" presStyleCnt="0">
        <dgm:presLayoutVars>
          <dgm:dir/>
          <dgm:resizeHandles val="exact"/>
        </dgm:presLayoutVars>
      </dgm:prSet>
      <dgm:spPr/>
      <dgm:t>
        <a:bodyPr/>
        <a:lstStyle/>
        <a:p>
          <a:endParaRPr lang="es-ES"/>
        </a:p>
      </dgm:t>
    </dgm:pt>
    <dgm:pt modelId="{1E5C3077-B8C7-482B-BEB3-489C6754D239}" type="pres">
      <dgm:prSet presAssocID="{35646CBB-AA94-41A5-BB1E-DFAD2F1A09CC}" presName="composite" presStyleCnt="0"/>
      <dgm:spPr/>
    </dgm:pt>
    <dgm:pt modelId="{99564947-7C6C-40D0-AA36-30CCABAC7596}" type="pres">
      <dgm:prSet presAssocID="{35646CBB-AA94-41A5-BB1E-DFAD2F1A09CC}" presName="imgShp" presStyleLbl="fgImgPlace1" presStyleIdx="0" presStyleCnt="7"/>
      <dgm:spPr>
        <a:blipFill rotWithShape="1">
          <a:blip xmlns:r="http://schemas.openxmlformats.org/officeDocument/2006/relationships" r:embed="rId1"/>
          <a:stretch>
            <a:fillRect/>
          </a:stretch>
        </a:blipFill>
      </dgm:spPr>
    </dgm:pt>
    <dgm:pt modelId="{8121771B-4C6D-4686-A832-0E0FFBB323B3}" type="pres">
      <dgm:prSet presAssocID="{35646CBB-AA94-41A5-BB1E-DFAD2F1A09CC}" presName="txShp" presStyleLbl="node1" presStyleIdx="0" presStyleCnt="7">
        <dgm:presLayoutVars>
          <dgm:bulletEnabled val="1"/>
        </dgm:presLayoutVars>
      </dgm:prSet>
      <dgm:spPr/>
      <dgm:t>
        <a:bodyPr/>
        <a:lstStyle/>
        <a:p>
          <a:endParaRPr lang="es-ES"/>
        </a:p>
      </dgm:t>
    </dgm:pt>
    <dgm:pt modelId="{DB5F5487-9760-4397-BDD7-8F97D5A555C7}" type="pres">
      <dgm:prSet presAssocID="{10615219-46A8-47EE-8399-4546EF4E5F9C}" presName="spacing" presStyleCnt="0"/>
      <dgm:spPr/>
    </dgm:pt>
    <dgm:pt modelId="{0BA44661-677F-4F61-B8F4-C3B780BA69C6}" type="pres">
      <dgm:prSet presAssocID="{BA488B4B-C00C-4602-BF6C-371F2AA9AB23}" presName="composite" presStyleCnt="0"/>
      <dgm:spPr/>
    </dgm:pt>
    <dgm:pt modelId="{EC59F019-0C1C-4695-ACC9-0A2704DF5D00}" type="pres">
      <dgm:prSet presAssocID="{BA488B4B-C00C-4602-BF6C-371F2AA9AB23}" presName="imgShp" presStyleLbl="fgImgPlace1" presStyleIdx="1" presStyleCnt="7"/>
      <dgm:spPr>
        <a:blipFill rotWithShape="1">
          <a:blip xmlns:r="http://schemas.openxmlformats.org/officeDocument/2006/relationships" r:embed="rId2"/>
          <a:stretch>
            <a:fillRect/>
          </a:stretch>
        </a:blipFill>
      </dgm:spPr>
    </dgm:pt>
    <dgm:pt modelId="{6835057C-864F-47E8-A344-8FDFA41F2CF4}" type="pres">
      <dgm:prSet presAssocID="{BA488B4B-C00C-4602-BF6C-371F2AA9AB23}" presName="txShp" presStyleLbl="node1" presStyleIdx="1" presStyleCnt="7">
        <dgm:presLayoutVars>
          <dgm:bulletEnabled val="1"/>
        </dgm:presLayoutVars>
      </dgm:prSet>
      <dgm:spPr/>
      <dgm:t>
        <a:bodyPr/>
        <a:lstStyle/>
        <a:p>
          <a:endParaRPr lang="es-ES"/>
        </a:p>
      </dgm:t>
    </dgm:pt>
    <dgm:pt modelId="{3D5B8D23-89ED-4015-87F9-5C01C74FA3A7}" type="pres">
      <dgm:prSet presAssocID="{F846DE7B-8233-49B2-96F8-DED3501AC404}" presName="spacing" presStyleCnt="0"/>
      <dgm:spPr/>
    </dgm:pt>
    <dgm:pt modelId="{80428B5B-4E31-4C7D-AC11-2C158786FE70}" type="pres">
      <dgm:prSet presAssocID="{2B674FF3-1DA0-47C5-984A-D1AA9B54692C}" presName="composite" presStyleCnt="0"/>
      <dgm:spPr/>
    </dgm:pt>
    <dgm:pt modelId="{E8F20D44-BEFF-488F-9AE8-F623037B683B}" type="pres">
      <dgm:prSet presAssocID="{2B674FF3-1DA0-47C5-984A-D1AA9B54692C}" presName="imgShp" presStyleLbl="fgImgPlace1" presStyleIdx="2" presStyleCnt="7"/>
      <dgm:spPr>
        <a:blipFill rotWithShape="1">
          <a:blip xmlns:r="http://schemas.openxmlformats.org/officeDocument/2006/relationships" r:embed="rId3"/>
          <a:stretch>
            <a:fillRect/>
          </a:stretch>
        </a:blipFill>
      </dgm:spPr>
    </dgm:pt>
    <dgm:pt modelId="{116BD249-6E92-44DE-AA93-E60EE624FF02}" type="pres">
      <dgm:prSet presAssocID="{2B674FF3-1DA0-47C5-984A-D1AA9B54692C}" presName="txShp" presStyleLbl="node1" presStyleIdx="2" presStyleCnt="7">
        <dgm:presLayoutVars>
          <dgm:bulletEnabled val="1"/>
        </dgm:presLayoutVars>
      </dgm:prSet>
      <dgm:spPr/>
      <dgm:t>
        <a:bodyPr/>
        <a:lstStyle/>
        <a:p>
          <a:endParaRPr lang="es-ES"/>
        </a:p>
      </dgm:t>
    </dgm:pt>
    <dgm:pt modelId="{B574A4AE-DFC5-4835-8AB1-FE183B7A6A6F}" type="pres">
      <dgm:prSet presAssocID="{7F2F3758-36E2-4F7A-A6C2-81A5C97711BA}" presName="spacing" presStyleCnt="0"/>
      <dgm:spPr/>
    </dgm:pt>
    <dgm:pt modelId="{F3310609-1BCA-40B9-AA1A-C60E944F2BA7}" type="pres">
      <dgm:prSet presAssocID="{E349E76B-AC34-432C-9BA0-C9B9E3EC5B28}" presName="composite" presStyleCnt="0"/>
      <dgm:spPr/>
    </dgm:pt>
    <dgm:pt modelId="{7FBAD6A1-ACFF-427D-9FF7-14099FFA7C7C}" type="pres">
      <dgm:prSet presAssocID="{E349E76B-AC34-432C-9BA0-C9B9E3EC5B28}" presName="imgShp" presStyleLbl="fgImgPlace1" presStyleIdx="3" presStyleCnt="7"/>
      <dgm:spPr>
        <a:blipFill rotWithShape="1">
          <a:blip xmlns:r="http://schemas.openxmlformats.org/officeDocument/2006/relationships" r:embed="rId4"/>
          <a:stretch>
            <a:fillRect/>
          </a:stretch>
        </a:blipFill>
      </dgm:spPr>
    </dgm:pt>
    <dgm:pt modelId="{0C982E4C-27BC-47C5-9554-760494AEB9F7}" type="pres">
      <dgm:prSet presAssocID="{E349E76B-AC34-432C-9BA0-C9B9E3EC5B28}" presName="txShp" presStyleLbl="node1" presStyleIdx="3" presStyleCnt="7">
        <dgm:presLayoutVars>
          <dgm:bulletEnabled val="1"/>
        </dgm:presLayoutVars>
      </dgm:prSet>
      <dgm:spPr/>
      <dgm:t>
        <a:bodyPr/>
        <a:lstStyle/>
        <a:p>
          <a:endParaRPr lang="es-ES"/>
        </a:p>
      </dgm:t>
    </dgm:pt>
    <dgm:pt modelId="{077D6D12-2EF5-4E6E-B978-80A8A021C14D}" type="pres">
      <dgm:prSet presAssocID="{087988B3-DE1B-4EC5-8BD3-59F9C3689B1A}" presName="spacing" presStyleCnt="0"/>
      <dgm:spPr/>
    </dgm:pt>
    <dgm:pt modelId="{8A153ABB-7C24-4EA8-B4F2-FDA148912877}" type="pres">
      <dgm:prSet presAssocID="{0548AE97-4013-458F-A7FD-3483C9F148A3}" presName="composite" presStyleCnt="0"/>
      <dgm:spPr/>
    </dgm:pt>
    <dgm:pt modelId="{73B1D31F-1F92-42D6-904E-8234982B09AB}" type="pres">
      <dgm:prSet presAssocID="{0548AE97-4013-458F-A7FD-3483C9F148A3}" presName="imgShp" presStyleLbl="fgImgPlace1" presStyleIdx="4" presStyleCnt="7"/>
      <dgm:spPr>
        <a:blipFill rotWithShape="1">
          <a:blip xmlns:r="http://schemas.openxmlformats.org/officeDocument/2006/relationships" r:embed="rId5"/>
          <a:stretch>
            <a:fillRect/>
          </a:stretch>
        </a:blipFill>
      </dgm:spPr>
    </dgm:pt>
    <dgm:pt modelId="{E654690E-025B-458E-BD29-230517100921}" type="pres">
      <dgm:prSet presAssocID="{0548AE97-4013-458F-A7FD-3483C9F148A3}" presName="txShp" presStyleLbl="node1" presStyleIdx="4" presStyleCnt="7">
        <dgm:presLayoutVars>
          <dgm:bulletEnabled val="1"/>
        </dgm:presLayoutVars>
      </dgm:prSet>
      <dgm:spPr/>
      <dgm:t>
        <a:bodyPr/>
        <a:lstStyle/>
        <a:p>
          <a:endParaRPr lang="es-ES"/>
        </a:p>
      </dgm:t>
    </dgm:pt>
    <dgm:pt modelId="{1B624BBC-A153-4E09-9E3B-C4941AA9CAEB}" type="pres">
      <dgm:prSet presAssocID="{C32A8479-E4ED-455B-9EB7-8E138BB32F8C}" presName="spacing" presStyleCnt="0"/>
      <dgm:spPr/>
    </dgm:pt>
    <dgm:pt modelId="{7F152A76-5DBB-4EE7-AC28-F60A63A82E1A}" type="pres">
      <dgm:prSet presAssocID="{BD937244-42AA-4863-BA4A-22BAEC0E5EBD}" presName="composite" presStyleCnt="0"/>
      <dgm:spPr/>
    </dgm:pt>
    <dgm:pt modelId="{36E06AE0-40A1-4084-ADEA-64E417862614}" type="pres">
      <dgm:prSet presAssocID="{BD937244-42AA-4863-BA4A-22BAEC0E5EBD}" presName="imgShp" presStyleLbl="fgImgPlace1" presStyleIdx="5" presStyleCnt="7"/>
      <dgm:spPr>
        <a:blipFill rotWithShape="1">
          <a:blip xmlns:r="http://schemas.openxmlformats.org/officeDocument/2006/relationships" r:embed="rId6"/>
          <a:stretch>
            <a:fillRect/>
          </a:stretch>
        </a:blipFill>
      </dgm:spPr>
    </dgm:pt>
    <dgm:pt modelId="{5C032766-C7C3-4FD5-937C-086F35091AA3}" type="pres">
      <dgm:prSet presAssocID="{BD937244-42AA-4863-BA4A-22BAEC0E5EBD}" presName="txShp" presStyleLbl="node1" presStyleIdx="5" presStyleCnt="7">
        <dgm:presLayoutVars>
          <dgm:bulletEnabled val="1"/>
        </dgm:presLayoutVars>
      </dgm:prSet>
      <dgm:spPr/>
      <dgm:t>
        <a:bodyPr/>
        <a:lstStyle/>
        <a:p>
          <a:endParaRPr lang="es-ES"/>
        </a:p>
      </dgm:t>
    </dgm:pt>
    <dgm:pt modelId="{BDD425BE-5F03-4A04-838D-11594BFD1F92}" type="pres">
      <dgm:prSet presAssocID="{F9C5812C-18C6-4C3D-819F-81B564FFD153}" presName="spacing" presStyleCnt="0"/>
      <dgm:spPr/>
    </dgm:pt>
    <dgm:pt modelId="{FC5EF687-FA3C-44BF-A26B-F812A15EA41E}" type="pres">
      <dgm:prSet presAssocID="{2CDACEDF-9B19-4744-B061-12B942E0B197}" presName="composite" presStyleCnt="0"/>
      <dgm:spPr/>
    </dgm:pt>
    <dgm:pt modelId="{3BC72134-9DE7-4872-B6E3-4CD07F3113B4}" type="pres">
      <dgm:prSet presAssocID="{2CDACEDF-9B19-4744-B061-12B942E0B197}" presName="imgShp" presStyleLbl="fgImgPlace1" presStyleIdx="6" presStyleCnt="7"/>
      <dgm:spPr>
        <a:blipFill rotWithShape="1">
          <a:blip xmlns:r="http://schemas.openxmlformats.org/officeDocument/2006/relationships" r:embed="rId7"/>
          <a:stretch>
            <a:fillRect/>
          </a:stretch>
        </a:blipFill>
      </dgm:spPr>
    </dgm:pt>
    <dgm:pt modelId="{FDDE0F75-EDA9-4A63-9FBD-72E5D032D1F1}" type="pres">
      <dgm:prSet presAssocID="{2CDACEDF-9B19-4744-B061-12B942E0B197}" presName="txShp" presStyleLbl="node1" presStyleIdx="6" presStyleCnt="7">
        <dgm:presLayoutVars>
          <dgm:bulletEnabled val="1"/>
        </dgm:presLayoutVars>
      </dgm:prSet>
      <dgm:spPr/>
      <dgm:t>
        <a:bodyPr/>
        <a:lstStyle/>
        <a:p>
          <a:endParaRPr lang="es-ES"/>
        </a:p>
      </dgm:t>
    </dgm:pt>
  </dgm:ptLst>
  <dgm:cxnLst>
    <dgm:cxn modelId="{136AAC48-8E63-4A10-AAFC-DE74C776DBAB}" type="presOf" srcId="{BA488B4B-C00C-4602-BF6C-371F2AA9AB23}" destId="{6835057C-864F-47E8-A344-8FDFA41F2CF4}" srcOrd="0" destOrd="0" presId="urn:microsoft.com/office/officeart/2005/8/layout/vList3"/>
    <dgm:cxn modelId="{18A37880-04F0-4E15-9380-E826D98DE641}" srcId="{55F4AB1A-8BF2-473B-B8B8-98709E97BC0F}" destId="{35646CBB-AA94-41A5-BB1E-DFAD2F1A09CC}" srcOrd="0" destOrd="0" parTransId="{8DAD7D30-D3C6-4FEF-AEB3-F51576F45DE0}" sibTransId="{10615219-46A8-47EE-8399-4546EF4E5F9C}"/>
    <dgm:cxn modelId="{3A99DC7D-0221-4D86-A768-BE4513EC3A91}" srcId="{55F4AB1A-8BF2-473B-B8B8-98709E97BC0F}" destId="{2B674FF3-1DA0-47C5-984A-D1AA9B54692C}" srcOrd="2" destOrd="0" parTransId="{2E863F37-BB75-4263-B527-FA94019801DF}" sibTransId="{7F2F3758-36E2-4F7A-A6C2-81A5C97711BA}"/>
    <dgm:cxn modelId="{C7FA7896-9939-4B67-A48C-8421573AEAA5}" srcId="{55F4AB1A-8BF2-473B-B8B8-98709E97BC0F}" destId="{2CDACEDF-9B19-4744-B061-12B942E0B197}" srcOrd="6" destOrd="0" parTransId="{A8A22191-B0DD-41C8-93A3-E69809B6A2E0}" sibTransId="{16235E10-6B9D-4930-AD4D-39AA3C0C1590}"/>
    <dgm:cxn modelId="{82708387-2CD9-466C-9C6C-6B9EB65040A1}" type="presOf" srcId="{2B674FF3-1DA0-47C5-984A-D1AA9B54692C}" destId="{116BD249-6E92-44DE-AA93-E60EE624FF02}" srcOrd="0" destOrd="0" presId="urn:microsoft.com/office/officeart/2005/8/layout/vList3"/>
    <dgm:cxn modelId="{31EE6EE7-55B3-48DA-848F-B41C7BC1BB82}" type="presOf" srcId="{BD937244-42AA-4863-BA4A-22BAEC0E5EBD}" destId="{5C032766-C7C3-4FD5-937C-086F35091AA3}" srcOrd="0" destOrd="0" presId="urn:microsoft.com/office/officeart/2005/8/layout/vList3"/>
    <dgm:cxn modelId="{E5986E83-EC47-4F3F-94C0-02517783ECD9}" srcId="{55F4AB1A-8BF2-473B-B8B8-98709E97BC0F}" destId="{BA488B4B-C00C-4602-BF6C-371F2AA9AB23}" srcOrd="1" destOrd="0" parTransId="{B86E4BC1-7AA6-4AED-81E1-68FDF48E7830}" sibTransId="{F846DE7B-8233-49B2-96F8-DED3501AC404}"/>
    <dgm:cxn modelId="{BBEB7275-2417-4E07-936D-80D6BE66D32B}" type="presOf" srcId="{35646CBB-AA94-41A5-BB1E-DFAD2F1A09CC}" destId="{8121771B-4C6D-4686-A832-0E0FFBB323B3}" srcOrd="0" destOrd="0" presId="urn:microsoft.com/office/officeart/2005/8/layout/vList3"/>
    <dgm:cxn modelId="{913E09B4-0461-4032-B878-3C699D506C31}" srcId="{55F4AB1A-8BF2-473B-B8B8-98709E97BC0F}" destId="{E349E76B-AC34-432C-9BA0-C9B9E3EC5B28}" srcOrd="3" destOrd="0" parTransId="{29034F62-476E-4A9C-82D1-247FE4812024}" sibTransId="{087988B3-DE1B-4EC5-8BD3-59F9C3689B1A}"/>
    <dgm:cxn modelId="{0AA66A28-8B4B-446A-B1E0-A267520E2183}" type="presOf" srcId="{2CDACEDF-9B19-4744-B061-12B942E0B197}" destId="{FDDE0F75-EDA9-4A63-9FBD-72E5D032D1F1}" srcOrd="0" destOrd="0" presId="urn:microsoft.com/office/officeart/2005/8/layout/vList3"/>
    <dgm:cxn modelId="{B2EE3E13-07A5-4C09-8B71-F060AC8B69AB}" srcId="{55F4AB1A-8BF2-473B-B8B8-98709E97BC0F}" destId="{0548AE97-4013-458F-A7FD-3483C9F148A3}" srcOrd="4" destOrd="0" parTransId="{F5FB2413-5D8F-46EB-A020-11448FBA644D}" sibTransId="{C32A8479-E4ED-455B-9EB7-8E138BB32F8C}"/>
    <dgm:cxn modelId="{2AF9EC0D-A102-4B7F-A135-2AB365F3E18A}" type="presOf" srcId="{0548AE97-4013-458F-A7FD-3483C9F148A3}" destId="{E654690E-025B-458E-BD29-230517100921}" srcOrd="0" destOrd="0" presId="urn:microsoft.com/office/officeart/2005/8/layout/vList3"/>
    <dgm:cxn modelId="{CAB88F4D-7399-42A8-8135-8641E91C8D39}" srcId="{55F4AB1A-8BF2-473B-B8B8-98709E97BC0F}" destId="{BD937244-42AA-4863-BA4A-22BAEC0E5EBD}" srcOrd="5" destOrd="0" parTransId="{DD39FB29-484C-4FE4-B035-F298FF81C3BB}" sibTransId="{F9C5812C-18C6-4C3D-819F-81B564FFD153}"/>
    <dgm:cxn modelId="{5BD017EE-D4B2-42C0-9ADD-074DC4CFAF2E}" type="presOf" srcId="{55F4AB1A-8BF2-473B-B8B8-98709E97BC0F}" destId="{FA199817-BA2B-40C9-B7FC-655361F3650A}" srcOrd="0" destOrd="0" presId="urn:microsoft.com/office/officeart/2005/8/layout/vList3"/>
    <dgm:cxn modelId="{F29EFA53-1952-404B-9E46-B8C6A6E7B275}" type="presOf" srcId="{E349E76B-AC34-432C-9BA0-C9B9E3EC5B28}" destId="{0C982E4C-27BC-47C5-9554-760494AEB9F7}" srcOrd="0" destOrd="0" presId="urn:microsoft.com/office/officeart/2005/8/layout/vList3"/>
    <dgm:cxn modelId="{B2F13AF2-CCF1-48BF-8444-DBC76085042F}" type="presParOf" srcId="{FA199817-BA2B-40C9-B7FC-655361F3650A}" destId="{1E5C3077-B8C7-482B-BEB3-489C6754D239}" srcOrd="0" destOrd="0" presId="urn:microsoft.com/office/officeart/2005/8/layout/vList3"/>
    <dgm:cxn modelId="{EEA810CC-63B3-48C3-B081-46ADAC8EF700}" type="presParOf" srcId="{1E5C3077-B8C7-482B-BEB3-489C6754D239}" destId="{99564947-7C6C-40D0-AA36-30CCABAC7596}" srcOrd="0" destOrd="0" presId="urn:microsoft.com/office/officeart/2005/8/layout/vList3"/>
    <dgm:cxn modelId="{9870E6E3-96B4-44B2-A9CC-6AE1B73A7399}" type="presParOf" srcId="{1E5C3077-B8C7-482B-BEB3-489C6754D239}" destId="{8121771B-4C6D-4686-A832-0E0FFBB323B3}" srcOrd="1" destOrd="0" presId="urn:microsoft.com/office/officeart/2005/8/layout/vList3"/>
    <dgm:cxn modelId="{E52B5D0C-B659-42D3-8A6F-02691BC60D4D}" type="presParOf" srcId="{FA199817-BA2B-40C9-B7FC-655361F3650A}" destId="{DB5F5487-9760-4397-BDD7-8F97D5A555C7}" srcOrd="1" destOrd="0" presId="urn:microsoft.com/office/officeart/2005/8/layout/vList3"/>
    <dgm:cxn modelId="{E10182CB-19D8-4F48-8E37-284ADAA168DD}" type="presParOf" srcId="{FA199817-BA2B-40C9-B7FC-655361F3650A}" destId="{0BA44661-677F-4F61-B8F4-C3B780BA69C6}" srcOrd="2" destOrd="0" presId="urn:microsoft.com/office/officeart/2005/8/layout/vList3"/>
    <dgm:cxn modelId="{C67C8FCF-3BD6-4D2E-A355-B8BD232F4731}" type="presParOf" srcId="{0BA44661-677F-4F61-B8F4-C3B780BA69C6}" destId="{EC59F019-0C1C-4695-ACC9-0A2704DF5D00}" srcOrd="0" destOrd="0" presId="urn:microsoft.com/office/officeart/2005/8/layout/vList3"/>
    <dgm:cxn modelId="{DB59FF2D-B6C0-4818-A208-64736B6FDCAF}" type="presParOf" srcId="{0BA44661-677F-4F61-B8F4-C3B780BA69C6}" destId="{6835057C-864F-47E8-A344-8FDFA41F2CF4}" srcOrd="1" destOrd="0" presId="urn:microsoft.com/office/officeart/2005/8/layout/vList3"/>
    <dgm:cxn modelId="{0438D600-3879-4F6D-AE6D-972DA144D7CA}" type="presParOf" srcId="{FA199817-BA2B-40C9-B7FC-655361F3650A}" destId="{3D5B8D23-89ED-4015-87F9-5C01C74FA3A7}" srcOrd="3" destOrd="0" presId="urn:microsoft.com/office/officeart/2005/8/layout/vList3"/>
    <dgm:cxn modelId="{B29BEEF9-4FA0-4D8E-937D-BAC0EE086B5A}" type="presParOf" srcId="{FA199817-BA2B-40C9-B7FC-655361F3650A}" destId="{80428B5B-4E31-4C7D-AC11-2C158786FE70}" srcOrd="4" destOrd="0" presId="urn:microsoft.com/office/officeart/2005/8/layout/vList3"/>
    <dgm:cxn modelId="{91234B92-76CA-412C-8947-24D8C23680C5}" type="presParOf" srcId="{80428B5B-4E31-4C7D-AC11-2C158786FE70}" destId="{E8F20D44-BEFF-488F-9AE8-F623037B683B}" srcOrd="0" destOrd="0" presId="urn:microsoft.com/office/officeart/2005/8/layout/vList3"/>
    <dgm:cxn modelId="{6F113CA8-6A22-4673-B089-C98F0879540B}" type="presParOf" srcId="{80428B5B-4E31-4C7D-AC11-2C158786FE70}" destId="{116BD249-6E92-44DE-AA93-E60EE624FF02}" srcOrd="1" destOrd="0" presId="urn:microsoft.com/office/officeart/2005/8/layout/vList3"/>
    <dgm:cxn modelId="{01368303-D2F4-47E5-98FE-97952991ECA5}" type="presParOf" srcId="{FA199817-BA2B-40C9-B7FC-655361F3650A}" destId="{B574A4AE-DFC5-4835-8AB1-FE183B7A6A6F}" srcOrd="5" destOrd="0" presId="urn:microsoft.com/office/officeart/2005/8/layout/vList3"/>
    <dgm:cxn modelId="{B5AE6E25-7541-4EE2-B3CD-0DFA551B67D9}" type="presParOf" srcId="{FA199817-BA2B-40C9-B7FC-655361F3650A}" destId="{F3310609-1BCA-40B9-AA1A-C60E944F2BA7}" srcOrd="6" destOrd="0" presId="urn:microsoft.com/office/officeart/2005/8/layout/vList3"/>
    <dgm:cxn modelId="{AE015B31-3D24-47CD-8ED0-74F189D7E8E8}" type="presParOf" srcId="{F3310609-1BCA-40B9-AA1A-C60E944F2BA7}" destId="{7FBAD6A1-ACFF-427D-9FF7-14099FFA7C7C}" srcOrd="0" destOrd="0" presId="urn:microsoft.com/office/officeart/2005/8/layout/vList3"/>
    <dgm:cxn modelId="{68F741E6-5397-4577-98DC-ED5ADF16503D}" type="presParOf" srcId="{F3310609-1BCA-40B9-AA1A-C60E944F2BA7}" destId="{0C982E4C-27BC-47C5-9554-760494AEB9F7}" srcOrd="1" destOrd="0" presId="urn:microsoft.com/office/officeart/2005/8/layout/vList3"/>
    <dgm:cxn modelId="{75ACD67E-6C66-4156-AE25-672389B2C6CA}" type="presParOf" srcId="{FA199817-BA2B-40C9-B7FC-655361F3650A}" destId="{077D6D12-2EF5-4E6E-B978-80A8A021C14D}" srcOrd="7" destOrd="0" presId="urn:microsoft.com/office/officeart/2005/8/layout/vList3"/>
    <dgm:cxn modelId="{9A34F4BC-AB4B-4ACD-A4AD-5FC785CF5AF7}" type="presParOf" srcId="{FA199817-BA2B-40C9-B7FC-655361F3650A}" destId="{8A153ABB-7C24-4EA8-B4F2-FDA148912877}" srcOrd="8" destOrd="0" presId="urn:microsoft.com/office/officeart/2005/8/layout/vList3"/>
    <dgm:cxn modelId="{AC383225-A5FB-4F49-B0A4-ABCD226B02A9}" type="presParOf" srcId="{8A153ABB-7C24-4EA8-B4F2-FDA148912877}" destId="{73B1D31F-1F92-42D6-904E-8234982B09AB}" srcOrd="0" destOrd="0" presId="urn:microsoft.com/office/officeart/2005/8/layout/vList3"/>
    <dgm:cxn modelId="{E8DE809E-6F44-43E1-B8EF-D56E5A2304DB}" type="presParOf" srcId="{8A153ABB-7C24-4EA8-B4F2-FDA148912877}" destId="{E654690E-025B-458E-BD29-230517100921}" srcOrd="1" destOrd="0" presId="urn:microsoft.com/office/officeart/2005/8/layout/vList3"/>
    <dgm:cxn modelId="{EAA157D5-CBA2-4677-96EC-C131A597E5DB}" type="presParOf" srcId="{FA199817-BA2B-40C9-B7FC-655361F3650A}" destId="{1B624BBC-A153-4E09-9E3B-C4941AA9CAEB}" srcOrd="9" destOrd="0" presId="urn:microsoft.com/office/officeart/2005/8/layout/vList3"/>
    <dgm:cxn modelId="{8D0ECE6B-48FF-43CB-B05A-E7B373568E31}" type="presParOf" srcId="{FA199817-BA2B-40C9-B7FC-655361F3650A}" destId="{7F152A76-5DBB-4EE7-AC28-F60A63A82E1A}" srcOrd="10" destOrd="0" presId="urn:microsoft.com/office/officeart/2005/8/layout/vList3"/>
    <dgm:cxn modelId="{42585372-9D53-43F6-9B7A-4B4A8B47E380}" type="presParOf" srcId="{7F152A76-5DBB-4EE7-AC28-F60A63A82E1A}" destId="{36E06AE0-40A1-4084-ADEA-64E417862614}" srcOrd="0" destOrd="0" presId="urn:microsoft.com/office/officeart/2005/8/layout/vList3"/>
    <dgm:cxn modelId="{73F2E813-AD59-45FC-9D73-3CAD2D1D1015}" type="presParOf" srcId="{7F152A76-5DBB-4EE7-AC28-F60A63A82E1A}" destId="{5C032766-C7C3-4FD5-937C-086F35091AA3}" srcOrd="1" destOrd="0" presId="urn:microsoft.com/office/officeart/2005/8/layout/vList3"/>
    <dgm:cxn modelId="{9671E881-3745-46A6-9068-B3A01D6C889F}" type="presParOf" srcId="{FA199817-BA2B-40C9-B7FC-655361F3650A}" destId="{BDD425BE-5F03-4A04-838D-11594BFD1F92}" srcOrd="11" destOrd="0" presId="urn:microsoft.com/office/officeart/2005/8/layout/vList3"/>
    <dgm:cxn modelId="{157523BF-33B8-4BB3-9EC3-B36267425BF8}" type="presParOf" srcId="{FA199817-BA2B-40C9-B7FC-655361F3650A}" destId="{FC5EF687-FA3C-44BF-A26B-F812A15EA41E}" srcOrd="12" destOrd="0" presId="urn:microsoft.com/office/officeart/2005/8/layout/vList3"/>
    <dgm:cxn modelId="{C5D4C595-6F1D-4504-8957-A1B2A1889264}" type="presParOf" srcId="{FC5EF687-FA3C-44BF-A26B-F812A15EA41E}" destId="{3BC72134-9DE7-4872-B6E3-4CD07F3113B4}" srcOrd="0" destOrd="0" presId="urn:microsoft.com/office/officeart/2005/8/layout/vList3"/>
    <dgm:cxn modelId="{A7A0DB16-7E58-4CF6-8957-A2DAFC79C96A}" type="presParOf" srcId="{FC5EF687-FA3C-44BF-A26B-F812A15EA41E}" destId="{FDDE0F75-EDA9-4A63-9FBD-72E5D032D1F1}" srcOrd="1" destOrd="0" presId="urn:microsoft.com/office/officeart/2005/8/layout/vList3"/>
  </dgm:cxnLst>
  <dgm:bg/>
  <dgm:whole/>
  <dgm:extLst>
    <a:ext uri="http://schemas.microsoft.com/office/drawing/2008/diagram">
      <dsp:dataModelExt xmlns:dsp="http://schemas.microsoft.com/office/drawing/2008/diagram" relId="rId38" minVer="http://schemas.openxmlformats.org/drawingml/2006/diagram"/>
    </a:ext>
  </dgm:extLst>
</dgm:dataModel>
</file>

<file path=word/diagrams/data6.xml><?xml version="1.0" encoding="utf-8"?>
<dgm:dataModel xmlns:dgm="http://schemas.openxmlformats.org/drawingml/2006/diagram" xmlns:a="http://schemas.openxmlformats.org/drawingml/2006/main">
  <dgm:ptLst>
    <dgm:pt modelId="{66FE87ED-E196-4C0D-B3CC-3970C7B354A2}" type="doc">
      <dgm:prSet loTypeId="urn:microsoft.com/office/officeart/2005/8/layout/vList3" loCatId="picture" qsTypeId="urn:microsoft.com/office/officeart/2005/8/quickstyle/simple1" qsCatId="simple" csTypeId="urn:microsoft.com/office/officeart/2005/8/colors/accent0_2" csCatId="mainScheme" phldr="1"/>
      <dgm:spPr/>
    </dgm:pt>
    <dgm:pt modelId="{7DA4D75A-BE61-48AD-ACFC-2DFB77FF1E32}">
      <dgm:prSet phldrT="[Texto]"/>
      <dgm:spPr/>
      <dgm:t>
        <a:bodyPr/>
        <a:lstStyle/>
        <a:p>
          <a:r>
            <a:rPr lang="es-CO" b="1">
              <a:solidFill>
                <a:sysClr val="windowText" lastClr="000000"/>
              </a:solidFill>
              <a:latin typeface="Arial" panose="020B0604020202020204" pitchFamily="34" charset="0"/>
              <a:cs typeface="Arial" panose="020B0604020202020204" pitchFamily="34" charset="0"/>
            </a:rPr>
            <a:t>Condiciones del acuerdo de voluntades:</a:t>
          </a:r>
          <a:r>
            <a:rPr lang="es-CO">
              <a:solidFill>
                <a:sysClr val="windowText" lastClr="000000"/>
              </a:solidFill>
              <a:latin typeface="Arial" panose="020B0604020202020204" pitchFamily="34" charset="0"/>
              <a:cs typeface="Arial" panose="020B0604020202020204" pitchFamily="34" charset="0"/>
            </a:rPr>
            <a:t> verificar que la nota técnica sea coherente con las cláusulas y condiciones establecidas entre las partes.</a:t>
          </a:r>
          <a:endParaRPr lang="es-ES">
            <a:solidFill>
              <a:sysClr val="windowText" lastClr="000000"/>
            </a:solidFill>
            <a:latin typeface="Arial" panose="020B0604020202020204" pitchFamily="34" charset="0"/>
            <a:cs typeface="Arial" panose="020B0604020202020204" pitchFamily="34" charset="0"/>
          </a:endParaRPr>
        </a:p>
      </dgm:t>
    </dgm:pt>
    <dgm:pt modelId="{66AAAB0D-86D3-4B77-9508-47B1327B4DB1}" type="parTrans" cxnId="{75EEFD75-A513-4035-BB4D-424AEF808B6F}">
      <dgm:prSet/>
      <dgm:spPr/>
      <dgm:t>
        <a:bodyPr/>
        <a:lstStyle/>
        <a:p>
          <a:endParaRPr lang="es-ES">
            <a:solidFill>
              <a:sysClr val="windowText" lastClr="000000"/>
            </a:solidFill>
            <a:latin typeface="Arial" panose="020B0604020202020204" pitchFamily="34" charset="0"/>
            <a:cs typeface="Arial" panose="020B0604020202020204" pitchFamily="34" charset="0"/>
          </a:endParaRPr>
        </a:p>
      </dgm:t>
    </dgm:pt>
    <dgm:pt modelId="{FC5D089C-C2DA-43A4-9570-1F554ED09D26}" type="sibTrans" cxnId="{75EEFD75-A513-4035-BB4D-424AEF808B6F}">
      <dgm:prSet/>
      <dgm:spPr/>
      <dgm:t>
        <a:bodyPr/>
        <a:lstStyle/>
        <a:p>
          <a:endParaRPr lang="es-ES">
            <a:solidFill>
              <a:sysClr val="windowText" lastClr="000000"/>
            </a:solidFill>
            <a:latin typeface="Arial" panose="020B0604020202020204" pitchFamily="34" charset="0"/>
            <a:cs typeface="Arial" panose="020B0604020202020204" pitchFamily="34" charset="0"/>
          </a:endParaRPr>
        </a:p>
      </dgm:t>
    </dgm:pt>
    <dgm:pt modelId="{DFD07479-AE10-44BE-BB9C-0F4C79627301}">
      <dgm:prSet/>
      <dgm:spPr/>
      <dgm:t>
        <a:bodyPr/>
        <a:lstStyle/>
        <a:p>
          <a:r>
            <a:rPr lang="es-CO" b="1">
              <a:solidFill>
                <a:sysClr val="windowText" lastClr="000000"/>
              </a:solidFill>
              <a:latin typeface="Arial" panose="020B0604020202020204" pitchFamily="34" charset="0"/>
              <a:cs typeface="Arial" panose="020B0604020202020204" pitchFamily="34" charset="0"/>
            </a:rPr>
            <a:t>Marco normativo:</a:t>
          </a:r>
          <a:r>
            <a:rPr lang="es-CO">
              <a:solidFill>
                <a:sysClr val="windowText" lastClr="000000"/>
              </a:solidFill>
              <a:latin typeface="Arial" panose="020B0604020202020204" pitchFamily="34" charset="0"/>
              <a:cs typeface="Arial" panose="020B0604020202020204" pitchFamily="34" charset="0"/>
            </a:rPr>
            <a:t> comprobar que su contenido considere las disposiciones aplicables a los acuerdos de voluntades y a la modalidad de contratación.</a:t>
          </a:r>
          <a:endParaRPr lang="en-US">
            <a:solidFill>
              <a:sysClr val="windowText" lastClr="000000"/>
            </a:solidFill>
            <a:latin typeface="Arial" panose="020B0604020202020204" pitchFamily="34" charset="0"/>
            <a:cs typeface="Arial" panose="020B0604020202020204" pitchFamily="34" charset="0"/>
          </a:endParaRPr>
        </a:p>
      </dgm:t>
    </dgm:pt>
    <dgm:pt modelId="{C087ED32-315C-47E7-AB6D-6F292994D0F1}" type="parTrans" cxnId="{1A27833E-C048-461B-AD9C-443D13263EC6}">
      <dgm:prSet/>
      <dgm:spPr/>
      <dgm:t>
        <a:bodyPr/>
        <a:lstStyle/>
        <a:p>
          <a:endParaRPr lang="es-ES">
            <a:solidFill>
              <a:sysClr val="windowText" lastClr="000000"/>
            </a:solidFill>
            <a:latin typeface="Arial" panose="020B0604020202020204" pitchFamily="34" charset="0"/>
            <a:cs typeface="Arial" panose="020B0604020202020204" pitchFamily="34" charset="0"/>
          </a:endParaRPr>
        </a:p>
      </dgm:t>
    </dgm:pt>
    <dgm:pt modelId="{67496996-A6A4-45E9-AC5C-5B62E2C61833}" type="sibTrans" cxnId="{1A27833E-C048-461B-AD9C-443D13263EC6}">
      <dgm:prSet/>
      <dgm:spPr/>
      <dgm:t>
        <a:bodyPr/>
        <a:lstStyle/>
        <a:p>
          <a:endParaRPr lang="es-ES">
            <a:solidFill>
              <a:sysClr val="windowText" lastClr="000000"/>
            </a:solidFill>
            <a:latin typeface="Arial" panose="020B0604020202020204" pitchFamily="34" charset="0"/>
            <a:cs typeface="Arial" panose="020B0604020202020204" pitchFamily="34" charset="0"/>
          </a:endParaRPr>
        </a:p>
      </dgm:t>
    </dgm:pt>
    <dgm:pt modelId="{33376497-794A-4255-BA11-E215C4228DD7}">
      <dgm:prSet/>
      <dgm:spPr/>
      <dgm:t>
        <a:bodyPr/>
        <a:lstStyle/>
        <a:p>
          <a:r>
            <a:rPr lang="es-CO" b="1">
              <a:solidFill>
                <a:sysClr val="windowText" lastClr="000000"/>
              </a:solidFill>
              <a:latin typeface="Arial" panose="020B0604020202020204" pitchFamily="34" charset="0"/>
              <a:cs typeface="Arial" panose="020B0604020202020204" pitchFamily="34" charset="0"/>
            </a:rPr>
            <a:t>Modalidad de pago:</a:t>
          </a:r>
          <a:r>
            <a:rPr lang="es-CO">
              <a:solidFill>
                <a:sysClr val="windowText" lastClr="000000"/>
              </a:solidFill>
              <a:latin typeface="Arial" panose="020B0604020202020204" pitchFamily="34" charset="0"/>
              <a:cs typeface="Arial" panose="020B0604020202020204" pitchFamily="34" charset="0"/>
            </a:rPr>
            <a:t> verificar que la modalidad establecida sea consistente con la estructura y las proyecciones de la nota técnica.</a:t>
          </a:r>
          <a:endParaRPr lang="en-US">
            <a:solidFill>
              <a:sysClr val="windowText" lastClr="000000"/>
            </a:solidFill>
            <a:latin typeface="Arial" panose="020B0604020202020204" pitchFamily="34" charset="0"/>
            <a:cs typeface="Arial" panose="020B0604020202020204" pitchFamily="34" charset="0"/>
          </a:endParaRPr>
        </a:p>
      </dgm:t>
    </dgm:pt>
    <dgm:pt modelId="{BEAF34D3-1323-44AA-9D6F-A9EDF8615F30}" type="parTrans" cxnId="{596A2D8E-0417-4962-BF83-E4E2CA8C5437}">
      <dgm:prSet/>
      <dgm:spPr/>
      <dgm:t>
        <a:bodyPr/>
        <a:lstStyle/>
        <a:p>
          <a:endParaRPr lang="es-ES">
            <a:solidFill>
              <a:sysClr val="windowText" lastClr="000000"/>
            </a:solidFill>
            <a:latin typeface="Arial" panose="020B0604020202020204" pitchFamily="34" charset="0"/>
            <a:cs typeface="Arial" panose="020B0604020202020204" pitchFamily="34" charset="0"/>
          </a:endParaRPr>
        </a:p>
      </dgm:t>
    </dgm:pt>
    <dgm:pt modelId="{B1828A95-EC2E-414E-BB30-DD509981DD93}" type="sibTrans" cxnId="{596A2D8E-0417-4962-BF83-E4E2CA8C5437}">
      <dgm:prSet/>
      <dgm:spPr/>
      <dgm:t>
        <a:bodyPr/>
        <a:lstStyle/>
        <a:p>
          <a:endParaRPr lang="es-ES">
            <a:solidFill>
              <a:sysClr val="windowText" lastClr="000000"/>
            </a:solidFill>
            <a:latin typeface="Arial" panose="020B0604020202020204" pitchFamily="34" charset="0"/>
            <a:cs typeface="Arial" panose="020B0604020202020204" pitchFamily="34" charset="0"/>
          </a:endParaRPr>
        </a:p>
      </dgm:t>
    </dgm:pt>
    <dgm:pt modelId="{8C00608A-C3EC-46A7-93A9-13FA2BD37B6C}">
      <dgm:prSet/>
      <dgm:spPr/>
      <dgm:t>
        <a:bodyPr/>
        <a:lstStyle/>
        <a:p>
          <a:r>
            <a:rPr lang="es-CO" b="1">
              <a:solidFill>
                <a:sysClr val="windowText" lastClr="000000"/>
              </a:solidFill>
              <a:latin typeface="Arial" panose="020B0604020202020204" pitchFamily="34" charset="0"/>
              <a:cs typeface="Arial" panose="020B0604020202020204" pitchFamily="34" charset="0"/>
            </a:rPr>
            <a:t>Gestión del riesgo:</a:t>
          </a:r>
          <a:r>
            <a:rPr lang="es-CO">
              <a:solidFill>
                <a:sysClr val="windowText" lastClr="000000"/>
              </a:solidFill>
              <a:latin typeface="Arial" panose="020B0604020202020204" pitchFamily="34" charset="0"/>
              <a:cs typeface="Arial" panose="020B0604020202020204" pitchFamily="34" charset="0"/>
            </a:rPr>
            <a:t> revisar las condiciones relacionadas con la distribución y gestión de los riesgos.</a:t>
          </a:r>
          <a:endParaRPr lang="en-US">
            <a:solidFill>
              <a:sysClr val="windowText" lastClr="000000"/>
            </a:solidFill>
            <a:latin typeface="Arial" panose="020B0604020202020204" pitchFamily="34" charset="0"/>
            <a:cs typeface="Arial" panose="020B0604020202020204" pitchFamily="34" charset="0"/>
          </a:endParaRPr>
        </a:p>
      </dgm:t>
    </dgm:pt>
    <dgm:pt modelId="{975453D8-1853-4863-8A35-D97F31AEC902}" type="parTrans" cxnId="{F4C2E4CD-0880-4EAB-8B97-280533D2D834}">
      <dgm:prSet/>
      <dgm:spPr/>
      <dgm:t>
        <a:bodyPr/>
        <a:lstStyle/>
        <a:p>
          <a:endParaRPr lang="es-ES">
            <a:solidFill>
              <a:sysClr val="windowText" lastClr="000000"/>
            </a:solidFill>
            <a:latin typeface="Arial" panose="020B0604020202020204" pitchFamily="34" charset="0"/>
            <a:cs typeface="Arial" panose="020B0604020202020204" pitchFamily="34" charset="0"/>
          </a:endParaRPr>
        </a:p>
      </dgm:t>
    </dgm:pt>
    <dgm:pt modelId="{CD8F9EC3-5245-487B-A482-0EAD28BD0B74}" type="sibTrans" cxnId="{F4C2E4CD-0880-4EAB-8B97-280533D2D834}">
      <dgm:prSet/>
      <dgm:spPr/>
      <dgm:t>
        <a:bodyPr/>
        <a:lstStyle/>
        <a:p>
          <a:endParaRPr lang="es-ES">
            <a:solidFill>
              <a:sysClr val="windowText" lastClr="000000"/>
            </a:solidFill>
            <a:latin typeface="Arial" panose="020B0604020202020204" pitchFamily="34" charset="0"/>
            <a:cs typeface="Arial" panose="020B0604020202020204" pitchFamily="34" charset="0"/>
          </a:endParaRPr>
        </a:p>
      </dgm:t>
    </dgm:pt>
    <dgm:pt modelId="{722F079B-57FE-49A7-95E4-F27C4EACC975}">
      <dgm:prSet/>
      <dgm:spPr/>
      <dgm:t>
        <a:bodyPr/>
        <a:lstStyle/>
        <a:p>
          <a:r>
            <a:rPr lang="es-CO" b="1">
              <a:solidFill>
                <a:sysClr val="windowText" lastClr="000000"/>
              </a:solidFill>
              <a:latin typeface="Arial" panose="020B0604020202020204" pitchFamily="34" charset="0"/>
              <a:cs typeface="Arial" panose="020B0604020202020204" pitchFamily="34" charset="0"/>
            </a:rPr>
            <a:t>Auditoría:</a:t>
          </a:r>
          <a:r>
            <a:rPr lang="es-CO">
              <a:solidFill>
                <a:sysClr val="windowText" lastClr="000000"/>
              </a:solidFill>
              <a:latin typeface="Arial" panose="020B0604020202020204" pitchFamily="34" charset="0"/>
              <a:cs typeface="Arial" panose="020B0604020202020204" pitchFamily="34" charset="0"/>
            </a:rPr>
            <a:t> comprobar que se encuentren definidas las condiciones y mecanismos de auditoría relacionados con la ejecución del acuerdo.</a:t>
          </a:r>
          <a:endParaRPr lang="en-US">
            <a:solidFill>
              <a:sysClr val="windowText" lastClr="000000"/>
            </a:solidFill>
            <a:latin typeface="Arial" panose="020B0604020202020204" pitchFamily="34" charset="0"/>
            <a:cs typeface="Arial" panose="020B0604020202020204" pitchFamily="34" charset="0"/>
          </a:endParaRPr>
        </a:p>
      </dgm:t>
    </dgm:pt>
    <dgm:pt modelId="{A51AAC20-BC40-4FDA-BC97-C04BFD8622F4}" type="parTrans" cxnId="{CF812283-E09B-490B-8938-FAB0E9E7B137}">
      <dgm:prSet/>
      <dgm:spPr/>
      <dgm:t>
        <a:bodyPr/>
        <a:lstStyle/>
        <a:p>
          <a:endParaRPr lang="es-ES">
            <a:solidFill>
              <a:sysClr val="windowText" lastClr="000000"/>
            </a:solidFill>
            <a:latin typeface="Arial" panose="020B0604020202020204" pitchFamily="34" charset="0"/>
            <a:cs typeface="Arial" panose="020B0604020202020204" pitchFamily="34" charset="0"/>
          </a:endParaRPr>
        </a:p>
      </dgm:t>
    </dgm:pt>
    <dgm:pt modelId="{DB228497-0C5D-4B07-BC70-7838BE5A218C}" type="sibTrans" cxnId="{CF812283-E09B-490B-8938-FAB0E9E7B137}">
      <dgm:prSet/>
      <dgm:spPr/>
      <dgm:t>
        <a:bodyPr/>
        <a:lstStyle/>
        <a:p>
          <a:endParaRPr lang="es-ES">
            <a:solidFill>
              <a:sysClr val="windowText" lastClr="000000"/>
            </a:solidFill>
            <a:latin typeface="Arial" panose="020B0604020202020204" pitchFamily="34" charset="0"/>
            <a:cs typeface="Arial" panose="020B0604020202020204" pitchFamily="34" charset="0"/>
          </a:endParaRPr>
        </a:p>
      </dgm:t>
    </dgm:pt>
    <dgm:pt modelId="{A96064E7-D59B-4A89-A7C8-D32DD65347F8}">
      <dgm:prSet/>
      <dgm:spPr/>
      <dgm:t>
        <a:bodyPr/>
        <a:lstStyle/>
        <a:p>
          <a:r>
            <a:rPr lang="es-CO" b="1">
              <a:solidFill>
                <a:sysClr val="windowText" lastClr="000000"/>
              </a:solidFill>
              <a:latin typeface="Arial" panose="020B0604020202020204" pitchFamily="34" charset="0"/>
              <a:cs typeface="Arial" panose="020B0604020202020204" pitchFamily="34" charset="0"/>
            </a:rPr>
            <a:t>Habilitación:</a:t>
          </a:r>
          <a:r>
            <a:rPr lang="es-CO">
              <a:solidFill>
                <a:sysClr val="windowText" lastClr="000000"/>
              </a:solidFill>
              <a:latin typeface="Arial" panose="020B0604020202020204" pitchFamily="34" charset="0"/>
              <a:cs typeface="Arial" panose="020B0604020202020204" pitchFamily="34" charset="0"/>
            </a:rPr>
            <a:t> verificar que las partes y los servicios involucrados cumplan las condiciones de habilitación correspondientes.</a:t>
          </a:r>
          <a:endParaRPr lang="en-US">
            <a:solidFill>
              <a:sysClr val="windowText" lastClr="000000"/>
            </a:solidFill>
            <a:latin typeface="Arial" panose="020B0604020202020204" pitchFamily="34" charset="0"/>
            <a:cs typeface="Arial" panose="020B0604020202020204" pitchFamily="34" charset="0"/>
          </a:endParaRPr>
        </a:p>
      </dgm:t>
    </dgm:pt>
    <dgm:pt modelId="{81CF0E14-85DE-480F-8F6D-645281991F89}" type="parTrans" cxnId="{BA4648A0-1969-458B-9A28-8C9B795ED15E}">
      <dgm:prSet/>
      <dgm:spPr/>
      <dgm:t>
        <a:bodyPr/>
        <a:lstStyle/>
        <a:p>
          <a:endParaRPr lang="es-ES">
            <a:solidFill>
              <a:sysClr val="windowText" lastClr="000000"/>
            </a:solidFill>
            <a:latin typeface="Arial" panose="020B0604020202020204" pitchFamily="34" charset="0"/>
            <a:cs typeface="Arial" panose="020B0604020202020204" pitchFamily="34" charset="0"/>
          </a:endParaRPr>
        </a:p>
      </dgm:t>
    </dgm:pt>
    <dgm:pt modelId="{626B5827-1E97-4FD9-945F-BB6BEFF77BEA}" type="sibTrans" cxnId="{BA4648A0-1969-458B-9A28-8C9B795ED15E}">
      <dgm:prSet/>
      <dgm:spPr/>
      <dgm:t>
        <a:bodyPr/>
        <a:lstStyle/>
        <a:p>
          <a:endParaRPr lang="es-ES">
            <a:solidFill>
              <a:sysClr val="windowText" lastClr="000000"/>
            </a:solidFill>
            <a:latin typeface="Arial" panose="020B0604020202020204" pitchFamily="34" charset="0"/>
            <a:cs typeface="Arial" panose="020B0604020202020204" pitchFamily="34" charset="0"/>
          </a:endParaRPr>
        </a:p>
      </dgm:t>
    </dgm:pt>
    <dgm:pt modelId="{109090D1-EA7E-49EA-A5C6-D9E74126A92F}">
      <dgm:prSet/>
      <dgm:spPr/>
      <dgm:t>
        <a:bodyPr/>
        <a:lstStyle/>
        <a:p>
          <a:r>
            <a:rPr lang="es-CO" b="1">
              <a:solidFill>
                <a:sysClr val="windowText" lastClr="000000"/>
              </a:solidFill>
              <a:latin typeface="Arial" panose="020B0604020202020204" pitchFamily="34" charset="0"/>
              <a:cs typeface="Arial" panose="020B0604020202020204" pitchFamily="34" charset="0"/>
            </a:rPr>
            <a:t>Acceso a la información y solución de controversias:</a:t>
          </a:r>
          <a:r>
            <a:rPr lang="es-CO">
              <a:solidFill>
                <a:sysClr val="windowText" lastClr="000000"/>
              </a:solidFill>
              <a:latin typeface="Arial" panose="020B0604020202020204" pitchFamily="34" charset="0"/>
              <a:cs typeface="Arial" panose="020B0604020202020204" pitchFamily="34" charset="0"/>
            </a:rPr>
            <a:t> revisar las condiciones relacionadas con el intercambio de información y los mecanismos establecidos para atender posibles diferencias entre las partes.</a:t>
          </a:r>
          <a:endParaRPr lang="en-US">
            <a:solidFill>
              <a:sysClr val="windowText" lastClr="000000"/>
            </a:solidFill>
            <a:latin typeface="Arial" panose="020B0604020202020204" pitchFamily="34" charset="0"/>
            <a:cs typeface="Arial" panose="020B0604020202020204" pitchFamily="34" charset="0"/>
          </a:endParaRPr>
        </a:p>
      </dgm:t>
    </dgm:pt>
    <dgm:pt modelId="{61A5923F-54E2-4359-9F24-43007676E2BA}" type="parTrans" cxnId="{DC78DE83-7E7F-4A2E-8300-7BEAD0D803FC}">
      <dgm:prSet/>
      <dgm:spPr/>
      <dgm:t>
        <a:bodyPr/>
        <a:lstStyle/>
        <a:p>
          <a:endParaRPr lang="es-ES">
            <a:solidFill>
              <a:sysClr val="windowText" lastClr="000000"/>
            </a:solidFill>
            <a:latin typeface="Arial" panose="020B0604020202020204" pitchFamily="34" charset="0"/>
            <a:cs typeface="Arial" panose="020B0604020202020204" pitchFamily="34" charset="0"/>
          </a:endParaRPr>
        </a:p>
      </dgm:t>
    </dgm:pt>
    <dgm:pt modelId="{F7589BB2-BEE8-4B39-B9C3-0DDA0E60FC86}" type="sibTrans" cxnId="{DC78DE83-7E7F-4A2E-8300-7BEAD0D803FC}">
      <dgm:prSet/>
      <dgm:spPr/>
      <dgm:t>
        <a:bodyPr/>
        <a:lstStyle/>
        <a:p>
          <a:endParaRPr lang="es-ES">
            <a:solidFill>
              <a:sysClr val="windowText" lastClr="000000"/>
            </a:solidFill>
            <a:latin typeface="Arial" panose="020B0604020202020204" pitchFamily="34" charset="0"/>
            <a:cs typeface="Arial" panose="020B0604020202020204" pitchFamily="34" charset="0"/>
          </a:endParaRPr>
        </a:p>
      </dgm:t>
    </dgm:pt>
    <dgm:pt modelId="{4F8BC45D-F9C2-4E64-96B5-72A54DF8948A}" type="pres">
      <dgm:prSet presAssocID="{66FE87ED-E196-4C0D-B3CC-3970C7B354A2}" presName="linearFlow" presStyleCnt="0">
        <dgm:presLayoutVars>
          <dgm:dir/>
          <dgm:resizeHandles val="exact"/>
        </dgm:presLayoutVars>
      </dgm:prSet>
      <dgm:spPr/>
    </dgm:pt>
    <dgm:pt modelId="{32B5317A-C688-41F7-B1E4-8D9F413E0619}" type="pres">
      <dgm:prSet presAssocID="{7DA4D75A-BE61-48AD-ACFC-2DFB77FF1E32}" presName="composite" presStyleCnt="0"/>
      <dgm:spPr/>
    </dgm:pt>
    <dgm:pt modelId="{D7E39E34-704F-48E0-BF4E-815D3B4FEF32}" type="pres">
      <dgm:prSet presAssocID="{7DA4D75A-BE61-48AD-ACFC-2DFB77FF1E32}" presName="imgShp" presStyleLbl="fgImgPlace1" presStyleIdx="0" presStyleCnt="7"/>
      <dgm:spPr>
        <a:blipFill rotWithShape="1">
          <a:blip xmlns:r="http://schemas.openxmlformats.org/officeDocument/2006/relationships" r:embed="rId1"/>
          <a:stretch>
            <a:fillRect/>
          </a:stretch>
        </a:blipFill>
      </dgm:spPr>
    </dgm:pt>
    <dgm:pt modelId="{8A91E095-8883-4692-A53A-C4BCE80A3AC7}" type="pres">
      <dgm:prSet presAssocID="{7DA4D75A-BE61-48AD-ACFC-2DFB77FF1E32}" presName="txShp" presStyleLbl="node1" presStyleIdx="0" presStyleCnt="7">
        <dgm:presLayoutVars>
          <dgm:bulletEnabled val="1"/>
        </dgm:presLayoutVars>
      </dgm:prSet>
      <dgm:spPr/>
      <dgm:t>
        <a:bodyPr/>
        <a:lstStyle/>
        <a:p>
          <a:endParaRPr lang="es-ES"/>
        </a:p>
      </dgm:t>
    </dgm:pt>
    <dgm:pt modelId="{7BA4C40A-DB6C-4662-B4E2-C3AA8B355F2E}" type="pres">
      <dgm:prSet presAssocID="{FC5D089C-C2DA-43A4-9570-1F554ED09D26}" presName="spacing" presStyleCnt="0"/>
      <dgm:spPr/>
    </dgm:pt>
    <dgm:pt modelId="{FC38714F-F162-481B-B23A-663BC7B57239}" type="pres">
      <dgm:prSet presAssocID="{DFD07479-AE10-44BE-BB9C-0F4C79627301}" presName="composite" presStyleCnt="0"/>
      <dgm:spPr/>
    </dgm:pt>
    <dgm:pt modelId="{F1EEF98B-CFB2-4C5F-8000-C939D4450C60}" type="pres">
      <dgm:prSet presAssocID="{DFD07479-AE10-44BE-BB9C-0F4C79627301}" presName="imgShp" presStyleLbl="fgImgPlace1" presStyleIdx="1" presStyleCnt="7"/>
      <dgm:spPr>
        <a:blipFill rotWithShape="1">
          <a:blip xmlns:r="http://schemas.openxmlformats.org/officeDocument/2006/relationships" r:embed="rId2"/>
          <a:stretch>
            <a:fillRect/>
          </a:stretch>
        </a:blipFill>
      </dgm:spPr>
    </dgm:pt>
    <dgm:pt modelId="{0B3A21BF-FDCB-4228-90A5-A841C26B5B21}" type="pres">
      <dgm:prSet presAssocID="{DFD07479-AE10-44BE-BB9C-0F4C79627301}" presName="txShp" presStyleLbl="node1" presStyleIdx="1" presStyleCnt="7">
        <dgm:presLayoutVars>
          <dgm:bulletEnabled val="1"/>
        </dgm:presLayoutVars>
      </dgm:prSet>
      <dgm:spPr/>
      <dgm:t>
        <a:bodyPr/>
        <a:lstStyle/>
        <a:p>
          <a:endParaRPr lang="es-ES"/>
        </a:p>
      </dgm:t>
    </dgm:pt>
    <dgm:pt modelId="{C496127E-DE8A-4F20-A848-1D21C67E759F}" type="pres">
      <dgm:prSet presAssocID="{67496996-A6A4-45E9-AC5C-5B62E2C61833}" presName="spacing" presStyleCnt="0"/>
      <dgm:spPr/>
    </dgm:pt>
    <dgm:pt modelId="{AC6071DB-00F8-464F-9FBA-AA61CED9737C}" type="pres">
      <dgm:prSet presAssocID="{33376497-794A-4255-BA11-E215C4228DD7}" presName="composite" presStyleCnt="0"/>
      <dgm:spPr/>
    </dgm:pt>
    <dgm:pt modelId="{D8E3112B-6EF4-4C29-9287-F493DD128084}" type="pres">
      <dgm:prSet presAssocID="{33376497-794A-4255-BA11-E215C4228DD7}" presName="imgShp" presStyleLbl="fgImgPlace1" presStyleIdx="2" presStyleCnt="7"/>
      <dgm:spPr>
        <a:blipFill rotWithShape="1">
          <a:blip xmlns:r="http://schemas.openxmlformats.org/officeDocument/2006/relationships" r:embed="rId3"/>
          <a:stretch>
            <a:fillRect/>
          </a:stretch>
        </a:blipFill>
      </dgm:spPr>
    </dgm:pt>
    <dgm:pt modelId="{DD00321A-2CC4-4D9E-9C9E-958A038EC17C}" type="pres">
      <dgm:prSet presAssocID="{33376497-794A-4255-BA11-E215C4228DD7}" presName="txShp" presStyleLbl="node1" presStyleIdx="2" presStyleCnt="7">
        <dgm:presLayoutVars>
          <dgm:bulletEnabled val="1"/>
        </dgm:presLayoutVars>
      </dgm:prSet>
      <dgm:spPr/>
      <dgm:t>
        <a:bodyPr/>
        <a:lstStyle/>
        <a:p>
          <a:endParaRPr lang="es-ES"/>
        </a:p>
      </dgm:t>
    </dgm:pt>
    <dgm:pt modelId="{259EBC80-262E-4F90-AF7C-5DF91FE61381}" type="pres">
      <dgm:prSet presAssocID="{B1828A95-EC2E-414E-BB30-DD509981DD93}" presName="spacing" presStyleCnt="0"/>
      <dgm:spPr/>
    </dgm:pt>
    <dgm:pt modelId="{C93F8145-7044-442D-B576-56E4DFA5AD6D}" type="pres">
      <dgm:prSet presAssocID="{8C00608A-C3EC-46A7-93A9-13FA2BD37B6C}" presName="composite" presStyleCnt="0"/>
      <dgm:spPr/>
    </dgm:pt>
    <dgm:pt modelId="{F85D3111-BC47-4776-BED1-88D04A2A865A}" type="pres">
      <dgm:prSet presAssocID="{8C00608A-C3EC-46A7-93A9-13FA2BD37B6C}" presName="imgShp" presStyleLbl="fgImgPlace1" presStyleIdx="3" presStyleCnt="7"/>
      <dgm:spPr>
        <a:blipFill rotWithShape="1">
          <a:blip xmlns:r="http://schemas.openxmlformats.org/officeDocument/2006/relationships" r:embed="rId4"/>
          <a:stretch>
            <a:fillRect/>
          </a:stretch>
        </a:blipFill>
      </dgm:spPr>
    </dgm:pt>
    <dgm:pt modelId="{1426C1C7-D39B-415B-844E-E4CDDE995AB6}" type="pres">
      <dgm:prSet presAssocID="{8C00608A-C3EC-46A7-93A9-13FA2BD37B6C}" presName="txShp" presStyleLbl="node1" presStyleIdx="3" presStyleCnt="7">
        <dgm:presLayoutVars>
          <dgm:bulletEnabled val="1"/>
        </dgm:presLayoutVars>
      </dgm:prSet>
      <dgm:spPr/>
      <dgm:t>
        <a:bodyPr/>
        <a:lstStyle/>
        <a:p>
          <a:endParaRPr lang="es-ES"/>
        </a:p>
      </dgm:t>
    </dgm:pt>
    <dgm:pt modelId="{E7A0B33A-B637-41F4-A1AE-1A1691BC7D67}" type="pres">
      <dgm:prSet presAssocID="{CD8F9EC3-5245-487B-A482-0EAD28BD0B74}" presName="spacing" presStyleCnt="0"/>
      <dgm:spPr/>
    </dgm:pt>
    <dgm:pt modelId="{064F7EA0-7C0A-455D-A13E-702491E71F56}" type="pres">
      <dgm:prSet presAssocID="{722F079B-57FE-49A7-95E4-F27C4EACC975}" presName="composite" presStyleCnt="0"/>
      <dgm:spPr/>
    </dgm:pt>
    <dgm:pt modelId="{17A6691A-CF0C-4ADA-A110-48E25242E51F}" type="pres">
      <dgm:prSet presAssocID="{722F079B-57FE-49A7-95E4-F27C4EACC975}" presName="imgShp" presStyleLbl="fgImgPlace1" presStyleIdx="4" presStyleCnt="7"/>
      <dgm:spPr>
        <a:blipFill rotWithShape="1">
          <a:blip xmlns:r="http://schemas.openxmlformats.org/officeDocument/2006/relationships" r:embed="rId5"/>
          <a:stretch>
            <a:fillRect/>
          </a:stretch>
        </a:blipFill>
      </dgm:spPr>
    </dgm:pt>
    <dgm:pt modelId="{4472A9EB-A07F-47B2-9B57-FD71DB43A4B3}" type="pres">
      <dgm:prSet presAssocID="{722F079B-57FE-49A7-95E4-F27C4EACC975}" presName="txShp" presStyleLbl="node1" presStyleIdx="4" presStyleCnt="7">
        <dgm:presLayoutVars>
          <dgm:bulletEnabled val="1"/>
        </dgm:presLayoutVars>
      </dgm:prSet>
      <dgm:spPr/>
      <dgm:t>
        <a:bodyPr/>
        <a:lstStyle/>
        <a:p>
          <a:endParaRPr lang="es-ES"/>
        </a:p>
      </dgm:t>
    </dgm:pt>
    <dgm:pt modelId="{6DCCC46A-0FB3-4F37-9064-C687E48EE954}" type="pres">
      <dgm:prSet presAssocID="{DB228497-0C5D-4B07-BC70-7838BE5A218C}" presName="spacing" presStyleCnt="0"/>
      <dgm:spPr/>
    </dgm:pt>
    <dgm:pt modelId="{F6E8E0C1-027F-4FC2-A976-448487B3E395}" type="pres">
      <dgm:prSet presAssocID="{A96064E7-D59B-4A89-A7C8-D32DD65347F8}" presName="composite" presStyleCnt="0"/>
      <dgm:spPr/>
    </dgm:pt>
    <dgm:pt modelId="{C474BD4B-3397-4576-A601-8AB15470364F}" type="pres">
      <dgm:prSet presAssocID="{A96064E7-D59B-4A89-A7C8-D32DD65347F8}" presName="imgShp" presStyleLbl="fgImgPlace1" presStyleIdx="5" presStyleCnt="7"/>
      <dgm:spPr>
        <a:blipFill rotWithShape="1">
          <a:blip xmlns:r="http://schemas.openxmlformats.org/officeDocument/2006/relationships" r:embed="rId6"/>
          <a:stretch>
            <a:fillRect/>
          </a:stretch>
        </a:blipFill>
      </dgm:spPr>
    </dgm:pt>
    <dgm:pt modelId="{12260111-2F42-4752-9DAA-66B2E4A8A4A4}" type="pres">
      <dgm:prSet presAssocID="{A96064E7-D59B-4A89-A7C8-D32DD65347F8}" presName="txShp" presStyleLbl="node1" presStyleIdx="5" presStyleCnt="7">
        <dgm:presLayoutVars>
          <dgm:bulletEnabled val="1"/>
        </dgm:presLayoutVars>
      </dgm:prSet>
      <dgm:spPr/>
      <dgm:t>
        <a:bodyPr/>
        <a:lstStyle/>
        <a:p>
          <a:endParaRPr lang="es-ES"/>
        </a:p>
      </dgm:t>
    </dgm:pt>
    <dgm:pt modelId="{874B5ABC-D3C5-424C-B377-0FACFE0AB29E}" type="pres">
      <dgm:prSet presAssocID="{626B5827-1E97-4FD9-945F-BB6BEFF77BEA}" presName="spacing" presStyleCnt="0"/>
      <dgm:spPr/>
    </dgm:pt>
    <dgm:pt modelId="{E073BD26-3B77-4B50-B6A9-73BA0CBDA93D}" type="pres">
      <dgm:prSet presAssocID="{109090D1-EA7E-49EA-A5C6-D9E74126A92F}" presName="composite" presStyleCnt="0"/>
      <dgm:spPr/>
    </dgm:pt>
    <dgm:pt modelId="{BD0C06FD-61D3-49AC-997C-DC99796133B5}" type="pres">
      <dgm:prSet presAssocID="{109090D1-EA7E-49EA-A5C6-D9E74126A92F}" presName="imgShp" presStyleLbl="fgImgPlace1" presStyleIdx="6" presStyleCnt="7"/>
      <dgm:spPr>
        <a:blipFill rotWithShape="1">
          <a:blip xmlns:r="http://schemas.openxmlformats.org/officeDocument/2006/relationships" r:embed="rId7"/>
          <a:stretch>
            <a:fillRect/>
          </a:stretch>
        </a:blipFill>
      </dgm:spPr>
    </dgm:pt>
    <dgm:pt modelId="{295848C4-50D4-4348-A758-EA5ED74045CA}" type="pres">
      <dgm:prSet presAssocID="{109090D1-EA7E-49EA-A5C6-D9E74126A92F}" presName="txShp" presStyleLbl="node1" presStyleIdx="6" presStyleCnt="7">
        <dgm:presLayoutVars>
          <dgm:bulletEnabled val="1"/>
        </dgm:presLayoutVars>
      </dgm:prSet>
      <dgm:spPr/>
      <dgm:t>
        <a:bodyPr/>
        <a:lstStyle/>
        <a:p>
          <a:endParaRPr lang="es-ES"/>
        </a:p>
      </dgm:t>
    </dgm:pt>
  </dgm:ptLst>
  <dgm:cxnLst>
    <dgm:cxn modelId="{DC78DE83-7E7F-4A2E-8300-7BEAD0D803FC}" srcId="{66FE87ED-E196-4C0D-B3CC-3970C7B354A2}" destId="{109090D1-EA7E-49EA-A5C6-D9E74126A92F}" srcOrd="6" destOrd="0" parTransId="{61A5923F-54E2-4359-9F24-43007676E2BA}" sibTransId="{F7589BB2-BEE8-4B39-B9C3-0DDA0E60FC86}"/>
    <dgm:cxn modelId="{1A27833E-C048-461B-AD9C-443D13263EC6}" srcId="{66FE87ED-E196-4C0D-B3CC-3970C7B354A2}" destId="{DFD07479-AE10-44BE-BB9C-0F4C79627301}" srcOrd="1" destOrd="0" parTransId="{C087ED32-315C-47E7-AB6D-6F292994D0F1}" sibTransId="{67496996-A6A4-45E9-AC5C-5B62E2C61833}"/>
    <dgm:cxn modelId="{5A781962-9FC5-4674-BC7D-25D96F7B053F}" type="presOf" srcId="{109090D1-EA7E-49EA-A5C6-D9E74126A92F}" destId="{295848C4-50D4-4348-A758-EA5ED74045CA}" srcOrd="0" destOrd="0" presId="urn:microsoft.com/office/officeart/2005/8/layout/vList3"/>
    <dgm:cxn modelId="{27092E4E-9F1D-433D-9081-85227C1DF174}" type="presOf" srcId="{66FE87ED-E196-4C0D-B3CC-3970C7B354A2}" destId="{4F8BC45D-F9C2-4E64-96B5-72A54DF8948A}" srcOrd="0" destOrd="0" presId="urn:microsoft.com/office/officeart/2005/8/layout/vList3"/>
    <dgm:cxn modelId="{DEE51B44-F329-4962-9B50-0EFFF6C3E796}" type="presOf" srcId="{722F079B-57FE-49A7-95E4-F27C4EACC975}" destId="{4472A9EB-A07F-47B2-9B57-FD71DB43A4B3}" srcOrd="0" destOrd="0" presId="urn:microsoft.com/office/officeart/2005/8/layout/vList3"/>
    <dgm:cxn modelId="{596A2D8E-0417-4962-BF83-E4E2CA8C5437}" srcId="{66FE87ED-E196-4C0D-B3CC-3970C7B354A2}" destId="{33376497-794A-4255-BA11-E215C4228DD7}" srcOrd="2" destOrd="0" parTransId="{BEAF34D3-1323-44AA-9D6F-A9EDF8615F30}" sibTransId="{B1828A95-EC2E-414E-BB30-DD509981DD93}"/>
    <dgm:cxn modelId="{CAD5CBF9-3D81-41A8-9598-56E087F57079}" type="presOf" srcId="{A96064E7-D59B-4A89-A7C8-D32DD65347F8}" destId="{12260111-2F42-4752-9DAA-66B2E4A8A4A4}" srcOrd="0" destOrd="0" presId="urn:microsoft.com/office/officeart/2005/8/layout/vList3"/>
    <dgm:cxn modelId="{4E15DEF3-F293-4E5D-BC69-1FE8806F7F5E}" type="presOf" srcId="{DFD07479-AE10-44BE-BB9C-0F4C79627301}" destId="{0B3A21BF-FDCB-4228-90A5-A841C26B5B21}" srcOrd="0" destOrd="0" presId="urn:microsoft.com/office/officeart/2005/8/layout/vList3"/>
    <dgm:cxn modelId="{F4C2E4CD-0880-4EAB-8B97-280533D2D834}" srcId="{66FE87ED-E196-4C0D-B3CC-3970C7B354A2}" destId="{8C00608A-C3EC-46A7-93A9-13FA2BD37B6C}" srcOrd="3" destOrd="0" parTransId="{975453D8-1853-4863-8A35-D97F31AEC902}" sibTransId="{CD8F9EC3-5245-487B-A482-0EAD28BD0B74}"/>
    <dgm:cxn modelId="{75EEFD75-A513-4035-BB4D-424AEF808B6F}" srcId="{66FE87ED-E196-4C0D-B3CC-3970C7B354A2}" destId="{7DA4D75A-BE61-48AD-ACFC-2DFB77FF1E32}" srcOrd="0" destOrd="0" parTransId="{66AAAB0D-86D3-4B77-9508-47B1327B4DB1}" sibTransId="{FC5D089C-C2DA-43A4-9570-1F554ED09D26}"/>
    <dgm:cxn modelId="{E201BA5B-1DD2-412D-974D-594B1843C5FF}" type="presOf" srcId="{33376497-794A-4255-BA11-E215C4228DD7}" destId="{DD00321A-2CC4-4D9E-9C9E-958A038EC17C}" srcOrd="0" destOrd="0" presId="urn:microsoft.com/office/officeart/2005/8/layout/vList3"/>
    <dgm:cxn modelId="{BA4648A0-1969-458B-9A28-8C9B795ED15E}" srcId="{66FE87ED-E196-4C0D-B3CC-3970C7B354A2}" destId="{A96064E7-D59B-4A89-A7C8-D32DD65347F8}" srcOrd="5" destOrd="0" parTransId="{81CF0E14-85DE-480F-8F6D-645281991F89}" sibTransId="{626B5827-1E97-4FD9-945F-BB6BEFF77BEA}"/>
    <dgm:cxn modelId="{B185F322-B4CB-4FC1-AA57-E10032D45CF8}" type="presOf" srcId="{8C00608A-C3EC-46A7-93A9-13FA2BD37B6C}" destId="{1426C1C7-D39B-415B-844E-E4CDDE995AB6}" srcOrd="0" destOrd="0" presId="urn:microsoft.com/office/officeart/2005/8/layout/vList3"/>
    <dgm:cxn modelId="{70DEE5F0-E2D9-4997-B911-9A604438C89F}" type="presOf" srcId="{7DA4D75A-BE61-48AD-ACFC-2DFB77FF1E32}" destId="{8A91E095-8883-4692-A53A-C4BCE80A3AC7}" srcOrd="0" destOrd="0" presId="urn:microsoft.com/office/officeart/2005/8/layout/vList3"/>
    <dgm:cxn modelId="{CF812283-E09B-490B-8938-FAB0E9E7B137}" srcId="{66FE87ED-E196-4C0D-B3CC-3970C7B354A2}" destId="{722F079B-57FE-49A7-95E4-F27C4EACC975}" srcOrd="4" destOrd="0" parTransId="{A51AAC20-BC40-4FDA-BC97-C04BFD8622F4}" sibTransId="{DB228497-0C5D-4B07-BC70-7838BE5A218C}"/>
    <dgm:cxn modelId="{7ED1FE95-6723-4F4E-B6F6-4D7636B5760E}" type="presParOf" srcId="{4F8BC45D-F9C2-4E64-96B5-72A54DF8948A}" destId="{32B5317A-C688-41F7-B1E4-8D9F413E0619}" srcOrd="0" destOrd="0" presId="urn:microsoft.com/office/officeart/2005/8/layout/vList3"/>
    <dgm:cxn modelId="{0BE5B74E-16C7-44A9-8952-7E82AE99C9FA}" type="presParOf" srcId="{32B5317A-C688-41F7-B1E4-8D9F413E0619}" destId="{D7E39E34-704F-48E0-BF4E-815D3B4FEF32}" srcOrd="0" destOrd="0" presId="urn:microsoft.com/office/officeart/2005/8/layout/vList3"/>
    <dgm:cxn modelId="{0B93AD53-79F3-47D2-B426-F5B424F455AA}" type="presParOf" srcId="{32B5317A-C688-41F7-B1E4-8D9F413E0619}" destId="{8A91E095-8883-4692-A53A-C4BCE80A3AC7}" srcOrd="1" destOrd="0" presId="urn:microsoft.com/office/officeart/2005/8/layout/vList3"/>
    <dgm:cxn modelId="{5C0E15E8-0F55-492A-8FE5-0DA716FA3442}" type="presParOf" srcId="{4F8BC45D-F9C2-4E64-96B5-72A54DF8948A}" destId="{7BA4C40A-DB6C-4662-B4E2-C3AA8B355F2E}" srcOrd="1" destOrd="0" presId="urn:microsoft.com/office/officeart/2005/8/layout/vList3"/>
    <dgm:cxn modelId="{8F1DAAB2-514D-4A14-A0E9-69CFF4414768}" type="presParOf" srcId="{4F8BC45D-F9C2-4E64-96B5-72A54DF8948A}" destId="{FC38714F-F162-481B-B23A-663BC7B57239}" srcOrd="2" destOrd="0" presId="urn:microsoft.com/office/officeart/2005/8/layout/vList3"/>
    <dgm:cxn modelId="{EA5C3F55-4398-4611-A3B0-940D968F4157}" type="presParOf" srcId="{FC38714F-F162-481B-B23A-663BC7B57239}" destId="{F1EEF98B-CFB2-4C5F-8000-C939D4450C60}" srcOrd="0" destOrd="0" presId="urn:microsoft.com/office/officeart/2005/8/layout/vList3"/>
    <dgm:cxn modelId="{76F1A624-C92E-4EEC-9334-5E5AC2F9CA55}" type="presParOf" srcId="{FC38714F-F162-481B-B23A-663BC7B57239}" destId="{0B3A21BF-FDCB-4228-90A5-A841C26B5B21}" srcOrd="1" destOrd="0" presId="urn:microsoft.com/office/officeart/2005/8/layout/vList3"/>
    <dgm:cxn modelId="{A9717F29-5F04-43DA-ADB3-AF0A160F8668}" type="presParOf" srcId="{4F8BC45D-F9C2-4E64-96B5-72A54DF8948A}" destId="{C496127E-DE8A-4F20-A848-1D21C67E759F}" srcOrd="3" destOrd="0" presId="urn:microsoft.com/office/officeart/2005/8/layout/vList3"/>
    <dgm:cxn modelId="{E8432C60-0D46-4485-BABE-0D87A304C5D1}" type="presParOf" srcId="{4F8BC45D-F9C2-4E64-96B5-72A54DF8948A}" destId="{AC6071DB-00F8-464F-9FBA-AA61CED9737C}" srcOrd="4" destOrd="0" presId="urn:microsoft.com/office/officeart/2005/8/layout/vList3"/>
    <dgm:cxn modelId="{8002C4BA-E92B-4EE0-8303-240A9670A6E0}" type="presParOf" srcId="{AC6071DB-00F8-464F-9FBA-AA61CED9737C}" destId="{D8E3112B-6EF4-4C29-9287-F493DD128084}" srcOrd="0" destOrd="0" presId="urn:microsoft.com/office/officeart/2005/8/layout/vList3"/>
    <dgm:cxn modelId="{402FDCA1-B1F0-4789-9FC1-0BC40579A372}" type="presParOf" srcId="{AC6071DB-00F8-464F-9FBA-AA61CED9737C}" destId="{DD00321A-2CC4-4D9E-9C9E-958A038EC17C}" srcOrd="1" destOrd="0" presId="urn:microsoft.com/office/officeart/2005/8/layout/vList3"/>
    <dgm:cxn modelId="{CC03A16B-EBD3-4F18-9CE3-E2E6231088AF}" type="presParOf" srcId="{4F8BC45D-F9C2-4E64-96B5-72A54DF8948A}" destId="{259EBC80-262E-4F90-AF7C-5DF91FE61381}" srcOrd="5" destOrd="0" presId="urn:microsoft.com/office/officeart/2005/8/layout/vList3"/>
    <dgm:cxn modelId="{7C78E0D8-3692-4ABF-BB61-5066D7151783}" type="presParOf" srcId="{4F8BC45D-F9C2-4E64-96B5-72A54DF8948A}" destId="{C93F8145-7044-442D-B576-56E4DFA5AD6D}" srcOrd="6" destOrd="0" presId="urn:microsoft.com/office/officeart/2005/8/layout/vList3"/>
    <dgm:cxn modelId="{95D24BE1-0ED7-4936-8878-8D71B5E12B2B}" type="presParOf" srcId="{C93F8145-7044-442D-B576-56E4DFA5AD6D}" destId="{F85D3111-BC47-4776-BED1-88D04A2A865A}" srcOrd="0" destOrd="0" presId="urn:microsoft.com/office/officeart/2005/8/layout/vList3"/>
    <dgm:cxn modelId="{E23CC1C4-7875-4404-AB84-38B4B269652F}" type="presParOf" srcId="{C93F8145-7044-442D-B576-56E4DFA5AD6D}" destId="{1426C1C7-D39B-415B-844E-E4CDDE995AB6}" srcOrd="1" destOrd="0" presId="urn:microsoft.com/office/officeart/2005/8/layout/vList3"/>
    <dgm:cxn modelId="{BD39CCB2-4110-4902-8A87-ABD8BB1EF184}" type="presParOf" srcId="{4F8BC45D-F9C2-4E64-96B5-72A54DF8948A}" destId="{E7A0B33A-B637-41F4-A1AE-1A1691BC7D67}" srcOrd="7" destOrd="0" presId="urn:microsoft.com/office/officeart/2005/8/layout/vList3"/>
    <dgm:cxn modelId="{B0719CCF-C7D0-42A8-B761-08B19B06E4FB}" type="presParOf" srcId="{4F8BC45D-F9C2-4E64-96B5-72A54DF8948A}" destId="{064F7EA0-7C0A-455D-A13E-702491E71F56}" srcOrd="8" destOrd="0" presId="urn:microsoft.com/office/officeart/2005/8/layout/vList3"/>
    <dgm:cxn modelId="{96212143-F015-4F6E-9F57-C922B479BF17}" type="presParOf" srcId="{064F7EA0-7C0A-455D-A13E-702491E71F56}" destId="{17A6691A-CF0C-4ADA-A110-48E25242E51F}" srcOrd="0" destOrd="0" presId="urn:microsoft.com/office/officeart/2005/8/layout/vList3"/>
    <dgm:cxn modelId="{3711E257-24FA-48DE-915A-BAC241080DD5}" type="presParOf" srcId="{064F7EA0-7C0A-455D-A13E-702491E71F56}" destId="{4472A9EB-A07F-47B2-9B57-FD71DB43A4B3}" srcOrd="1" destOrd="0" presId="urn:microsoft.com/office/officeart/2005/8/layout/vList3"/>
    <dgm:cxn modelId="{09676C16-2D89-470A-B1CE-9CC2396C9004}" type="presParOf" srcId="{4F8BC45D-F9C2-4E64-96B5-72A54DF8948A}" destId="{6DCCC46A-0FB3-4F37-9064-C687E48EE954}" srcOrd="9" destOrd="0" presId="urn:microsoft.com/office/officeart/2005/8/layout/vList3"/>
    <dgm:cxn modelId="{5EEE026F-1D2A-493A-B6C2-CB8381E03E46}" type="presParOf" srcId="{4F8BC45D-F9C2-4E64-96B5-72A54DF8948A}" destId="{F6E8E0C1-027F-4FC2-A976-448487B3E395}" srcOrd="10" destOrd="0" presId="urn:microsoft.com/office/officeart/2005/8/layout/vList3"/>
    <dgm:cxn modelId="{FABFCEDA-A9EF-45BB-BB02-6D098B084A5C}" type="presParOf" srcId="{F6E8E0C1-027F-4FC2-A976-448487B3E395}" destId="{C474BD4B-3397-4576-A601-8AB15470364F}" srcOrd="0" destOrd="0" presId="urn:microsoft.com/office/officeart/2005/8/layout/vList3"/>
    <dgm:cxn modelId="{099A6870-4C70-42AB-BF69-694E593FA620}" type="presParOf" srcId="{F6E8E0C1-027F-4FC2-A976-448487B3E395}" destId="{12260111-2F42-4752-9DAA-66B2E4A8A4A4}" srcOrd="1" destOrd="0" presId="urn:microsoft.com/office/officeart/2005/8/layout/vList3"/>
    <dgm:cxn modelId="{C6A71D9C-24D6-494B-B0D9-3CD0B40625C7}" type="presParOf" srcId="{4F8BC45D-F9C2-4E64-96B5-72A54DF8948A}" destId="{874B5ABC-D3C5-424C-B377-0FACFE0AB29E}" srcOrd="11" destOrd="0" presId="urn:microsoft.com/office/officeart/2005/8/layout/vList3"/>
    <dgm:cxn modelId="{17EDE17D-CF4E-463D-84AC-519EF284ECDF}" type="presParOf" srcId="{4F8BC45D-F9C2-4E64-96B5-72A54DF8948A}" destId="{E073BD26-3B77-4B50-B6A9-73BA0CBDA93D}" srcOrd="12" destOrd="0" presId="urn:microsoft.com/office/officeart/2005/8/layout/vList3"/>
    <dgm:cxn modelId="{17583AD7-3AB1-4E68-8913-D701A30B0F8B}" type="presParOf" srcId="{E073BD26-3B77-4B50-B6A9-73BA0CBDA93D}" destId="{BD0C06FD-61D3-49AC-997C-DC99796133B5}" srcOrd="0" destOrd="0" presId="urn:microsoft.com/office/officeart/2005/8/layout/vList3"/>
    <dgm:cxn modelId="{D4A708DC-5B6F-4B24-9542-5EEE73C3B9EC}" type="presParOf" srcId="{E073BD26-3B77-4B50-B6A9-73BA0CBDA93D}" destId="{295848C4-50D4-4348-A758-EA5ED74045CA}" srcOrd="1" destOrd="0" presId="urn:microsoft.com/office/officeart/2005/8/layout/vList3"/>
  </dgm:cxnLst>
  <dgm:bg/>
  <dgm:whole/>
  <dgm:extLst>
    <a:ext uri="http://schemas.microsoft.com/office/drawing/2008/diagram">
      <dsp:dataModelExt xmlns:dsp="http://schemas.microsoft.com/office/drawing/2008/diagram" relId="rId43" minVer="http://schemas.openxmlformats.org/drawingml/2006/diagram"/>
    </a:ext>
  </dgm:extLst>
</dgm:dataModel>
</file>

<file path=word/diagrams/data7.xml><?xml version="1.0" encoding="utf-8"?>
<dgm:dataModel xmlns:dgm="http://schemas.openxmlformats.org/drawingml/2006/diagram" xmlns:a="http://schemas.openxmlformats.org/drawingml/2006/main">
  <dgm:ptLst>
    <dgm:pt modelId="{70915958-1588-498F-8B7A-CDD70217FAE8}" type="doc">
      <dgm:prSet loTypeId="urn:microsoft.com/office/officeart/2005/8/layout/vList3" loCatId="picture" qsTypeId="urn:microsoft.com/office/officeart/2005/8/quickstyle/simple1" qsCatId="simple" csTypeId="urn:microsoft.com/office/officeart/2005/8/colors/accent0_2" csCatId="mainScheme" phldr="1"/>
      <dgm:spPr/>
    </dgm:pt>
    <dgm:pt modelId="{DFEC6780-50A9-4073-B082-457C200E0938}">
      <dgm:prSet phldrT="[Texto]"/>
      <dgm:spPr/>
      <dgm:t>
        <a:bodyPr/>
        <a:lstStyle/>
        <a:p>
          <a:r>
            <a:rPr lang="es-CO" b="1">
              <a:solidFill>
                <a:sysClr val="windowText" lastClr="000000"/>
              </a:solidFill>
              <a:latin typeface="Arial" panose="020B0604020202020204" pitchFamily="34" charset="0"/>
              <a:cs typeface="Arial" panose="020B0604020202020204" pitchFamily="34" charset="0"/>
            </a:rPr>
            <a:t>Cantidades proyectadas:</a:t>
          </a:r>
          <a:r>
            <a:rPr lang="es-CO">
              <a:solidFill>
                <a:sysClr val="windowText" lastClr="000000"/>
              </a:solidFill>
              <a:latin typeface="Arial" panose="020B0604020202020204" pitchFamily="34" charset="0"/>
              <a:cs typeface="Arial" panose="020B0604020202020204" pitchFamily="34" charset="0"/>
            </a:rPr>
            <a:t> verificar que correspondan a las frecuencias de uso y a la población considerada.</a:t>
          </a:r>
          <a:endParaRPr lang="es-ES">
            <a:solidFill>
              <a:sysClr val="windowText" lastClr="000000"/>
            </a:solidFill>
            <a:latin typeface="Arial" panose="020B0604020202020204" pitchFamily="34" charset="0"/>
            <a:cs typeface="Arial" panose="020B0604020202020204" pitchFamily="34" charset="0"/>
          </a:endParaRPr>
        </a:p>
      </dgm:t>
    </dgm:pt>
    <dgm:pt modelId="{161780CE-5996-4BCE-B894-9C27D3D71127}" type="parTrans" cxnId="{90462F06-E0A1-4587-9784-68B70F6457E2}">
      <dgm:prSet/>
      <dgm:spPr/>
      <dgm:t>
        <a:bodyPr/>
        <a:lstStyle/>
        <a:p>
          <a:endParaRPr lang="es-ES">
            <a:solidFill>
              <a:sysClr val="windowText" lastClr="000000"/>
            </a:solidFill>
            <a:latin typeface="Arial" panose="020B0604020202020204" pitchFamily="34" charset="0"/>
            <a:cs typeface="Arial" panose="020B0604020202020204" pitchFamily="34" charset="0"/>
          </a:endParaRPr>
        </a:p>
      </dgm:t>
    </dgm:pt>
    <dgm:pt modelId="{B0996560-CFDB-4CBE-8320-7AA5F80D1363}" type="sibTrans" cxnId="{90462F06-E0A1-4587-9784-68B70F6457E2}">
      <dgm:prSet/>
      <dgm:spPr/>
      <dgm:t>
        <a:bodyPr/>
        <a:lstStyle/>
        <a:p>
          <a:endParaRPr lang="es-ES">
            <a:solidFill>
              <a:sysClr val="windowText" lastClr="000000"/>
            </a:solidFill>
            <a:latin typeface="Arial" panose="020B0604020202020204" pitchFamily="34" charset="0"/>
            <a:cs typeface="Arial" panose="020B0604020202020204" pitchFamily="34" charset="0"/>
          </a:endParaRPr>
        </a:p>
      </dgm:t>
    </dgm:pt>
    <dgm:pt modelId="{6C690236-6D21-4272-B980-95340DAA7655}">
      <dgm:prSet/>
      <dgm:spPr/>
      <dgm:t>
        <a:bodyPr/>
        <a:lstStyle/>
        <a:p>
          <a:r>
            <a:rPr lang="es-CO" b="1">
              <a:solidFill>
                <a:sysClr val="windowText" lastClr="000000"/>
              </a:solidFill>
              <a:latin typeface="Arial" panose="020B0604020202020204" pitchFamily="34" charset="0"/>
              <a:cs typeface="Arial" panose="020B0604020202020204" pitchFamily="34" charset="0"/>
            </a:rPr>
            <a:t>Costos unitarios:</a:t>
          </a:r>
          <a:r>
            <a:rPr lang="es-CO">
              <a:solidFill>
                <a:sysClr val="windowText" lastClr="000000"/>
              </a:solidFill>
              <a:latin typeface="Arial" panose="020B0604020202020204" pitchFamily="34" charset="0"/>
              <a:cs typeface="Arial" panose="020B0604020202020204" pitchFamily="34" charset="0"/>
            </a:rPr>
            <a:t> comprobar que los valores utilizados correspondan a los servicios o tecnologías identificados.</a:t>
          </a:r>
          <a:endParaRPr lang="en-US">
            <a:solidFill>
              <a:sysClr val="windowText" lastClr="000000"/>
            </a:solidFill>
            <a:latin typeface="Arial" panose="020B0604020202020204" pitchFamily="34" charset="0"/>
            <a:cs typeface="Arial" panose="020B0604020202020204" pitchFamily="34" charset="0"/>
          </a:endParaRPr>
        </a:p>
      </dgm:t>
    </dgm:pt>
    <dgm:pt modelId="{B3615979-2927-4351-9C2A-66C8CB3C1D5F}" type="parTrans" cxnId="{CD01BC1E-220E-4ADE-91AA-4C219894E4A0}">
      <dgm:prSet/>
      <dgm:spPr/>
      <dgm:t>
        <a:bodyPr/>
        <a:lstStyle/>
        <a:p>
          <a:endParaRPr lang="es-ES">
            <a:solidFill>
              <a:sysClr val="windowText" lastClr="000000"/>
            </a:solidFill>
            <a:latin typeface="Arial" panose="020B0604020202020204" pitchFamily="34" charset="0"/>
            <a:cs typeface="Arial" panose="020B0604020202020204" pitchFamily="34" charset="0"/>
          </a:endParaRPr>
        </a:p>
      </dgm:t>
    </dgm:pt>
    <dgm:pt modelId="{FD4D5D23-130A-40CB-B3DB-A2A9DC166383}" type="sibTrans" cxnId="{CD01BC1E-220E-4ADE-91AA-4C219894E4A0}">
      <dgm:prSet/>
      <dgm:spPr/>
      <dgm:t>
        <a:bodyPr/>
        <a:lstStyle/>
        <a:p>
          <a:endParaRPr lang="es-ES">
            <a:solidFill>
              <a:sysClr val="windowText" lastClr="000000"/>
            </a:solidFill>
            <a:latin typeface="Arial" panose="020B0604020202020204" pitchFamily="34" charset="0"/>
            <a:cs typeface="Arial" panose="020B0604020202020204" pitchFamily="34" charset="0"/>
          </a:endParaRPr>
        </a:p>
      </dgm:t>
    </dgm:pt>
    <dgm:pt modelId="{9D03519D-0056-4C4D-8FFB-8143F70B1884}">
      <dgm:prSet/>
      <dgm:spPr/>
      <dgm:t>
        <a:bodyPr/>
        <a:lstStyle/>
        <a:p>
          <a:r>
            <a:rPr lang="es-CO" b="1">
              <a:solidFill>
                <a:sysClr val="windowText" lastClr="000000"/>
              </a:solidFill>
              <a:latin typeface="Arial" panose="020B0604020202020204" pitchFamily="34" charset="0"/>
              <a:cs typeface="Arial" panose="020B0604020202020204" pitchFamily="34" charset="0"/>
            </a:rPr>
            <a:t>Tarifas:</a:t>
          </a:r>
          <a:r>
            <a:rPr lang="es-CO">
              <a:solidFill>
                <a:sysClr val="windowText" lastClr="000000"/>
              </a:solidFill>
              <a:latin typeface="Arial" panose="020B0604020202020204" pitchFamily="34" charset="0"/>
              <a:cs typeface="Arial" panose="020B0604020202020204" pitchFamily="34" charset="0"/>
            </a:rPr>
            <a:t> revisar la fuente y pertinencia de las tarifas utilizadas para establecer los valores proyectados.</a:t>
          </a:r>
          <a:endParaRPr lang="en-US">
            <a:solidFill>
              <a:sysClr val="windowText" lastClr="000000"/>
            </a:solidFill>
            <a:latin typeface="Arial" panose="020B0604020202020204" pitchFamily="34" charset="0"/>
            <a:cs typeface="Arial" panose="020B0604020202020204" pitchFamily="34" charset="0"/>
          </a:endParaRPr>
        </a:p>
      </dgm:t>
    </dgm:pt>
    <dgm:pt modelId="{53CC30AB-7B94-48A8-BC3F-79A0B2ADE811}" type="parTrans" cxnId="{E150CC07-1A28-45AA-B82F-8AA9E5BB8DF0}">
      <dgm:prSet/>
      <dgm:spPr/>
      <dgm:t>
        <a:bodyPr/>
        <a:lstStyle/>
        <a:p>
          <a:endParaRPr lang="es-ES">
            <a:solidFill>
              <a:sysClr val="windowText" lastClr="000000"/>
            </a:solidFill>
            <a:latin typeface="Arial" panose="020B0604020202020204" pitchFamily="34" charset="0"/>
            <a:cs typeface="Arial" panose="020B0604020202020204" pitchFamily="34" charset="0"/>
          </a:endParaRPr>
        </a:p>
      </dgm:t>
    </dgm:pt>
    <dgm:pt modelId="{E94D5177-31C0-44F1-8908-6DD0617691B1}" type="sibTrans" cxnId="{E150CC07-1A28-45AA-B82F-8AA9E5BB8DF0}">
      <dgm:prSet/>
      <dgm:spPr/>
      <dgm:t>
        <a:bodyPr/>
        <a:lstStyle/>
        <a:p>
          <a:endParaRPr lang="es-ES">
            <a:solidFill>
              <a:sysClr val="windowText" lastClr="000000"/>
            </a:solidFill>
            <a:latin typeface="Arial" panose="020B0604020202020204" pitchFamily="34" charset="0"/>
            <a:cs typeface="Arial" panose="020B0604020202020204" pitchFamily="34" charset="0"/>
          </a:endParaRPr>
        </a:p>
      </dgm:t>
    </dgm:pt>
    <dgm:pt modelId="{980443BD-45CD-4D61-BB18-1BB83664047B}">
      <dgm:prSet/>
      <dgm:spPr/>
      <dgm:t>
        <a:bodyPr/>
        <a:lstStyle/>
        <a:p>
          <a:r>
            <a:rPr lang="es-CO" b="1">
              <a:solidFill>
                <a:sysClr val="windowText" lastClr="000000"/>
              </a:solidFill>
              <a:latin typeface="Arial" panose="020B0604020202020204" pitchFamily="34" charset="0"/>
              <a:cs typeface="Arial" panose="020B0604020202020204" pitchFamily="34" charset="0"/>
            </a:rPr>
            <a:t>Valor total:</a:t>
          </a:r>
          <a:r>
            <a:rPr lang="es-CO">
              <a:solidFill>
                <a:sysClr val="windowText" lastClr="000000"/>
              </a:solidFill>
              <a:latin typeface="Arial" panose="020B0604020202020204" pitchFamily="34" charset="0"/>
              <a:cs typeface="Arial" panose="020B0604020202020204" pitchFamily="34" charset="0"/>
            </a:rPr>
            <a:t> comprobar las operaciones realizadas y la correspondencia entre cantidades, valores unitarios y totales.</a:t>
          </a:r>
          <a:endParaRPr lang="en-US">
            <a:solidFill>
              <a:sysClr val="windowText" lastClr="000000"/>
            </a:solidFill>
            <a:latin typeface="Arial" panose="020B0604020202020204" pitchFamily="34" charset="0"/>
            <a:cs typeface="Arial" panose="020B0604020202020204" pitchFamily="34" charset="0"/>
          </a:endParaRPr>
        </a:p>
      </dgm:t>
    </dgm:pt>
    <dgm:pt modelId="{FA305C10-DBF0-44A2-A1DD-C6853CAFA346}" type="parTrans" cxnId="{3091AFE9-6023-48A2-85D8-C1B06F37AD58}">
      <dgm:prSet/>
      <dgm:spPr/>
      <dgm:t>
        <a:bodyPr/>
        <a:lstStyle/>
        <a:p>
          <a:endParaRPr lang="es-ES">
            <a:solidFill>
              <a:sysClr val="windowText" lastClr="000000"/>
            </a:solidFill>
            <a:latin typeface="Arial" panose="020B0604020202020204" pitchFamily="34" charset="0"/>
            <a:cs typeface="Arial" panose="020B0604020202020204" pitchFamily="34" charset="0"/>
          </a:endParaRPr>
        </a:p>
      </dgm:t>
    </dgm:pt>
    <dgm:pt modelId="{B2683A64-A101-45CF-8658-EC755E2422ED}" type="sibTrans" cxnId="{3091AFE9-6023-48A2-85D8-C1B06F37AD58}">
      <dgm:prSet/>
      <dgm:spPr/>
      <dgm:t>
        <a:bodyPr/>
        <a:lstStyle/>
        <a:p>
          <a:endParaRPr lang="es-ES">
            <a:solidFill>
              <a:sysClr val="windowText" lastClr="000000"/>
            </a:solidFill>
            <a:latin typeface="Arial" panose="020B0604020202020204" pitchFamily="34" charset="0"/>
            <a:cs typeface="Arial" panose="020B0604020202020204" pitchFamily="34" charset="0"/>
          </a:endParaRPr>
        </a:p>
      </dgm:t>
    </dgm:pt>
    <dgm:pt modelId="{D2DAEE66-F6BA-4265-8C53-C8E912732BA1}">
      <dgm:prSet/>
      <dgm:spPr/>
      <dgm:t>
        <a:bodyPr/>
        <a:lstStyle/>
        <a:p>
          <a:r>
            <a:rPr lang="es-CO" b="1">
              <a:solidFill>
                <a:sysClr val="windowText" lastClr="000000"/>
              </a:solidFill>
              <a:latin typeface="Arial" panose="020B0604020202020204" pitchFamily="34" charset="0"/>
              <a:cs typeface="Arial" panose="020B0604020202020204" pitchFamily="34" charset="0"/>
            </a:rPr>
            <a:t>Sostenibilidad:</a:t>
          </a:r>
          <a:r>
            <a:rPr lang="es-CO">
              <a:solidFill>
                <a:sysClr val="windowText" lastClr="000000"/>
              </a:solidFill>
              <a:latin typeface="Arial" panose="020B0604020202020204" pitchFamily="34" charset="0"/>
              <a:cs typeface="Arial" panose="020B0604020202020204" pitchFamily="34" charset="0"/>
            </a:rPr>
            <a:t> analizar si los valores proyectados guardan relación con los recursos necesarios para la ejecución del acuerdo.</a:t>
          </a:r>
          <a:endParaRPr lang="en-US">
            <a:solidFill>
              <a:sysClr val="windowText" lastClr="000000"/>
            </a:solidFill>
            <a:latin typeface="Arial" panose="020B0604020202020204" pitchFamily="34" charset="0"/>
            <a:cs typeface="Arial" panose="020B0604020202020204" pitchFamily="34" charset="0"/>
          </a:endParaRPr>
        </a:p>
      </dgm:t>
    </dgm:pt>
    <dgm:pt modelId="{027E223E-3AFC-4F1D-A289-CD3EF8464F88}" type="parTrans" cxnId="{AA9ECB2E-D6D2-4A05-BBAB-685FF1DDDFF7}">
      <dgm:prSet/>
      <dgm:spPr/>
      <dgm:t>
        <a:bodyPr/>
        <a:lstStyle/>
        <a:p>
          <a:endParaRPr lang="es-ES">
            <a:solidFill>
              <a:sysClr val="windowText" lastClr="000000"/>
            </a:solidFill>
            <a:latin typeface="Arial" panose="020B0604020202020204" pitchFamily="34" charset="0"/>
            <a:cs typeface="Arial" panose="020B0604020202020204" pitchFamily="34" charset="0"/>
          </a:endParaRPr>
        </a:p>
      </dgm:t>
    </dgm:pt>
    <dgm:pt modelId="{64858A13-A3AF-4FE5-AEA5-3809DEEA1573}" type="sibTrans" cxnId="{AA9ECB2E-D6D2-4A05-BBAB-685FF1DDDFF7}">
      <dgm:prSet/>
      <dgm:spPr/>
      <dgm:t>
        <a:bodyPr/>
        <a:lstStyle/>
        <a:p>
          <a:endParaRPr lang="es-ES">
            <a:solidFill>
              <a:sysClr val="windowText" lastClr="000000"/>
            </a:solidFill>
            <a:latin typeface="Arial" panose="020B0604020202020204" pitchFamily="34" charset="0"/>
            <a:cs typeface="Arial" panose="020B0604020202020204" pitchFamily="34" charset="0"/>
          </a:endParaRPr>
        </a:p>
      </dgm:t>
    </dgm:pt>
    <dgm:pt modelId="{1930280B-6E0C-4E96-A3B5-68255C5413D8}">
      <dgm:prSet/>
      <dgm:spPr/>
      <dgm:t>
        <a:bodyPr/>
        <a:lstStyle/>
        <a:p>
          <a:r>
            <a:rPr lang="es-CO" b="1">
              <a:solidFill>
                <a:sysClr val="windowText" lastClr="000000"/>
              </a:solidFill>
              <a:latin typeface="Arial" panose="020B0604020202020204" pitchFamily="34" charset="0"/>
              <a:cs typeface="Arial" panose="020B0604020202020204" pitchFamily="34" charset="0"/>
            </a:rPr>
            <a:t>Coherencia</a:t>
          </a:r>
          <a:r>
            <a:rPr lang="es-CO">
              <a:solidFill>
                <a:sysClr val="windowText" lastClr="000000"/>
              </a:solidFill>
              <a:latin typeface="Arial" panose="020B0604020202020204" pitchFamily="34" charset="0"/>
              <a:cs typeface="Arial" panose="020B0604020202020204" pitchFamily="34" charset="0"/>
            </a:rPr>
            <a:t> </a:t>
          </a:r>
          <a:r>
            <a:rPr lang="es-CO" b="1">
              <a:solidFill>
                <a:sysClr val="windowText" lastClr="000000"/>
              </a:solidFill>
              <a:latin typeface="Arial" panose="020B0604020202020204" pitchFamily="34" charset="0"/>
              <a:cs typeface="Arial" panose="020B0604020202020204" pitchFamily="34" charset="0"/>
            </a:rPr>
            <a:t>financiera:</a:t>
          </a:r>
          <a:r>
            <a:rPr lang="es-CO">
              <a:solidFill>
                <a:sysClr val="windowText" lastClr="000000"/>
              </a:solidFill>
              <a:latin typeface="Arial" panose="020B0604020202020204" pitchFamily="34" charset="0"/>
              <a:cs typeface="Arial" panose="020B0604020202020204" pitchFamily="34" charset="0"/>
            </a:rPr>
            <a:t> verificar que los valores consolidados sean consistentes con la modalidad de contratación y las condiciones económicas establecidas.</a:t>
          </a:r>
          <a:endParaRPr lang="en-US">
            <a:solidFill>
              <a:sysClr val="windowText" lastClr="000000"/>
            </a:solidFill>
            <a:latin typeface="Arial" panose="020B0604020202020204" pitchFamily="34" charset="0"/>
            <a:cs typeface="Arial" panose="020B0604020202020204" pitchFamily="34" charset="0"/>
          </a:endParaRPr>
        </a:p>
      </dgm:t>
    </dgm:pt>
    <dgm:pt modelId="{42C98704-2397-46F4-8520-9DEF3010DF21}" type="parTrans" cxnId="{123D0773-2339-4DDC-851B-B2C5E69A5A14}">
      <dgm:prSet/>
      <dgm:spPr/>
      <dgm:t>
        <a:bodyPr/>
        <a:lstStyle/>
        <a:p>
          <a:endParaRPr lang="es-ES">
            <a:solidFill>
              <a:sysClr val="windowText" lastClr="000000"/>
            </a:solidFill>
            <a:latin typeface="Arial" panose="020B0604020202020204" pitchFamily="34" charset="0"/>
            <a:cs typeface="Arial" panose="020B0604020202020204" pitchFamily="34" charset="0"/>
          </a:endParaRPr>
        </a:p>
      </dgm:t>
    </dgm:pt>
    <dgm:pt modelId="{18865362-9037-48AC-8A21-09905826503C}" type="sibTrans" cxnId="{123D0773-2339-4DDC-851B-B2C5E69A5A14}">
      <dgm:prSet/>
      <dgm:spPr/>
      <dgm:t>
        <a:bodyPr/>
        <a:lstStyle/>
        <a:p>
          <a:endParaRPr lang="es-ES">
            <a:solidFill>
              <a:sysClr val="windowText" lastClr="000000"/>
            </a:solidFill>
            <a:latin typeface="Arial" panose="020B0604020202020204" pitchFamily="34" charset="0"/>
            <a:cs typeface="Arial" panose="020B0604020202020204" pitchFamily="34" charset="0"/>
          </a:endParaRPr>
        </a:p>
      </dgm:t>
    </dgm:pt>
    <dgm:pt modelId="{80381D85-938D-4FC3-B837-E911E115E22C}" type="pres">
      <dgm:prSet presAssocID="{70915958-1588-498F-8B7A-CDD70217FAE8}" presName="linearFlow" presStyleCnt="0">
        <dgm:presLayoutVars>
          <dgm:dir/>
          <dgm:resizeHandles val="exact"/>
        </dgm:presLayoutVars>
      </dgm:prSet>
      <dgm:spPr/>
    </dgm:pt>
    <dgm:pt modelId="{0002D5D7-96D1-455B-A2ED-8819D44F6E92}" type="pres">
      <dgm:prSet presAssocID="{DFEC6780-50A9-4073-B082-457C200E0938}" presName="composite" presStyleCnt="0"/>
      <dgm:spPr/>
    </dgm:pt>
    <dgm:pt modelId="{2890E52C-237D-45A6-B401-0E5239161967}" type="pres">
      <dgm:prSet presAssocID="{DFEC6780-50A9-4073-B082-457C200E0938}" presName="imgShp" presStyleLbl="fgImgPlace1" presStyleIdx="0" presStyleCnt="6"/>
      <dgm:spPr>
        <a:blipFill rotWithShape="1">
          <a:blip xmlns:r="http://schemas.openxmlformats.org/officeDocument/2006/relationships" r:embed="rId1"/>
          <a:stretch>
            <a:fillRect/>
          </a:stretch>
        </a:blipFill>
      </dgm:spPr>
    </dgm:pt>
    <dgm:pt modelId="{B3CB5E27-12FD-4DC1-92D1-7366C1FF3923}" type="pres">
      <dgm:prSet presAssocID="{DFEC6780-50A9-4073-B082-457C200E0938}" presName="txShp" presStyleLbl="node1" presStyleIdx="0" presStyleCnt="6">
        <dgm:presLayoutVars>
          <dgm:bulletEnabled val="1"/>
        </dgm:presLayoutVars>
      </dgm:prSet>
      <dgm:spPr/>
      <dgm:t>
        <a:bodyPr/>
        <a:lstStyle/>
        <a:p>
          <a:endParaRPr lang="es-ES"/>
        </a:p>
      </dgm:t>
    </dgm:pt>
    <dgm:pt modelId="{BA405E42-59C9-4768-AAD7-B0DCD172105D}" type="pres">
      <dgm:prSet presAssocID="{B0996560-CFDB-4CBE-8320-7AA5F80D1363}" presName="spacing" presStyleCnt="0"/>
      <dgm:spPr/>
    </dgm:pt>
    <dgm:pt modelId="{246E417F-4DEB-41FE-A642-318228F072A1}" type="pres">
      <dgm:prSet presAssocID="{6C690236-6D21-4272-B980-95340DAA7655}" presName="composite" presStyleCnt="0"/>
      <dgm:spPr/>
    </dgm:pt>
    <dgm:pt modelId="{128367FB-82D3-458C-B3CD-A3B0E1D282CD}" type="pres">
      <dgm:prSet presAssocID="{6C690236-6D21-4272-B980-95340DAA7655}" presName="imgShp" presStyleLbl="fgImgPlace1" presStyleIdx="1" presStyleCnt="6"/>
      <dgm:spPr>
        <a:blipFill rotWithShape="1">
          <a:blip xmlns:r="http://schemas.openxmlformats.org/officeDocument/2006/relationships" r:embed="rId2"/>
          <a:stretch>
            <a:fillRect/>
          </a:stretch>
        </a:blipFill>
      </dgm:spPr>
    </dgm:pt>
    <dgm:pt modelId="{0E027463-CDC1-4CED-9DD6-120BD1261109}" type="pres">
      <dgm:prSet presAssocID="{6C690236-6D21-4272-B980-95340DAA7655}" presName="txShp" presStyleLbl="node1" presStyleIdx="1" presStyleCnt="6">
        <dgm:presLayoutVars>
          <dgm:bulletEnabled val="1"/>
        </dgm:presLayoutVars>
      </dgm:prSet>
      <dgm:spPr/>
      <dgm:t>
        <a:bodyPr/>
        <a:lstStyle/>
        <a:p>
          <a:endParaRPr lang="es-ES"/>
        </a:p>
      </dgm:t>
    </dgm:pt>
    <dgm:pt modelId="{15F8F503-EBD9-4C41-9E06-DC8B31B00712}" type="pres">
      <dgm:prSet presAssocID="{FD4D5D23-130A-40CB-B3DB-A2A9DC166383}" presName="spacing" presStyleCnt="0"/>
      <dgm:spPr/>
    </dgm:pt>
    <dgm:pt modelId="{144F746F-7E3D-4D54-B51A-2147D89BB221}" type="pres">
      <dgm:prSet presAssocID="{9D03519D-0056-4C4D-8FFB-8143F70B1884}" presName="composite" presStyleCnt="0"/>
      <dgm:spPr/>
    </dgm:pt>
    <dgm:pt modelId="{D8B17AE8-5D84-48DC-B404-F2C07C6F0A96}" type="pres">
      <dgm:prSet presAssocID="{9D03519D-0056-4C4D-8FFB-8143F70B1884}" presName="imgShp" presStyleLbl="fgImgPlace1" presStyleIdx="2" presStyleCnt="6"/>
      <dgm:spPr>
        <a:blipFill rotWithShape="1">
          <a:blip xmlns:r="http://schemas.openxmlformats.org/officeDocument/2006/relationships" r:embed="rId3"/>
          <a:stretch>
            <a:fillRect/>
          </a:stretch>
        </a:blipFill>
      </dgm:spPr>
    </dgm:pt>
    <dgm:pt modelId="{73C4AFCD-11C0-4A75-B945-ADEA43434901}" type="pres">
      <dgm:prSet presAssocID="{9D03519D-0056-4C4D-8FFB-8143F70B1884}" presName="txShp" presStyleLbl="node1" presStyleIdx="2" presStyleCnt="6">
        <dgm:presLayoutVars>
          <dgm:bulletEnabled val="1"/>
        </dgm:presLayoutVars>
      </dgm:prSet>
      <dgm:spPr/>
      <dgm:t>
        <a:bodyPr/>
        <a:lstStyle/>
        <a:p>
          <a:endParaRPr lang="es-ES"/>
        </a:p>
      </dgm:t>
    </dgm:pt>
    <dgm:pt modelId="{CE86C3CA-4716-4584-8A0B-CF8EACB9185D}" type="pres">
      <dgm:prSet presAssocID="{E94D5177-31C0-44F1-8908-6DD0617691B1}" presName="spacing" presStyleCnt="0"/>
      <dgm:spPr/>
    </dgm:pt>
    <dgm:pt modelId="{617F5242-1CFD-4394-8413-291A293215CD}" type="pres">
      <dgm:prSet presAssocID="{980443BD-45CD-4D61-BB18-1BB83664047B}" presName="composite" presStyleCnt="0"/>
      <dgm:spPr/>
    </dgm:pt>
    <dgm:pt modelId="{F785257C-DF87-4A99-AD1A-CD54644A08F3}" type="pres">
      <dgm:prSet presAssocID="{980443BD-45CD-4D61-BB18-1BB83664047B}" presName="imgShp" presStyleLbl="fgImgPlace1" presStyleIdx="3" presStyleCnt="6"/>
      <dgm:spPr>
        <a:blipFill rotWithShape="1">
          <a:blip xmlns:r="http://schemas.openxmlformats.org/officeDocument/2006/relationships" r:embed="rId4"/>
          <a:stretch>
            <a:fillRect/>
          </a:stretch>
        </a:blipFill>
      </dgm:spPr>
    </dgm:pt>
    <dgm:pt modelId="{12DF91D8-7EE1-4B7D-8813-0F7B4B51E796}" type="pres">
      <dgm:prSet presAssocID="{980443BD-45CD-4D61-BB18-1BB83664047B}" presName="txShp" presStyleLbl="node1" presStyleIdx="3" presStyleCnt="6">
        <dgm:presLayoutVars>
          <dgm:bulletEnabled val="1"/>
        </dgm:presLayoutVars>
      </dgm:prSet>
      <dgm:spPr/>
      <dgm:t>
        <a:bodyPr/>
        <a:lstStyle/>
        <a:p>
          <a:endParaRPr lang="es-ES"/>
        </a:p>
      </dgm:t>
    </dgm:pt>
    <dgm:pt modelId="{D5B918DD-07A3-4427-A655-A7470CAA0984}" type="pres">
      <dgm:prSet presAssocID="{B2683A64-A101-45CF-8658-EC755E2422ED}" presName="spacing" presStyleCnt="0"/>
      <dgm:spPr/>
    </dgm:pt>
    <dgm:pt modelId="{5B4ACF52-12F6-4567-92A4-419BFDA75AB8}" type="pres">
      <dgm:prSet presAssocID="{D2DAEE66-F6BA-4265-8C53-C8E912732BA1}" presName="composite" presStyleCnt="0"/>
      <dgm:spPr/>
    </dgm:pt>
    <dgm:pt modelId="{8E7E26EB-BE8B-4764-A1C0-9B26FEFD8EBC}" type="pres">
      <dgm:prSet presAssocID="{D2DAEE66-F6BA-4265-8C53-C8E912732BA1}" presName="imgShp" presStyleLbl="fgImgPlace1" presStyleIdx="4" presStyleCnt="6"/>
      <dgm:spPr>
        <a:blipFill rotWithShape="1">
          <a:blip xmlns:r="http://schemas.openxmlformats.org/officeDocument/2006/relationships" r:embed="rId5"/>
          <a:stretch>
            <a:fillRect/>
          </a:stretch>
        </a:blipFill>
      </dgm:spPr>
    </dgm:pt>
    <dgm:pt modelId="{B9959A1E-EB0C-404B-9493-03276EEDFD1B}" type="pres">
      <dgm:prSet presAssocID="{D2DAEE66-F6BA-4265-8C53-C8E912732BA1}" presName="txShp" presStyleLbl="node1" presStyleIdx="4" presStyleCnt="6">
        <dgm:presLayoutVars>
          <dgm:bulletEnabled val="1"/>
        </dgm:presLayoutVars>
      </dgm:prSet>
      <dgm:spPr/>
      <dgm:t>
        <a:bodyPr/>
        <a:lstStyle/>
        <a:p>
          <a:endParaRPr lang="es-ES"/>
        </a:p>
      </dgm:t>
    </dgm:pt>
    <dgm:pt modelId="{1E4520F8-33E9-4EB3-8EA4-341EAF5F391D}" type="pres">
      <dgm:prSet presAssocID="{64858A13-A3AF-4FE5-AEA5-3809DEEA1573}" presName="spacing" presStyleCnt="0"/>
      <dgm:spPr/>
    </dgm:pt>
    <dgm:pt modelId="{519C7CA6-2F56-4285-BA77-E3F6A208A98F}" type="pres">
      <dgm:prSet presAssocID="{1930280B-6E0C-4E96-A3B5-68255C5413D8}" presName="composite" presStyleCnt="0"/>
      <dgm:spPr/>
    </dgm:pt>
    <dgm:pt modelId="{D8937657-C29D-4727-B653-BB435C05C507}" type="pres">
      <dgm:prSet presAssocID="{1930280B-6E0C-4E96-A3B5-68255C5413D8}" presName="imgShp" presStyleLbl="fgImgPlace1" presStyleIdx="5" presStyleCnt="6"/>
      <dgm:spPr>
        <a:blipFill rotWithShape="1">
          <a:blip xmlns:r="http://schemas.openxmlformats.org/officeDocument/2006/relationships" r:embed="rId6"/>
          <a:stretch>
            <a:fillRect/>
          </a:stretch>
        </a:blipFill>
      </dgm:spPr>
    </dgm:pt>
    <dgm:pt modelId="{D4770196-1818-4C9C-991B-E7C2948DD2BD}" type="pres">
      <dgm:prSet presAssocID="{1930280B-6E0C-4E96-A3B5-68255C5413D8}" presName="txShp" presStyleLbl="node1" presStyleIdx="5" presStyleCnt="6">
        <dgm:presLayoutVars>
          <dgm:bulletEnabled val="1"/>
        </dgm:presLayoutVars>
      </dgm:prSet>
      <dgm:spPr/>
      <dgm:t>
        <a:bodyPr/>
        <a:lstStyle/>
        <a:p>
          <a:endParaRPr lang="es-ES"/>
        </a:p>
      </dgm:t>
    </dgm:pt>
  </dgm:ptLst>
  <dgm:cxnLst>
    <dgm:cxn modelId="{F38C2426-061D-4AA2-9377-7C84C725CD16}" type="presOf" srcId="{DFEC6780-50A9-4073-B082-457C200E0938}" destId="{B3CB5E27-12FD-4DC1-92D1-7366C1FF3923}" srcOrd="0" destOrd="0" presId="urn:microsoft.com/office/officeart/2005/8/layout/vList3"/>
    <dgm:cxn modelId="{CCD04F3F-79C1-490E-8110-82B9047F2E99}" type="presOf" srcId="{70915958-1588-498F-8B7A-CDD70217FAE8}" destId="{80381D85-938D-4FC3-B837-E911E115E22C}" srcOrd="0" destOrd="0" presId="urn:microsoft.com/office/officeart/2005/8/layout/vList3"/>
    <dgm:cxn modelId="{E150CC07-1A28-45AA-B82F-8AA9E5BB8DF0}" srcId="{70915958-1588-498F-8B7A-CDD70217FAE8}" destId="{9D03519D-0056-4C4D-8FFB-8143F70B1884}" srcOrd="2" destOrd="0" parTransId="{53CC30AB-7B94-48A8-BC3F-79A0B2ADE811}" sibTransId="{E94D5177-31C0-44F1-8908-6DD0617691B1}"/>
    <dgm:cxn modelId="{998AE94F-2900-47A3-811B-A8F872BCA8AF}" type="presOf" srcId="{980443BD-45CD-4D61-BB18-1BB83664047B}" destId="{12DF91D8-7EE1-4B7D-8813-0F7B4B51E796}" srcOrd="0" destOrd="0" presId="urn:microsoft.com/office/officeart/2005/8/layout/vList3"/>
    <dgm:cxn modelId="{F25228F5-FDBF-4E3E-8DB8-3DABD4D13781}" type="presOf" srcId="{D2DAEE66-F6BA-4265-8C53-C8E912732BA1}" destId="{B9959A1E-EB0C-404B-9493-03276EEDFD1B}" srcOrd="0" destOrd="0" presId="urn:microsoft.com/office/officeart/2005/8/layout/vList3"/>
    <dgm:cxn modelId="{90462F06-E0A1-4587-9784-68B70F6457E2}" srcId="{70915958-1588-498F-8B7A-CDD70217FAE8}" destId="{DFEC6780-50A9-4073-B082-457C200E0938}" srcOrd="0" destOrd="0" parTransId="{161780CE-5996-4BCE-B894-9C27D3D71127}" sibTransId="{B0996560-CFDB-4CBE-8320-7AA5F80D1363}"/>
    <dgm:cxn modelId="{123D0773-2339-4DDC-851B-B2C5E69A5A14}" srcId="{70915958-1588-498F-8B7A-CDD70217FAE8}" destId="{1930280B-6E0C-4E96-A3B5-68255C5413D8}" srcOrd="5" destOrd="0" parTransId="{42C98704-2397-46F4-8520-9DEF3010DF21}" sibTransId="{18865362-9037-48AC-8A21-09905826503C}"/>
    <dgm:cxn modelId="{AA9ECB2E-D6D2-4A05-BBAB-685FF1DDDFF7}" srcId="{70915958-1588-498F-8B7A-CDD70217FAE8}" destId="{D2DAEE66-F6BA-4265-8C53-C8E912732BA1}" srcOrd="4" destOrd="0" parTransId="{027E223E-3AFC-4F1D-A289-CD3EF8464F88}" sibTransId="{64858A13-A3AF-4FE5-AEA5-3809DEEA1573}"/>
    <dgm:cxn modelId="{8A8A25E6-C3CD-4A34-A05C-65914A02A6FC}" type="presOf" srcId="{9D03519D-0056-4C4D-8FFB-8143F70B1884}" destId="{73C4AFCD-11C0-4A75-B945-ADEA43434901}" srcOrd="0" destOrd="0" presId="urn:microsoft.com/office/officeart/2005/8/layout/vList3"/>
    <dgm:cxn modelId="{3091AFE9-6023-48A2-85D8-C1B06F37AD58}" srcId="{70915958-1588-498F-8B7A-CDD70217FAE8}" destId="{980443BD-45CD-4D61-BB18-1BB83664047B}" srcOrd="3" destOrd="0" parTransId="{FA305C10-DBF0-44A2-A1DD-C6853CAFA346}" sibTransId="{B2683A64-A101-45CF-8658-EC755E2422ED}"/>
    <dgm:cxn modelId="{26CC1E10-264B-4078-8304-A99BF58EBF12}" type="presOf" srcId="{1930280B-6E0C-4E96-A3B5-68255C5413D8}" destId="{D4770196-1818-4C9C-991B-E7C2948DD2BD}" srcOrd="0" destOrd="0" presId="urn:microsoft.com/office/officeart/2005/8/layout/vList3"/>
    <dgm:cxn modelId="{CD01BC1E-220E-4ADE-91AA-4C219894E4A0}" srcId="{70915958-1588-498F-8B7A-CDD70217FAE8}" destId="{6C690236-6D21-4272-B980-95340DAA7655}" srcOrd="1" destOrd="0" parTransId="{B3615979-2927-4351-9C2A-66C8CB3C1D5F}" sibTransId="{FD4D5D23-130A-40CB-B3DB-A2A9DC166383}"/>
    <dgm:cxn modelId="{12C04E5A-FE77-4B38-8D08-8AD619D4B287}" type="presOf" srcId="{6C690236-6D21-4272-B980-95340DAA7655}" destId="{0E027463-CDC1-4CED-9DD6-120BD1261109}" srcOrd="0" destOrd="0" presId="urn:microsoft.com/office/officeart/2005/8/layout/vList3"/>
    <dgm:cxn modelId="{F2CDBA05-DEE7-4EB5-8920-F2C712FBE94E}" type="presParOf" srcId="{80381D85-938D-4FC3-B837-E911E115E22C}" destId="{0002D5D7-96D1-455B-A2ED-8819D44F6E92}" srcOrd="0" destOrd="0" presId="urn:microsoft.com/office/officeart/2005/8/layout/vList3"/>
    <dgm:cxn modelId="{884E451A-F42F-4F5A-B366-BC7BB44880D3}" type="presParOf" srcId="{0002D5D7-96D1-455B-A2ED-8819D44F6E92}" destId="{2890E52C-237D-45A6-B401-0E5239161967}" srcOrd="0" destOrd="0" presId="urn:microsoft.com/office/officeart/2005/8/layout/vList3"/>
    <dgm:cxn modelId="{F0CB879C-D62B-473E-9134-5DEDA05E93DC}" type="presParOf" srcId="{0002D5D7-96D1-455B-A2ED-8819D44F6E92}" destId="{B3CB5E27-12FD-4DC1-92D1-7366C1FF3923}" srcOrd="1" destOrd="0" presId="urn:microsoft.com/office/officeart/2005/8/layout/vList3"/>
    <dgm:cxn modelId="{45CBD007-07A9-425F-902C-6FDBD2F33B39}" type="presParOf" srcId="{80381D85-938D-4FC3-B837-E911E115E22C}" destId="{BA405E42-59C9-4768-AAD7-B0DCD172105D}" srcOrd="1" destOrd="0" presId="urn:microsoft.com/office/officeart/2005/8/layout/vList3"/>
    <dgm:cxn modelId="{7D16D5D5-2A4F-4CFE-AF2F-CDAA68FE9F0D}" type="presParOf" srcId="{80381D85-938D-4FC3-B837-E911E115E22C}" destId="{246E417F-4DEB-41FE-A642-318228F072A1}" srcOrd="2" destOrd="0" presId="urn:microsoft.com/office/officeart/2005/8/layout/vList3"/>
    <dgm:cxn modelId="{700B9179-9E11-4C5C-AFDF-2C62E1622D92}" type="presParOf" srcId="{246E417F-4DEB-41FE-A642-318228F072A1}" destId="{128367FB-82D3-458C-B3CD-A3B0E1D282CD}" srcOrd="0" destOrd="0" presId="urn:microsoft.com/office/officeart/2005/8/layout/vList3"/>
    <dgm:cxn modelId="{7529A8D6-6E80-4E03-B9F4-4CA6A3CF78A4}" type="presParOf" srcId="{246E417F-4DEB-41FE-A642-318228F072A1}" destId="{0E027463-CDC1-4CED-9DD6-120BD1261109}" srcOrd="1" destOrd="0" presId="urn:microsoft.com/office/officeart/2005/8/layout/vList3"/>
    <dgm:cxn modelId="{E3BE175D-E266-44C2-9571-4774CE785A23}" type="presParOf" srcId="{80381D85-938D-4FC3-B837-E911E115E22C}" destId="{15F8F503-EBD9-4C41-9E06-DC8B31B00712}" srcOrd="3" destOrd="0" presId="urn:microsoft.com/office/officeart/2005/8/layout/vList3"/>
    <dgm:cxn modelId="{054B8253-78CB-4389-B5EB-9B0FAF68AC44}" type="presParOf" srcId="{80381D85-938D-4FC3-B837-E911E115E22C}" destId="{144F746F-7E3D-4D54-B51A-2147D89BB221}" srcOrd="4" destOrd="0" presId="urn:microsoft.com/office/officeart/2005/8/layout/vList3"/>
    <dgm:cxn modelId="{8467F6DD-DD8E-4EB0-B3E5-40A1F9B1CD4C}" type="presParOf" srcId="{144F746F-7E3D-4D54-B51A-2147D89BB221}" destId="{D8B17AE8-5D84-48DC-B404-F2C07C6F0A96}" srcOrd="0" destOrd="0" presId="urn:microsoft.com/office/officeart/2005/8/layout/vList3"/>
    <dgm:cxn modelId="{6EE859FB-28A5-4253-81CC-2844A1E8B5B3}" type="presParOf" srcId="{144F746F-7E3D-4D54-B51A-2147D89BB221}" destId="{73C4AFCD-11C0-4A75-B945-ADEA43434901}" srcOrd="1" destOrd="0" presId="urn:microsoft.com/office/officeart/2005/8/layout/vList3"/>
    <dgm:cxn modelId="{4332725D-6864-4621-929B-488BBF2B7E85}" type="presParOf" srcId="{80381D85-938D-4FC3-B837-E911E115E22C}" destId="{CE86C3CA-4716-4584-8A0B-CF8EACB9185D}" srcOrd="5" destOrd="0" presId="urn:microsoft.com/office/officeart/2005/8/layout/vList3"/>
    <dgm:cxn modelId="{7FC57ADD-9978-459E-ABF8-1213D3DF6CA3}" type="presParOf" srcId="{80381D85-938D-4FC3-B837-E911E115E22C}" destId="{617F5242-1CFD-4394-8413-291A293215CD}" srcOrd="6" destOrd="0" presId="urn:microsoft.com/office/officeart/2005/8/layout/vList3"/>
    <dgm:cxn modelId="{389BBABF-175A-4D7A-888D-AC9BD7BF62AC}" type="presParOf" srcId="{617F5242-1CFD-4394-8413-291A293215CD}" destId="{F785257C-DF87-4A99-AD1A-CD54644A08F3}" srcOrd="0" destOrd="0" presId="urn:microsoft.com/office/officeart/2005/8/layout/vList3"/>
    <dgm:cxn modelId="{A6F7F174-F618-4191-9594-2A13BBFC98F6}" type="presParOf" srcId="{617F5242-1CFD-4394-8413-291A293215CD}" destId="{12DF91D8-7EE1-4B7D-8813-0F7B4B51E796}" srcOrd="1" destOrd="0" presId="urn:microsoft.com/office/officeart/2005/8/layout/vList3"/>
    <dgm:cxn modelId="{303F7B75-7910-4CD2-9B07-60B4CE976DDA}" type="presParOf" srcId="{80381D85-938D-4FC3-B837-E911E115E22C}" destId="{D5B918DD-07A3-4427-A655-A7470CAA0984}" srcOrd="7" destOrd="0" presId="urn:microsoft.com/office/officeart/2005/8/layout/vList3"/>
    <dgm:cxn modelId="{57C96BF3-9C1F-41B1-8B4A-2837554D6128}" type="presParOf" srcId="{80381D85-938D-4FC3-B837-E911E115E22C}" destId="{5B4ACF52-12F6-4567-92A4-419BFDA75AB8}" srcOrd="8" destOrd="0" presId="urn:microsoft.com/office/officeart/2005/8/layout/vList3"/>
    <dgm:cxn modelId="{199BD8A6-1602-4683-A6D0-D6ACF935762B}" type="presParOf" srcId="{5B4ACF52-12F6-4567-92A4-419BFDA75AB8}" destId="{8E7E26EB-BE8B-4764-A1C0-9B26FEFD8EBC}" srcOrd="0" destOrd="0" presId="urn:microsoft.com/office/officeart/2005/8/layout/vList3"/>
    <dgm:cxn modelId="{5A161877-354E-4414-8B82-4D49444C8273}" type="presParOf" srcId="{5B4ACF52-12F6-4567-92A4-419BFDA75AB8}" destId="{B9959A1E-EB0C-404B-9493-03276EEDFD1B}" srcOrd="1" destOrd="0" presId="urn:microsoft.com/office/officeart/2005/8/layout/vList3"/>
    <dgm:cxn modelId="{EF5AD0AD-2A09-4ACD-8313-C4CA7630DB5A}" type="presParOf" srcId="{80381D85-938D-4FC3-B837-E911E115E22C}" destId="{1E4520F8-33E9-4EB3-8EA4-341EAF5F391D}" srcOrd="9" destOrd="0" presId="urn:microsoft.com/office/officeart/2005/8/layout/vList3"/>
    <dgm:cxn modelId="{8706D4B0-BACA-4653-A0A6-A163DC471A0D}" type="presParOf" srcId="{80381D85-938D-4FC3-B837-E911E115E22C}" destId="{519C7CA6-2F56-4285-BA77-E3F6A208A98F}" srcOrd="10" destOrd="0" presId="urn:microsoft.com/office/officeart/2005/8/layout/vList3"/>
    <dgm:cxn modelId="{8FB13F85-635C-4981-BD77-B80364621F2C}" type="presParOf" srcId="{519C7CA6-2F56-4285-BA77-E3F6A208A98F}" destId="{D8937657-C29D-4727-B653-BB435C05C507}" srcOrd="0" destOrd="0" presId="urn:microsoft.com/office/officeart/2005/8/layout/vList3"/>
    <dgm:cxn modelId="{548ABB67-AFE9-453A-A032-2BA011870AD6}" type="presParOf" srcId="{519C7CA6-2F56-4285-BA77-E3F6A208A98F}" destId="{D4770196-1818-4C9C-991B-E7C2948DD2BD}" srcOrd="1" destOrd="0" presId="urn:microsoft.com/office/officeart/2005/8/layout/vList3"/>
  </dgm:cxnLst>
  <dgm:bg/>
  <dgm:whole/>
  <dgm:extLst>
    <a:ext uri="http://schemas.microsoft.com/office/drawing/2008/diagram">
      <dsp:dataModelExt xmlns:dsp="http://schemas.microsoft.com/office/drawing/2008/diagram" relId="rId48" minVer="http://schemas.openxmlformats.org/drawingml/2006/diagram"/>
    </a:ext>
  </dgm:extLst>
</dgm:dataModel>
</file>

<file path=word/diagrams/data8.xml><?xml version="1.0" encoding="utf-8"?>
<dgm:dataModel xmlns:dgm="http://schemas.openxmlformats.org/drawingml/2006/diagram" xmlns:a="http://schemas.openxmlformats.org/drawingml/2006/main">
  <dgm:ptLst>
    <dgm:pt modelId="{C98FB0BD-8CCA-491B-88C6-D67B51964DA4}" type="doc">
      <dgm:prSet loTypeId="urn:microsoft.com/office/officeart/2005/8/layout/pList1" loCatId="picture" qsTypeId="urn:microsoft.com/office/officeart/2005/8/quickstyle/simple1" qsCatId="simple" csTypeId="urn:microsoft.com/office/officeart/2005/8/colors/accent1_2" csCatId="accent1" phldr="1"/>
      <dgm:spPr/>
      <dgm:t>
        <a:bodyPr/>
        <a:lstStyle/>
        <a:p>
          <a:endParaRPr lang="es-ES"/>
        </a:p>
      </dgm:t>
    </dgm:pt>
    <dgm:pt modelId="{041A1E46-562A-4D8D-A7C2-F6A080CB48D9}">
      <dgm:prSet phldrT="[Texto]"/>
      <dgm:spPr/>
      <dgm:t>
        <a:bodyPr/>
        <a:lstStyle/>
        <a:p>
          <a:r>
            <a:rPr lang="es-CO" b="1">
              <a:latin typeface="Arial" panose="020B0604020202020204" pitchFamily="34" charset="0"/>
              <a:cs typeface="Arial" panose="020B0604020202020204" pitchFamily="34" charset="0"/>
            </a:rPr>
            <a:t>La población: </a:t>
          </a:r>
          <a:r>
            <a:rPr lang="es-CO">
              <a:latin typeface="Arial" panose="020B0604020202020204" pitchFamily="34" charset="0"/>
              <a:cs typeface="Arial" panose="020B0604020202020204" pitchFamily="34" charset="0"/>
            </a:rPr>
            <a:t>variaciones en el número o las características de la población objeto y susceptible.</a:t>
          </a:r>
          <a:endParaRPr lang="es-ES">
            <a:latin typeface="Arial" panose="020B0604020202020204" pitchFamily="34" charset="0"/>
            <a:cs typeface="Arial" panose="020B0604020202020204" pitchFamily="34" charset="0"/>
          </a:endParaRPr>
        </a:p>
      </dgm:t>
    </dgm:pt>
    <dgm:pt modelId="{509F85C8-D0A8-44CB-B024-FD745107C8A2}" type="parTrans" cxnId="{FF4AD2AD-3868-42DA-BE8B-771E1B95B690}">
      <dgm:prSet/>
      <dgm:spPr/>
      <dgm:t>
        <a:bodyPr/>
        <a:lstStyle/>
        <a:p>
          <a:endParaRPr lang="es-ES">
            <a:latin typeface="Arial" panose="020B0604020202020204" pitchFamily="34" charset="0"/>
            <a:cs typeface="Arial" panose="020B0604020202020204" pitchFamily="34" charset="0"/>
          </a:endParaRPr>
        </a:p>
      </dgm:t>
    </dgm:pt>
    <dgm:pt modelId="{56873322-08F3-49D6-8679-B95DB556C914}" type="sibTrans" cxnId="{FF4AD2AD-3868-42DA-BE8B-771E1B95B690}">
      <dgm:prSet/>
      <dgm:spPr/>
      <dgm:t>
        <a:bodyPr/>
        <a:lstStyle/>
        <a:p>
          <a:endParaRPr lang="es-ES">
            <a:latin typeface="Arial" panose="020B0604020202020204" pitchFamily="34" charset="0"/>
            <a:cs typeface="Arial" panose="020B0604020202020204" pitchFamily="34" charset="0"/>
          </a:endParaRPr>
        </a:p>
      </dgm:t>
    </dgm:pt>
    <dgm:pt modelId="{9110C340-5BA5-4BCF-860D-E09C549B4260}">
      <dgm:prSet/>
      <dgm:spPr/>
      <dgm:t>
        <a:bodyPr/>
        <a:lstStyle/>
        <a:p>
          <a:r>
            <a:rPr lang="es-CO" b="1">
              <a:latin typeface="Arial" panose="020B0604020202020204" pitchFamily="34" charset="0"/>
              <a:cs typeface="Arial" panose="020B0604020202020204" pitchFamily="34" charset="0"/>
            </a:rPr>
            <a:t>La utilización de servicios: </a:t>
          </a:r>
          <a:r>
            <a:rPr lang="es-CO">
              <a:latin typeface="Arial" panose="020B0604020202020204" pitchFamily="34" charset="0"/>
              <a:cs typeface="Arial" panose="020B0604020202020204" pitchFamily="34" charset="0"/>
            </a:rPr>
            <a:t>cambios en las frecuencias o cantidades de servicios y tecnologías utilizadas.</a:t>
          </a:r>
          <a:endParaRPr lang="en-US">
            <a:latin typeface="Arial" panose="020B0604020202020204" pitchFamily="34" charset="0"/>
            <a:cs typeface="Arial" panose="020B0604020202020204" pitchFamily="34" charset="0"/>
          </a:endParaRPr>
        </a:p>
      </dgm:t>
    </dgm:pt>
    <dgm:pt modelId="{6853C8C3-FEE6-4E96-A3A3-1BF8F09C788D}" type="parTrans" cxnId="{CF514E79-335B-43B3-960D-394D99579E12}">
      <dgm:prSet/>
      <dgm:spPr/>
      <dgm:t>
        <a:bodyPr/>
        <a:lstStyle/>
        <a:p>
          <a:endParaRPr lang="es-ES">
            <a:latin typeface="Arial" panose="020B0604020202020204" pitchFamily="34" charset="0"/>
            <a:cs typeface="Arial" panose="020B0604020202020204" pitchFamily="34" charset="0"/>
          </a:endParaRPr>
        </a:p>
      </dgm:t>
    </dgm:pt>
    <dgm:pt modelId="{386121B2-226D-4867-B066-B02554F21C50}" type="sibTrans" cxnId="{CF514E79-335B-43B3-960D-394D99579E12}">
      <dgm:prSet/>
      <dgm:spPr/>
      <dgm:t>
        <a:bodyPr/>
        <a:lstStyle/>
        <a:p>
          <a:endParaRPr lang="es-ES">
            <a:latin typeface="Arial" panose="020B0604020202020204" pitchFamily="34" charset="0"/>
            <a:cs typeface="Arial" panose="020B0604020202020204" pitchFamily="34" charset="0"/>
          </a:endParaRPr>
        </a:p>
      </dgm:t>
    </dgm:pt>
    <dgm:pt modelId="{CF5D3EF5-BDEE-4828-A2E7-2F8D11432A13}">
      <dgm:prSet/>
      <dgm:spPr/>
      <dgm:t>
        <a:bodyPr/>
        <a:lstStyle/>
        <a:p>
          <a:r>
            <a:rPr lang="es-CO" b="1">
              <a:latin typeface="Arial" panose="020B0604020202020204" pitchFamily="34" charset="0"/>
              <a:cs typeface="Arial" panose="020B0604020202020204" pitchFamily="34" charset="0"/>
            </a:rPr>
            <a:t>Las condiciones de salud: </a:t>
          </a:r>
          <a:r>
            <a:rPr lang="es-CO">
              <a:latin typeface="Arial" panose="020B0604020202020204" pitchFamily="34" charset="0"/>
              <a:cs typeface="Arial" panose="020B0604020202020204" pitchFamily="34" charset="0"/>
            </a:rPr>
            <a:t>modificaciones en el comportamiento de la morbilidad que puedan generar variaciones en las necesidades de atención.</a:t>
          </a:r>
          <a:endParaRPr lang="en-US">
            <a:latin typeface="Arial" panose="020B0604020202020204" pitchFamily="34" charset="0"/>
            <a:cs typeface="Arial" panose="020B0604020202020204" pitchFamily="34" charset="0"/>
          </a:endParaRPr>
        </a:p>
      </dgm:t>
    </dgm:pt>
    <dgm:pt modelId="{C54F5888-048C-419F-AA01-ACDFDD1DAB0E}" type="parTrans" cxnId="{8BBCA306-C3E9-4C66-8AED-D5A5DDFB8AAF}">
      <dgm:prSet/>
      <dgm:spPr/>
      <dgm:t>
        <a:bodyPr/>
        <a:lstStyle/>
        <a:p>
          <a:endParaRPr lang="es-ES">
            <a:latin typeface="Arial" panose="020B0604020202020204" pitchFamily="34" charset="0"/>
            <a:cs typeface="Arial" panose="020B0604020202020204" pitchFamily="34" charset="0"/>
          </a:endParaRPr>
        </a:p>
      </dgm:t>
    </dgm:pt>
    <dgm:pt modelId="{56025344-6D47-4BD6-A32E-B66ADA960C58}" type="sibTrans" cxnId="{8BBCA306-C3E9-4C66-8AED-D5A5DDFB8AAF}">
      <dgm:prSet/>
      <dgm:spPr/>
      <dgm:t>
        <a:bodyPr/>
        <a:lstStyle/>
        <a:p>
          <a:endParaRPr lang="es-ES">
            <a:latin typeface="Arial" panose="020B0604020202020204" pitchFamily="34" charset="0"/>
            <a:cs typeface="Arial" panose="020B0604020202020204" pitchFamily="34" charset="0"/>
          </a:endParaRPr>
        </a:p>
      </dgm:t>
    </dgm:pt>
    <dgm:pt modelId="{3BBE33DA-89B9-4BA9-BC1C-1AF41B9AEC1D}">
      <dgm:prSet/>
      <dgm:spPr/>
      <dgm:t>
        <a:bodyPr/>
        <a:lstStyle/>
        <a:p>
          <a:r>
            <a:rPr lang="es-CO" b="1">
              <a:latin typeface="Arial" panose="020B0604020202020204" pitchFamily="34" charset="0"/>
              <a:cs typeface="Arial" panose="020B0604020202020204" pitchFamily="34" charset="0"/>
            </a:rPr>
            <a:t>La red de prestadores: </a:t>
          </a:r>
          <a:r>
            <a:rPr lang="es-CO">
              <a:latin typeface="Arial" panose="020B0604020202020204" pitchFamily="34" charset="0"/>
              <a:cs typeface="Arial" panose="020B0604020202020204" pitchFamily="34" charset="0"/>
            </a:rPr>
            <a:t>cambios en la disponibilidad o composición de la red que puedan afectar la prestación.</a:t>
          </a:r>
          <a:endParaRPr lang="en-US">
            <a:latin typeface="Arial" panose="020B0604020202020204" pitchFamily="34" charset="0"/>
            <a:cs typeface="Arial" panose="020B0604020202020204" pitchFamily="34" charset="0"/>
          </a:endParaRPr>
        </a:p>
      </dgm:t>
    </dgm:pt>
    <dgm:pt modelId="{4D651C5F-149E-4368-BA92-86E277C2DD81}" type="parTrans" cxnId="{80D54D8F-9539-4CE5-AB2E-0070428DF0A1}">
      <dgm:prSet/>
      <dgm:spPr/>
      <dgm:t>
        <a:bodyPr/>
        <a:lstStyle/>
        <a:p>
          <a:endParaRPr lang="es-ES">
            <a:latin typeface="Arial" panose="020B0604020202020204" pitchFamily="34" charset="0"/>
            <a:cs typeface="Arial" panose="020B0604020202020204" pitchFamily="34" charset="0"/>
          </a:endParaRPr>
        </a:p>
      </dgm:t>
    </dgm:pt>
    <dgm:pt modelId="{D19CEB22-6E30-4C09-8001-2404B65449B0}" type="sibTrans" cxnId="{80D54D8F-9539-4CE5-AB2E-0070428DF0A1}">
      <dgm:prSet/>
      <dgm:spPr/>
      <dgm:t>
        <a:bodyPr/>
        <a:lstStyle/>
        <a:p>
          <a:endParaRPr lang="es-ES">
            <a:latin typeface="Arial" panose="020B0604020202020204" pitchFamily="34" charset="0"/>
            <a:cs typeface="Arial" panose="020B0604020202020204" pitchFamily="34" charset="0"/>
          </a:endParaRPr>
        </a:p>
      </dgm:t>
    </dgm:pt>
    <dgm:pt modelId="{5353B38F-0FC7-41DB-A501-CB932527B2C4}">
      <dgm:prSet/>
      <dgm:spPr/>
      <dgm:t>
        <a:bodyPr/>
        <a:lstStyle/>
        <a:p>
          <a:r>
            <a:rPr lang="es-CO" b="1">
              <a:latin typeface="Arial" panose="020B0604020202020204" pitchFamily="34" charset="0"/>
              <a:cs typeface="Arial" panose="020B0604020202020204" pitchFamily="34" charset="0"/>
            </a:rPr>
            <a:t>La cobertura: </a:t>
          </a:r>
          <a:r>
            <a:rPr lang="es-CO">
              <a:latin typeface="Arial" panose="020B0604020202020204" pitchFamily="34" charset="0"/>
              <a:cs typeface="Arial" panose="020B0604020202020204" pitchFamily="34" charset="0"/>
            </a:rPr>
            <a:t>modificaciones que generen cambios en el acceso o utilización de los servicios.</a:t>
          </a:r>
          <a:endParaRPr lang="en-US">
            <a:latin typeface="Arial" panose="020B0604020202020204" pitchFamily="34" charset="0"/>
            <a:cs typeface="Arial" panose="020B0604020202020204" pitchFamily="34" charset="0"/>
          </a:endParaRPr>
        </a:p>
      </dgm:t>
    </dgm:pt>
    <dgm:pt modelId="{BB2D8308-6D7A-4D71-9AF0-F10E7C02C9C6}" type="parTrans" cxnId="{F0E13329-1F9E-42FD-B75D-98B90FCD03D2}">
      <dgm:prSet/>
      <dgm:spPr/>
      <dgm:t>
        <a:bodyPr/>
        <a:lstStyle/>
        <a:p>
          <a:endParaRPr lang="es-ES">
            <a:latin typeface="Arial" panose="020B0604020202020204" pitchFamily="34" charset="0"/>
            <a:cs typeface="Arial" panose="020B0604020202020204" pitchFamily="34" charset="0"/>
          </a:endParaRPr>
        </a:p>
      </dgm:t>
    </dgm:pt>
    <dgm:pt modelId="{F688D664-C88D-4074-BBF6-B787A8B42FA3}" type="sibTrans" cxnId="{F0E13329-1F9E-42FD-B75D-98B90FCD03D2}">
      <dgm:prSet/>
      <dgm:spPr/>
      <dgm:t>
        <a:bodyPr/>
        <a:lstStyle/>
        <a:p>
          <a:endParaRPr lang="es-ES">
            <a:latin typeface="Arial" panose="020B0604020202020204" pitchFamily="34" charset="0"/>
            <a:cs typeface="Arial" panose="020B0604020202020204" pitchFamily="34" charset="0"/>
          </a:endParaRPr>
        </a:p>
      </dgm:t>
    </dgm:pt>
    <dgm:pt modelId="{EE5C0AF2-7759-4830-93BE-833C5C4BA0AD}">
      <dgm:prSet/>
      <dgm:spPr/>
      <dgm:t>
        <a:bodyPr/>
        <a:lstStyle/>
        <a:p>
          <a:r>
            <a:rPr lang="es-CO" b="1">
              <a:latin typeface="Arial" panose="020B0604020202020204" pitchFamily="34" charset="0"/>
              <a:cs typeface="Arial" panose="020B0604020202020204" pitchFamily="34" charset="0"/>
            </a:rPr>
            <a:t>Eventos no previstos: </a:t>
          </a:r>
          <a:r>
            <a:rPr lang="es-CO">
              <a:latin typeface="Arial" panose="020B0604020202020204" pitchFamily="34" charset="0"/>
              <a:cs typeface="Arial" panose="020B0604020202020204" pitchFamily="34" charset="0"/>
            </a:rPr>
            <a:t>situaciones que alteren las condiciones bajo las cuales se realizaron las proyecciones iniciales.</a:t>
          </a:r>
          <a:endParaRPr lang="en-US">
            <a:latin typeface="Arial" panose="020B0604020202020204" pitchFamily="34" charset="0"/>
            <a:cs typeface="Arial" panose="020B0604020202020204" pitchFamily="34" charset="0"/>
          </a:endParaRPr>
        </a:p>
      </dgm:t>
    </dgm:pt>
    <dgm:pt modelId="{96F918DB-EC1A-4C0A-AD08-06FCB3298C17}" type="parTrans" cxnId="{AB722E51-FDC1-48A6-ADCC-B0AC27465467}">
      <dgm:prSet/>
      <dgm:spPr/>
      <dgm:t>
        <a:bodyPr/>
        <a:lstStyle/>
        <a:p>
          <a:endParaRPr lang="es-ES">
            <a:latin typeface="Arial" panose="020B0604020202020204" pitchFamily="34" charset="0"/>
            <a:cs typeface="Arial" panose="020B0604020202020204" pitchFamily="34" charset="0"/>
          </a:endParaRPr>
        </a:p>
      </dgm:t>
    </dgm:pt>
    <dgm:pt modelId="{16EAE328-18B6-4BC0-A0E2-258D63B4CE5F}" type="sibTrans" cxnId="{AB722E51-FDC1-48A6-ADCC-B0AC27465467}">
      <dgm:prSet/>
      <dgm:spPr/>
      <dgm:t>
        <a:bodyPr/>
        <a:lstStyle/>
        <a:p>
          <a:endParaRPr lang="es-ES">
            <a:latin typeface="Arial" panose="020B0604020202020204" pitchFamily="34" charset="0"/>
            <a:cs typeface="Arial" panose="020B0604020202020204" pitchFamily="34" charset="0"/>
          </a:endParaRPr>
        </a:p>
      </dgm:t>
    </dgm:pt>
    <dgm:pt modelId="{1B488E80-5EAC-4EFF-A569-95DD6DF05E54}" type="pres">
      <dgm:prSet presAssocID="{C98FB0BD-8CCA-491B-88C6-D67B51964DA4}" presName="Name0" presStyleCnt="0">
        <dgm:presLayoutVars>
          <dgm:dir/>
          <dgm:resizeHandles val="exact"/>
        </dgm:presLayoutVars>
      </dgm:prSet>
      <dgm:spPr/>
      <dgm:t>
        <a:bodyPr/>
        <a:lstStyle/>
        <a:p>
          <a:endParaRPr lang="es-ES"/>
        </a:p>
      </dgm:t>
    </dgm:pt>
    <dgm:pt modelId="{A6E965F9-D060-4B59-BFE1-28F5C3108BD0}" type="pres">
      <dgm:prSet presAssocID="{041A1E46-562A-4D8D-A7C2-F6A080CB48D9}" presName="compNode" presStyleCnt="0"/>
      <dgm:spPr/>
    </dgm:pt>
    <dgm:pt modelId="{4D8BA6E7-2D7B-473C-8425-E4ADA0D66339}" type="pres">
      <dgm:prSet presAssocID="{041A1E46-562A-4D8D-A7C2-F6A080CB48D9}" presName="pictRect" presStyleLbl="node1" presStyleIdx="0" presStyleCnt="6"/>
      <dgm:spPr>
        <a:blipFill rotWithShape="1">
          <a:blip xmlns:r="http://schemas.openxmlformats.org/officeDocument/2006/relationships" r:embed="rId1"/>
          <a:stretch>
            <a:fillRect/>
          </a:stretch>
        </a:blipFill>
      </dgm:spPr>
    </dgm:pt>
    <dgm:pt modelId="{2A95D99C-068F-4BB0-BC7D-088D6C48D104}" type="pres">
      <dgm:prSet presAssocID="{041A1E46-562A-4D8D-A7C2-F6A080CB48D9}" presName="textRect" presStyleLbl="revTx" presStyleIdx="0" presStyleCnt="6">
        <dgm:presLayoutVars>
          <dgm:bulletEnabled val="1"/>
        </dgm:presLayoutVars>
      </dgm:prSet>
      <dgm:spPr/>
      <dgm:t>
        <a:bodyPr/>
        <a:lstStyle/>
        <a:p>
          <a:endParaRPr lang="es-ES"/>
        </a:p>
      </dgm:t>
    </dgm:pt>
    <dgm:pt modelId="{71D9C384-97AF-4953-ACB0-9434A62F0F13}" type="pres">
      <dgm:prSet presAssocID="{56873322-08F3-49D6-8679-B95DB556C914}" presName="sibTrans" presStyleLbl="sibTrans2D1" presStyleIdx="0" presStyleCnt="0"/>
      <dgm:spPr/>
      <dgm:t>
        <a:bodyPr/>
        <a:lstStyle/>
        <a:p>
          <a:endParaRPr lang="es-ES"/>
        </a:p>
      </dgm:t>
    </dgm:pt>
    <dgm:pt modelId="{3DAC4623-6C0D-437F-8995-BC948046110B}" type="pres">
      <dgm:prSet presAssocID="{9110C340-5BA5-4BCF-860D-E09C549B4260}" presName="compNode" presStyleCnt="0"/>
      <dgm:spPr/>
    </dgm:pt>
    <dgm:pt modelId="{DD34BC4B-CED4-4EA4-875C-3BF321E79F2E}" type="pres">
      <dgm:prSet presAssocID="{9110C340-5BA5-4BCF-860D-E09C549B4260}" presName="pictRect" presStyleLbl="node1" presStyleIdx="1" presStyleCnt="6"/>
      <dgm:spPr>
        <a:blipFill rotWithShape="1">
          <a:blip xmlns:r="http://schemas.openxmlformats.org/officeDocument/2006/relationships" r:embed="rId2"/>
          <a:stretch>
            <a:fillRect/>
          </a:stretch>
        </a:blipFill>
      </dgm:spPr>
    </dgm:pt>
    <dgm:pt modelId="{89CD91CD-0162-4CF9-9EE8-928C414E9E2A}" type="pres">
      <dgm:prSet presAssocID="{9110C340-5BA5-4BCF-860D-E09C549B4260}" presName="textRect" presStyleLbl="revTx" presStyleIdx="1" presStyleCnt="6">
        <dgm:presLayoutVars>
          <dgm:bulletEnabled val="1"/>
        </dgm:presLayoutVars>
      </dgm:prSet>
      <dgm:spPr/>
      <dgm:t>
        <a:bodyPr/>
        <a:lstStyle/>
        <a:p>
          <a:endParaRPr lang="es-ES"/>
        </a:p>
      </dgm:t>
    </dgm:pt>
    <dgm:pt modelId="{8DF5CBA0-B6CA-40CC-81A2-866A8D34B0F9}" type="pres">
      <dgm:prSet presAssocID="{386121B2-226D-4867-B066-B02554F21C50}" presName="sibTrans" presStyleLbl="sibTrans2D1" presStyleIdx="0" presStyleCnt="0"/>
      <dgm:spPr/>
      <dgm:t>
        <a:bodyPr/>
        <a:lstStyle/>
        <a:p>
          <a:endParaRPr lang="es-ES"/>
        </a:p>
      </dgm:t>
    </dgm:pt>
    <dgm:pt modelId="{4FAB2D31-6433-45BB-8220-301428AE9369}" type="pres">
      <dgm:prSet presAssocID="{CF5D3EF5-BDEE-4828-A2E7-2F8D11432A13}" presName="compNode" presStyleCnt="0"/>
      <dgm:spPr/>
    </dgm:pt>
    <dgm:pt modelId="{468FB51F-502F-4E0C-86AF-F7618361698E}" type="pres">
      <dgm:prSet presAssocID="{CF5D3EF5-BDEE-4828-A2E7-2F8D11432A13}" presName="pictRect" presStyleLbl="node1" presStyleIdx="2" presStyleCnt="6"/>
      <dgm:spPr>
        <a:blipFill rotWithShape="1">
          <a:blip xmlns:r="http://schemas.openxmlformats.org/officeDocument/2006/relationships" r:embed="rId3"/>
          <a:stretch>
            <a:fillRect/>
          </a:stretch>
        </a:blipFill>
      </dgm:spPr>
    </dgm:pt>
    <dgm:pt modelId="{AFD8E98D-BA3D-4B7F-8F37-3E8B2F686D60}" type="pres">
      <dgm:prSet presAssocID="{CF5D3EF5-BDEE-4828-A2E7-2F8D11432A13}" presName="textRect" presStyleLbl="revTx" presStyleIdx="2" presStyleCnt="6">
        <dgm:presLayoutVars>
          <dgm:bulletEnabled val="1"/>
        </dgm:presLayoutVars>
      </dgm:prSet>
      <dgm:spPr/>
      <dgm:t>
        <a:bodyPr/>
        <a:lstStyle/>
        <a:p>
          <a:endParaRPr lang="es-ES"/>
        </a:p>
      </dgm:t>
    </dgm:pt>
    <dgm:pt modelId="{E565E3F5-C04B-4E44-921B-8CABED610156}" type="pres">
      <dgm:prSet presAssocID="{56025344-6D47-4BD6-A32E-B66ADA960C58}" presName="sibTrans" presStyleLbl="sibTrans2D1" presStyleIdx="0" presStyleCnt="0"/>
      <dgm:spPr/>
      <dgm:t>
        <a:bodyPr/>
        <a:lstStyle/>
        <a:p>
          <a:endParaRPr lang="es-ES"/>
        </a:p>
      </dgm:t>
    </dgm:pt>
    <dgm:pt modelId="{45D76F02-775B-4AFF-8E02-F2B27FFE46CF}" type="pres">
      <dgm:prSet presAssocID="{3BBE33DA-89B9-4BA9-BC1C-1AF41B9AEC1D}" presName="compNode" presStyleCnt="0"/>
      <dgm:spPr/>
    </dgm:pt>
    <dgm:pt modelId="{EFB8B6B9-84CF-42A0-AB9F-D59F5D64ED7C}" type="pres">
      <dgm:prSet presAssocID="{3BBE33DA-89B9-4BA9-BC1C-1AF41B9AEC1D}" presName="pictRect" presStyleLbl="node1" presStyleIdx="3" presStyleCnt="6"/>
      <dgm:spPr>
        <a:blipFill rotWithShape="1">
          <a:blip xmlns:r="http://schemas.openxmlformats.org/officeDocument/2006/relationships" r:embed="rId4"/>
          <a:stretch>
            <a:fillRect/>
          </a:stretch>
        </a:blipFill>
      </dgm:spPr>
    </dgm:pt>
    <dgm:pt modelId="{FF248393-C764-40A7-855A-4A34F337EAA2}" type="pres">
      <dgm:prSet presAssocID="{3BBE33DA-89B9-4BA9-BC1C-1AF41B9AEC1D}" presName="textRect" presStyleLbl="revTx" presStyleIdx="3" presStyleCnt="6">
        <dgm:presLayoutVars>
          <dgm:bulletEnabled val="1"/>
        </dgm:presLayoutVars>
      </dgm:prSet>
      <dgm:spPr/>
      <dgm:t>
        <a:bodyPr/>
        <a:lstStyle/>
        <a:p>
          <a:endParaRPr lang="es-ES"/>
        </a:p>
      </dgm:t>
    </dgm:pt>
    <dgm:pt modelId="{31F395CC-AD1C-4AA2-A89B-D42C86FA2AA3}" type="pres">
      <dgm:prSet presAssocID="{D19CEB22-6E30-4C09-8001-2404B65449B0}" presName="sibTrans" presStyleLbl="sibTrans2D1" presStyleIdx="0" presStyleCnt="0"/>
      <dgm:spPr/>
      <dgm:t>
        <a:bodyPr/>
        <a:lstStyle/>
        <a:p>
          <a:endParaRPr lang="es-ES"/>
        </a:p>
      </dgm:t>
    </dgm:pt>
    <dgm:pt modelId="{32C4E159-78DD-445C-9526-5D3C8BAD098F}" type="pres">
      <dgm:prSet presAssocID="{5353B38F-0FC7-41DB-A501-CB932527B2C4}" presName="compNode" presStyleCnt="0"/>
      <dgm:spPr/>
    </dgm:pt>
    <dgm:pt modelId="{3738445E-A20D-440D-A216-CB52B2DA387E}" type="pres">
      <dgm:prSet presAssocID="{5353B38F-0FC7-41DB-A501-CB932527B2C4}" presName="pictRect" presStyleLbl="node1" presStyleIdx="4" presStyleCnt="6"/>
      <dgm:spPr>
        <a:blipFill rotWithShape="1">
          <a:blip xmlns:r="http://schemas.openxmlformats.org/officeDocument/2006/relationships" r:embed="rId5"/>
          <a:stretch>
            <a:fillRect/>
          </a:stretch>
        </a:blipFill>
      </dgm:spPr>
    </dgm:pt>
    <dgm:pt modelId="{BBB1C279-D0D7-40F4-B48F-EA39B34EBC95}" type="pres">
      <dgm:prSet presAssocID="{5353B38F-0FC7-41DB-A501-CB932527B2C4}" presName="textRect" presStyleLbl="revTx" presStyleIdx="4" presStyleCnt="6">
        <dgm:presLayoutVars>
          <dgm:bulletEnabled val="1"/>
        </dgm:presLayoutVars>
      </dgm:prSet>
      <dgm:spPr/>
      <dgm:t>
        <a:bodyPr/>
        <a:lstStyle/>
        <a:p>
          <a:endParaRPr lang="es-ES"/>
        </a:p>
      </dgm:t>
    </dgm:pt>
    <dgm:pt modelId="{96D67E4A-796B-4300-953C-764123ACAA3A}" type="pres">
      <dgm:prSet presAssocID="{F688D664-C88D-4074-BBF6-B787A8B42FA3}" presName="sibTrans" presStyleLbl="sibTrans2D1" presStyleIdx="0" presStyleCnt="0"/>
      <dgm:spPr/>
      <dgm:t>
        <a:bodyPr/>
        <a:lstStyle/>
        <a:p>
          <a:endParaRPr lang="es-ES"/>
        </a:p>
      </dgm:t>
    </dgm:pt>
    <dgm:pt modelId="{179694C4-BDB6-446A-9CBF-6A15A79386AD}" type="pres">
      <dgm:prSet presAssocID="{EE5C0AF2-7759-4830-93BE-833C5C4BA0AD}" presName="compNode" presStyleCnt="0"/>
      <dgm:spPr/>
    </dgm:pt>
    <dgm:pt modelId="{7AF72A86-6D60-43E0-8A0B-E2C662CBD01B}" type="pres">
      <dgm:prSet presAssocID="{EE5C0AF2-7759-4830-93BE-833C5C4BA0AD}" presName="pictRect" presStyleLbl="node1" presStyleIdx="5" presStyleCnt="6"/>
      <dgm:spPr>
        <a:blipFill rotWithShape="1">
          <a:blip xmlns:r="http://schemas.openxmlformats.org/officeDocument/2006/relationships" r:embed="rId6"/>
          <a:stretch>
            <a:fillRect/>
          </a:stretch>
        </a:blipFill>
      </dgm:spPr>
    </dgm:pt>
    <dgm:pt modelId="{E62A5B2E-6B2F-416C-BFC5-DF64D38F7FBA}" type="pres">
      <dgm:prSet presAssocID="{EE5C0AF2-7759-4830-93BE-833C5C4BA0AD}" presName="textRect" presStyleLbl="revTx" presStyleIdx="5" presStyleCnt="6">
        <dgm:presLayoutVars>
          <dgm:bulletEnabled val="1"/>
        </dgm:presLayoutVars>
      </dgm:prSet>
      <dgm:spPr/>
      <dgm:t>
        <a:bodyPr/>
        <a:lstStyle/>
        <a:p>
          <a:endParaRPr lang="es-ES"/>
        </a:p>
      </dgm:t>
    </dgm:pt>
  </dgm:ptLst>
  <dgm:cxnLst>
    <dgm:cxn modelId="{81F33174-90DF-4558-997B-44F0C903ABAE}" type="presOf" srcId="{D19CEB22-6E30-4C09-8001-2404B65449B0}" destId="{31F395CC-AD1C-4AA2-A89B-D42C86FA2AA3}" srcOrd="0" destOrd="0" presId="urn:microsoft.com/office/officeart/2005/8/layout/pList1"/>
    <dgm:cxn modelId="{28DDC660-0982-4534-A535-E12FB3A55FFC}" type="presOf" srcId="{EE5C0AF2-7759-4830-93BE-833C5C4BA0AD}" destId="{E62A5B2E-6B2F-416C-BFC5-DF64D38F7FBA}" srcOrd="0" destOrd="0" presId="urn:microsoft.com/office/officeart/2005/8/layout/pList1"/>
    <dgm:cxn modelId="{8BBCA306-C3E9-4C66-8AED-D5A5DDFB8AAF}" srcId="{C98FB0BD-8CCA-491B-88C6-D67B51964DA4}" destId="{CF5D3EF5-BDEE-4828-A2E7-2F8D11432A13}" srcOrd="2" destOrd="0" parTransId="{C54F5888-048C-419F-AA01-ACDFDD1DAB0E}" sibTransId="{56025344-6D47-4BD6-A32E-B66ADA960C58}"/>
    <dgm:cxn modelId="{CF514E79-335B-43B3-960D-394D99579E12}" srcId="{C98FB0BD-8CCA-491B-88C6-D67B51964DA4}" destId="{9110C340-5BA5-4BCF-860D-E09C549B4260}" srcOrd="1" destOrd="0" parTransId="{6853C8C3-FEE6-4E96-A3A3-1BF8F09C788D}" sibTransId="{386121B2-226D-4867-B066-B02554F21C50}"/>
    <dgm:cxn modelId="{EE671FBC-B4E1-48E4-83F2-879EFCE1B51A}" type="presOf" srcId="{386121B2-226D-4867-B066-B02554F21C50}" destId="{8DF5CBA0-B6CA-40CC-81A2-866A8D34B0F9}" srcOrd="0" destOrd="0" presId="urn:microsoft.com/office/officeart/2005/8/layout/pList1"/>
    <dgm:cxn modelId="{CFDBCE01-5616-4A25-9992-A94CEE65BECF}" type="presOf" srcId="{041A1E46-562A-4D8D-A7C2-F6A080CB48D9}" destId="{2A95D99C-068F-4BB0-BC7D-088D6C48D104}" srcOrd="0" destOrd="0" presId="urn:microsoft.com/office/officeart/2005/8/layout/pList1"/>
    <dgm:cxn modelId="{4FCA6905-F41B-44CC-8587-107EB8FB7ECE}" type="presOf" srcId="{3BBE33DA-89B9-4BA9-BC1C-1AF41B9AEC1D}" destId="{FF248393-C764-40A7-855A-4A34F337EAA2}" srcOrd="0" destOrd="0" presId="urn:microsoft.com/office/officeart/2005/8/layout/pList1"/>
    <dgm:cxn modelId="{AB722E51-FDC1-48A6-ADCC-B0AC27465467}" srcId="{C98FB0BD-8CCA-491B-88C6-D67B51964DA4}" destId="{EE5C0AF2-7759-4830-93BE-833C5C4BA0AD}" srcOrd="5" destOrd="0" parTransId="{96F918DB-EC1A-4C0A-AD08-06FCB3298C17}" sibTransId="{16EAE328-18B6-4BC0-A0E2-258D63B4CE5F}"/>
    <dgm:cxn modelId="{F650B084-E92D-4AC1-9FAE-A11A486C5CD3}" type="presOf" srcId="{56025344-6D47-4BD6-A32E-B66ADA960C58}" destId="{E565E3F5-C04B-4E44-921B-8CABED610156}" srcOrd="0" destOrd="0" presId="urn:microsoft.com/office/officeart/2005/8/layout/pList1"/>
    <dgm:cxn modelId="{FF4AD2AD-3868-42DA-BE8B-771E1B95B690}" srcId="{C98FB0BD-8CCA-491B-88C6-D67B51964DA4}" destId="{041A1E46-562A-4D8D-A7C2-F6A080CB48D9}" srcOrd="0" destOrd="0" parTransId="{509F85C8-D0A8-44CB-B024-FD745107C8A2}" sibTransId="{56873322-08F3-49D6-8679-B95DB556C914}"/>
    <dgm:cxn modelId="{1AF10C1E-505A-49E3-AD1F-1D7BC8B1CEE9}" type="presOf" srcId="{C98FB0BD-8CCA-491B-88C6-D67B51964DA4}" destId="{1B488E80-5EAC-4EFF-A569-95DD6DF05E54}" srcOrd="0" destOrd="0" presId="urn:microsoft.com/office/officeart/2005/8/layout/pList1"/>
    <dgm:cxn modelId="{5C973AC2-E14A-4175-80C2-79A176A27833}" type="presOf" srcId="{9110C340-5BA5-4BCF-860D-E09C549B4260}" destId="{89CD91CD-0162-4CF9-9EE8-928C414E9E2A}" srcOrd="0" destOrd="0" presId="urn:microsoft.com/office/officeart/2005/8/layout/pList1"/>
    <dgm:cxn modelId="{80D54D8F-9539-4CE5-AB2E-0070428DF0A1}" srcId="{C98FB0BD-8CCA-491B-88C6-D67B51964DA4}" destId="{3BBE33DA-89B9-4BA9-BC1C-1AF41B9AEC1D}" srcOrd="3" destOrd="0" parTransId="{4D651C5F-149E-4368-BA92-86E277C2DD81}" sibTransId="{D19CEB22-6E30-4C09-8001-2404B65449B0}"/>
    <dgm:cxn modelId="{3F435183-D723-4422-B94D-BC004BBC9A8C}" type="presOf" srcId="{56873322-08F3-49D6-8679-B95DB556C914}" destId="{71D9C384-97AF-4953-ACB0-9434A62F0F13}" srcOrd="0" destOrd="0" presId="urn:microsoft.com/office/officeart/2005/8/layout/pList1"/>
    <dgm:cxn modelId="{F0E13329-1F9E-42FD-B75D-98B90FCD03D2}" srcId="{C98FB0BD-8CCA-491B-88C6-D67B51964DA4}" destId="{5353B38F-0FC7-41DB-A501-CB932527B2C4}" srcOrd="4" destOrd="0" parTransId="{BB2D8308-6D7A-4D71-9AF0-F10E7C02C9C6}" sibTransId="{F688D664-C88D-4074-BBF6-B787A8B42FA3}"/>
    <dgm:cxn modelId="{C8BD6E72-C995-439C-AC6A-A9BFB383FBC4}" type="presOf" srcId="{5353B38F-0FC7-41DB-A501-CB932527B2C4}" destId="{BBB1C279-D0D7-40F4-B48F-EA39B34EBC95}" srcOrd="0" destOrd="0" presId="urn:microsoft.com/office/officeart/2005/8/layout/pList1"/>
    <dgm:cxn modelId="{D68E14C0-70CD-4757-85A2-25B93EF4331A}" type="presOf" srcId="{F688D664-C88D-4074-BBF6-B787A8B42FA3}" destId="{96D67E4A-796B-4300-953C-764123ACAA3A}" srcOrd="0" destOrd="0" presId="urn:microsoft.com/office/officeart/2005/8/layout/pList1"/>
    <dgm:cxn modelId="{119349D1-F866-4261-8707-6366FC4F3B7E}" type="presOf" srcId="{CF5D3EF5-BDEE-4828-A2E7-2F8D11432A13}" destId="{AFD8E98D-BA3D-4B7F-8F37-3E8B2F686D60}" srcOrd="0" destOrd="0" presId="urn:microsoft.com/office/officeart/2005/8/layout/pList1"/>
    <dgm:cxn modelId="{0A426F6B-8D9E-4276-B753-31CBE5D46190}" type="presParOf" srcId="{1B488E80-5EAC-4EFF-A569-95DD6DF05E54}" destId="{A6E965F9-D060-4B59-BFE1-28F5C3108BD0}" srcOrd="0" destOrd="0" presId="urn:microsoft.com/office/officeart/2005/8/layout/pList1"/>
    <dgm:cxn modelId="{7EC77E51-8066-4636-B3B5-8CE807144CA6}" type="presParOf" srcId="{A6E965F9-D060-4B59-BFE1-28F5C3108BD0}" destId="{4D8BA6E7-2D7B-473C-8425-E4ADA0D66339}" srcOrd="0" destOrd="0" presId="urn:microsoft.com/office/officeart/2005/8/layout/pList1"/>
    <dgm:cxn modelId="{267C8CBE-3F2B-4AE8-A26F-FB89587206B7}" type="presParOf" srcId="{A6E965F9-D060-4B59-BFE1-28F5C3108BD0}" destId="{2A95D99C-068F-4BB0-BC7D-088D6C48D104}" srcOrd="1" destOrd="0" presId="urn:microsoft.com/office/officeart/2005/8/layout/pList1"/>
    <dgm:cxn modelId="{DFBB93C5-527D-44F2-9D56-33E470D66742}" type="presParOf" srcId="{1B488E80-5EAC-4EFF-A569-95DD6DF05E54}" destId="{71D9C384-97AF-4953-ACB0-9434A62F0F13}" srcOrd="1" destOrd="0" presId="urn:microsoft.com/office/officeart/2005/8/layout/pList1"/>
    <dgm:cxn modelId="{365AB699-170C-4228-9E28-E52B7CA0F1D0}" type="presParOf" srcId="{1B488E80-5EAC-4EFF-A569-95DD6DF05E54}" destId="{3DAC4623-6C0D-437F-8995-BC948046110B}" srcOrd="2" destOrd="0" presId="urn:microsoft.com/office/officeart/2005/8/layout/pList1"/>
    <dgm:cxn modelId="{C8363BAA-9FA5-410A-8E79-59A37ECCA391}" type="presParOf" srcId="{3DAC4623-6C0D-437F-8995-BC948046110B}" destId="{DD34BC4B-CED4-4EA4-875C-3BF321E79F2E}" srcOrd="0" destOrd="0" presId="urn:microsoft.com/office/officeart/2005/8/layout/pList1"/>
    <dgm:cxn modelId="{99F13308-83BD-439C-B9C0-F084D7BBA109}" type="presParOf" srcId="{3DAC4623-6C0D-437F-8995-BC948046110B}" destId="{89CD91CD-0162-4CF9-9EE8-928C414E9E2A}" srcOrd="1" destOrd="0" presId="urn:microsoft.com/office/officeart/2005/8/layout/pList1"/>
    <dgm:cxn modelId="{5B46A1BA-2D6A-4C12-AA11-2C93CC6C516B}" type="presParOf" srcId="{1B488E80-5EAC-4EFF-A569-95DD6DF05E54}" destId="{8DF5CBA0-B6CA-40CC-81A2-866A8D34B0F9}" srcOrd="3" destOrd="0" presId="urn:microsoft.com/office/officeart/2005/8/layout/pList1"/>
    <dgm:cxn modelId="{44270C26-2C31-429C-BE8B-C31283F081C1}" type="presParOf" srcId="{1B488E80-5EAC-4EFF-A569-95DD6DF05E54}" destId="{4FAB2D31-6433-45BB-8220-301428AE9369}" srcOrd="4" destOrd="0" presId="urn:microsoft.com/office/officeart/2005/8/layout/pList1"/>
    <dgm:cxn modelId="{D6C8BA13-C8F2-4CCA-89C3-7FBE23CFE04D}" type="presParOf" srcId="{4FAB2D31-6433-45BB-8220-301428AE9369}" destId="{468FB51F-502F-4E0C-86AF-F7618361698E}" srcOrd="0" destOrd="0" presId="urn:microsoft.com/office/officeart/2005/8/layout/pList1"/>
    <dgm:cxn modelId="{7BCD8E64-1629-47B8-B676-D4094BA7BCF3}" type="presParOf" srcId="{4FAB2D31-6433-45BB-8220-301428AE9369}" destId="{AFD8E98D-BA3D-4B7F-8F37-3E8B2F686D60}" srcOrd="1" destOrd="0" presId="urn:microsoft.com/office/officeart/2005/8/layout/pList1"/>
    <dgm:cxn modelId="{41661ACD-CDF3-4B7D-808C-B3FA553F382F}" type="presParOf" srcId="{1B488E80-5EAC-4EFF-A569-95DD6DF05E54}" destId="{E565E3F5-C04B-4E44-921B-8CABED610156}" srcOrd="5" destOrd="0" presId="urn:microsoft.com/office/officeart/2005/8/layout/pList1"/>
    <dgm:cxn modelId="{1E421600-4B29-4E78-BFF6-939625C27DE4}" type="presParOf" srcId="{1B488E80-5EAC-4EFF-A569-95DD6DF05E54}" destId="{45D76F02-775B-4AFF-8E02-F2B27FFE46CF}" srcOrd="6" destOrd="0" presId="urn:microsoft.com/office/officeart/2005/8/layout/pList1"/>
    <dgm:cxn modelId="{928707A5-BE50-450D-9C3A-015B3341A53D}" type="presParOf" srcId="{45D76F02-775B-4AFF-8E02-F2B27FFE46CF}" destId="{EFB8B6B9-84CF-42A0-AB9F-D59F5D64ED7C}" srcOrd="0" destOrd="0" presId="urn:microsoft.com/office/officeart/2005/8/layout/pList1"/>
    <dgm:cxn modelId="{15AC2D15-F160-40B6-BB20-7B0A419A8BC9}" type="presParOf" srcId="{45D76F02-775B-4AFF-8E02-F2B27FFE46CF}" destId="{FF248393-C764-40A7-855A-4A34F337EAA2}" srcOrd="1" destOrd="0" presId="urn:microsoft.com/office/officeart/2005/8/layout/pList1"/>
    <dgm:cxn modelId="{6919E18E-9A84-4AA7-BDCE-D6E21F5501F6}" type="presParOf" srcId="{1B488E80-5EAC-4EFF-A569-95DD6DF05E54}" destId="{31F395CC-AD1C-4AA2-A89B-D42C86FA2AA3}" srcOrd="7" destOrd="0" presId="urn:microsoft.com/office/officeart/2005/8/layout/pList1"/>
    <dgm:cxn modelId="{DED959A0-85C3-4896-9DC7-E150D86E74D2}" type="presParOf" srcId="{1B488E80-5EAC-4EFF-A569-95DD6DF05E54}" destId="{32C4E159-78DD-445C-9526-5D3C8BAD098F}" srcOrd="8" destOrd="0" presId="urn:microsoft.com/office/officeart/2005/8/layout/pList1"/>
    <dgm:cxn modelId="{C8ECDF2F-F902-4161-8E8F-6404B3DDBD3D}" type="presParOf" srcId="{32C4E159-78DD-445C-9526-5D3C8BAD098F}" destId="{3738445E-A20D-440D-A216-CB52B2DA387E}" srcOrd="0" destOrd="0" presId="urn:microsoft.com/office/officeart/2005/8/layout/pList1"/>
    <dgm:cxn modelId="{049CB13C-BF0E-42AA-B678-165A45FB3DE7}" type="presParOf" srcId="{32C4E159-78DD-445C-9526-5D3C8BAD098F}" destId="{BBB1C279-D0D7-40F4-B48F-EA39B34EBC95}" srcOrd="1" destOrd="0" presId="urn:microsoft.com/office/officeart/2005/8/layout/pList1"/>
    <dgm:cxn modelId="{1D317C16-2747-4C32-9C31-72BFC4D7EE1D}" type="presParOf" srcId="{1B488E80-5EAC-4EFF-A569-95DD6DF05E54}" destId="{96D67E4A-796B-4300-953C-764123ACAA3A}" srcOrd="9" destOrd="0" presId="urn:microsoft.com/office/officeart/2005/8/layout/pList1"/>
    <dgm:cxn modelId="{719EB3C5-D3DD-411C-AD42-C40AA45372BD}" type="presParOf" srcId="{1B488E80-5EAC-4EFF-A569-95DD6DF05E54}" destId="{179694C4-BDB6-446A-9CBF-6A15A79386AD}" srcOrd="10" destOrd="0" presId="urn:microsoft.com/office/officeart/2005/8/layout/pList1"/>
    <dgm:cxn modelId="{8556E36D-F225-4541-A4AA-65142E07F15B}" type="presParOf" srcId="{179694C4-BDB6-446A-9CBF-6A15A79386AD}" destId="{7AF72A86-6D60-43E0-8A0B-E2C662CBD01B}" srcOrd="0" destOrd="0" presId="urn:microsoft.com/office/officeart/2005/8/layout/pList1"/>
    <dgm:cxn modelId="{33278A81-685B-469F-A4E2-20D189943785}" type="presParOf" srcId="{179694C4-BDB6-446A-9CBF-6A15A79386AD}" destId="{E62A5B2E-6B2F-416C-BFC5-DF64D38F7FBA}" srcOrd="1" destOrd="0" presId="urn:microsoft.com/office/officeart/2005/8/layout/pList1"/>
  </dgm:cxnLst>
  <dgm:bg/>
  <dgm:whole/>
  <dgm:extLst>
    <a:ext uri="http://schemas.microsoft.com/office/drawing/2008/diagram">
      <dsp:dataModelExt xmlns:dsp="http://schemas.microsoft.com/office/drawing/2008/diagram" relId="rId53" minVer="http://schemas.openxmlformats.org/drawingml/2006/diagram"/>
    </a:ext>
  </dgm:extLst>
</dgm:dataModel>
</file>

<file path=word/diagrams/data9.xml><?xml version="1.0" encoding="utf-8"?>
<dgm:dataModel xmlns:dgm="http://schemas.openxmlformats.org/drawingml/2006/diagram" xmlns:a="http://schemas.openxmlformats.org/drawingml/2006/main">
  <dgm:ptLst>
    <dgm:pt modelId="{0D3EDD17-753C-487A-B406-2CC49A7837D1}" type="doc">
      <dgm:prSet loTypeId="urn:microsoft.com/office/officeart/2008/layout/PictureStrips" loCatId="picture" qsTypeId="urn:microsoft.com/office/officeart/2005/8/quickstyle/simple1" qsCatId="simple" csTypeId="urn:microsoft.com/office/officeart/2005/8/colors/accent1_2" csCatId="accent1" phldr="1"/>
      <dgm:spPr/>
      <dgm:t>
        <a:bodyPr/>
        <a:lstStyle/>
        <a:p>
          <a:endParaRPr lang="es-ES"/>
        </a:p>
      </dgm:t>
    </dgm:pt>
    <dgm:pt modelId="{4F83760F-8B69-497D-B4A3-D223C772A6FB}">
      <dgm:prSet/>
      <dgm:spPr/>
      <dgm:t>
        <a:bodyPr/>
        <a:lstStyle/>
        <a:p>
          <a:r>
            <a:rPr lang="es-CO" b="1">
              <a:latin typeface="Arial" panose="020B0604020202020204" pitchFamily="34" charset="0"/>
              <a:cs typeface="Arial" panose="020B0604020202020204" pitchFamily="34" charset="0"/>
            </a:rPr>
            <a:t>Hallazgo:</a:t>
          </a:r>
          <a:r>
            <a:rPr lang="es-CO">
              <a:latin typeface="Arial" panose="020B0604020202020204" pitchFamily="34" charset="0"/>
              <a:cs typeface="Arial" panose="020B0604020202020204" pitchFamily="34" charset="0"/>
            </a:rPr>
            <a:t> situación identificada que requiere intervención.</a:t>
          </a:r>
          <a:endParaRPr lang="en-US">
            <a:latin typeface="Arial" panose="020B0604020202020204" pitchFamily="34" charset="0"/>
            <a:cs typeface="Arial" panose="020B0604020202020204" pitchFamily="34" charset="0"/>
          </a:endParaRPr>
        </a:p>
      </dgm:t>
    </dgm:pt>
    <dgm:pt modelId="{AC749EDF-50E5-47E3-93EE-70FBC4F16074}" type="parTrans" cxnId="{55CBB65E-F95A-4A83-80EE-4D50307EB43C}">
      <dgm:prSet/>
      <dgm:spPr/>
      <dgm:t>
        <a:bodyPr/>
        <a:lstStyle/>
        <a:p>
          <a:endParaRPr lang="es-ES">
            <a:latin typeface="Arial" panose="020B0604020202020204" pitchFamily="34" charset="0"/>
            <a:cs typeface="Arial" panose="020B0604020202020204" pitchFamily="34" charset="0"/>
          </a:endParaRPr>
        </a:p>
      </dgm:t>
    </dgm:pt>
    <dgm:pt modelId="{8C286442-5D01-4A23-9C6A-2538E9ACDCB3}" type="sibTrans" cxnId="{55CBB65E-F95A-4A83-80EE-4D50307EB43C}">
      <dgm:prSet/>
      <dgm:spPr/>
      <dgm:t>
        <a:bodyPr/>
        <a:lstStyle/>
        <a:p>
          <a:endParaRPr lang="es-ES">
            <a:latin typeface="Arial" panose="020B0604020202020204" pitchFamily="34" charset="0"/>
            <a:cs typeface="Arial" panose="020B0604020202020204" pitchFamily="34" charset="0"/>
          </a:endParaRPr>
        </a:p>
      </dgm:t>
    </dgm:pt>
    <dgm:pt modelId="{683BCAFB-4713-4EAF-ABEC-58FB3695705B}">
      <dgm:prSet/>
      <dgm:spPr/>
      <dgm:t>
        <a:bodyPr/>
        <a:lstStyle/>
        <a:p>
          <a:r>
            <a:rPr lang="es-CO" b="1">
              <a:latin typeface="Arial" panose="020B0604020202020204" pitchFamily="34" charset="0"/>
              <a:cs typeface="Arial" panose="020B0604020202020204" pitchFamily="34" charset="0"/>
            </a:rPr>
            <a:t>Acción:</a:t>
          </a:r>
          <a:r>
            <a:rPr lang="es-CO">
              <a:latin typeface="Arial" panose="020B0604020202020204" pitchFamily="34" charset="0"/>
              <a:cs typeface="Arial" panose="020B0604020202020204" pitchFamily="34" charset="0"/>
            </a:rPr>
            <a:t> actividad que se realizará para atender el hallazgo.</a:t>
          </a:r>
          <a:endParaRPr lang="en-US">
            <a:latin typeface="Arial" panose="020B0604020202020204" pitchFamily="34" charset="0"/>
            <a:cs typeface="Arial" panose="020B0604020202020204" pitchFamily="34" charset="0"/>
          </a:endParaRPr>
        </a:p>
      </dgm:t>
    </dgm:pt>
    <dgm:pt modelId="{0F5FF1C9-0F4A-44CB-95D1-E97948EE0C0E}" type="parTrans" cxnId="{E855BA63-EB07-44F6-9E87-3EC06DCF7270}">
      <dgm:prSet/>
      <dgm:spPr/>
      <dgm:t>
        <a:bodyPr/>
        <a:lstStyle/>
        <a:p>
          <a:endParaRPr lang="es-ES">
            <a:latin typeface="Arial" panose="020B0604020202020204" pitchFamily="34" charset="0"/>
            <a:cs typeface="Arial" panose="020B0604020202020204" pitchFamily="34" charset="0"/>
          </a:endParaRPr>
        </a:p>
      </dgm:t>
    </dgm:pt>
    <dgm:pt modelId="{B3F131B4-0A37-4B9A-9CF6-A87EEBECFFFF}" type="sibTrans" cxnId="{E855BA63-EB07-44F6-9E87-3EC06DCF7270}">
      <dgm:prSet/>
      <dgm:spPr/>
      <dgm:t>
        <a:bodyPr/>
        <a:lstStyle/>
        <a:p>
          <a:endParaRPr lang="es-ES">
            <a:latin typeface="Arial" panose="020B0604020202020204" pitchFamily="34" charset="0"/>
            <a:cs typeface="Arial" panose="020B0604020202020204" pitchFamily="34" charset="0"/>
          </a:endParaRPr>
        </a:p>
      </dgm:t>
    </dgm:pt>
    <dgm:pt modelId="{6632F7B6-2EFC-47D0-B0CE-0067ABD57634}">
      <dgm:prSet/>
      <dgm:spPr/>
      <dgm:t>
        <a:bodyPr/>
        <a:lstStyle/>
        <a:p>
          <a:r>
            <a:rPr lang="es-CO" b="1">
              <a:latin typeface="Arial" panose="020B0604020202020204" pitchFamily="34" charset="0"/>
              <a:cs typeface="Arial" panose="020B0604020202020204" pitchFamily="34" charset="0"/>
            </a:rPr>
            <a:t>Responsable:</a:t>
          </a:r>
          <a:r>
            <a:rPr lang="es-CO">
              <a:latin typeface="Arial" panose="020B0604020202020204" pitchFamily="34" charset="0"/>
              <a:cs typeface="Arial" panose="020B0604020202020204" pitchFamily="34" charset="0"/>
            </a:rPr>
            <a:t> persona o área encargada de ejecutar la acción.</a:t>
          </a:r>
          <a:endParaRPr lang="en-US">
            <a:latin typeface="Arial" panose="020B0604020202020204" pitchFamily="34" charset="0"/>
            <a:cs typeface="Arial" panose="020B0604020202020204" pitchFamily="34" charset="0"/>
          </a:endParaRPr>
        </a:p>
      </dgm:t>
    </dgm:pt>
    <dgm:pt modelId="{71F53443-C4F4-44BC-A2CC-77900487FFE4}" type="parTrans" cxnId="{61B46204-54A9-44EB-98A2-EF4B66F36051}">
      <dgm:prSet/>
      <dgm:spPr/>
      <dgm:t>
        <a:bodyPr/>
        <a:lstStyle/>
        <a:p>
          <a:endParaRPr lang="es-ES">
            <a:latin typeface="Arial" panose="020B0604020202020204" pitchFamily="34" charset="0"/>
            <a:cs typeface="Arial" panose="020B0604020202020204" pitchFamily="34" charset="0"/>
          </a:endParaRPr>
        </a:p>
      </dgm:t>
    </dgm:pt>
    <dgm:pt modelId="{CABE776B-11E4-4798-B9F2-D770C41583E7}" type="sibTrans" cxnId="{61B46204-54A9-44EB-98A2-EF4B66F36051}">
      <dgm:prSet/>
      <dgm:spPr/>
      <dgm:t>
        <a:bodyPr/>
        <a:lstStyle/>
        <a:p>
          <a:endParaRPr lang="es-ES">
            <a:latin typeface="Arial" panose="020B0604020202020204" pitchFamily="34" charset="0"/>
            <a:cs typeface="Arial" panose="020B0604020202020204" pitchFamily="34" charset="0"/>
          </a:endParaRPr>
        </a:p>
      </dgm:t>
    </dgm:pt>
    <dgm:pt modelId="{5AA462AF-796A-4F97-872F-5A7FD8DC04E8}">
      <dgm:prSet/>
      <dgm:spPr/>
      <dgm:t>
        <a:bodyPr/>
        <a:lstStyle/>
        <a:p>
          <a:r>
            <a:rPr lang="es-CO" b="1">
              <a:latin typeface="Arial" panose="020B0604020202020204" pitchFamily="34" charset="0"/>
              <a:cs typeface="Arial" panose="020B0604020202020204" pitchFamily="34" charset="0"/>
            </a:rPr>
            <a:t>Plazo:</a:t>
          </a:r>
          <a:r>
            <a:rPr lang="es-CO">
              <a:latin typeface="Arial" panose="020B0604020202020204" pitchFamily="34" charset="0"/>
              <a:cs typeface="Arial" panose="020B0604020202020204" pitchFamily="34" charset="0"/>
            </a:rPr>
            <a:t> fecha o periodo establecido para su cumplimiento.</a:t>
          </a:r>
          <a:endParaRPr lang="en-US">
            <a:latin typeface="Arial" panose="020B0604020202020204" pitchFamily="34" charset="0"/>
            <a:cs typeface="Arial" panose="020B0604020202020204" pitchFamily="34" charset="0"/>
          </a:endParaRPr>
        </a:p>
      </dgm:t>
    </dgm:pt>
    <dgm:pt modelId="{B6CF9C08-89D1-4EDD-ADC7-AD210B435125}" type="parTrans" cxnId="{2DD057FB-77A7-4F66-9706-51B9D03FF876}">
      <dgm:prSet/>
      <dgm:spPr/>
      <dgm:t>
        <a:bodyPr/>
        <a:lstStyle/>
        <a:p>
          <a:endParaRPr lang="es-ES">
            <a:latin typeface="Arial" panose="020B0604020202020204" pitchFamily="34" charset="0"/>
            <a:cs typeface="Arial" panose="020B0604020202020204" pitchFamily="34" charset="0"/>
          </a:endParaRPr>
        </a:p>
      </dgm:t>
    </dgm:pt>
    <dgm:pt modelId="{13D0AEFD-7EF1-415E-A64A-0BE9572AC67E}" type="sibTrans" cxnId="{2DD057FB-77A7-4F66-9706-51B9D03FF876}">
      <dgm:prSet/>
      <dgm:spPr/>
      <dgm:t>
        <a:bodyPr/>
        <a:lstStyle/>
        <a:p>
          <a:endParaRPr lang="es-ES">
            <a:latin typeface="Arial" panose="020B0604020202020204" pitchFamily="34" charset="0"/>
            <a:cs typeface="Arial" panose="020B0604020202020204" pitchFamily="34" charset="0"/>
          </a:endParaRPr>
        </a:p>
      </dgm:t>
    </dgm:pt>
    <dgm:pt modelId="{A37D8DAF-D648-48D6-9BFF-B019C2D89F6A}">
      <dgm:prSet/>
      <dgm:spPr/>
      <dgm:t>
        <a:bodyPr/>
        <a:lstStyle/>
        <a:p>
          <a:r>
            <a:rPr lang="es-CO" b="1">
              <a:latin typeface="Arial" panose="020B0604020202020204" pitchFamily="34" charset="0"/>
              <a:cs typeface="Arial" panose="020B0604020202020204" pitchFamily="34" charset="0"/>
            </a:rPr>
            <a:t>Resultado esperado:</a:t>
          </a:r>
          <a:r>
            <a:rPr lang="es-CO">
              <a:latin typeface="Arial" panose="020B0604020202020204" pitchFamily="34" charset="0"/>
              <a:cs typeface="Arial" panose="020B0604020202020204" pitchFamily="34" charset="0"/>
            </a:rPr>
            <a:t> condición que se espera alcanzar con la acción.</a:t>
          </a:r>
          <a:endParaRPr lang="en-US">
            <a:latin typeface="Arial" panose="020B0604020202020204" pitchFamily="34" charset="0"/>
            <a:cs typeface="Arial" panose="020B0604020202020204" pitchFamily="34" charset="0"/>
          </a:endParaRPr>
        </a:p>
      </dgm:t>
    </dgm:pt>
    <dgm:pt modelId="{FC65C2F8-1006-4B3B-B9C6-C9A375FBD683}" type="parTrans" cxnId="{ABCF8B54-D050-407C-9C0C-07AA54CB7EFE}">
      <dgm:prSet/>
      <dgm:spPr/>
      <dgm:t>
        <a:bodyPr/>
        <a:lstStyle/>
        <a:p>
          <a:endParaRPr lang="es-ES">
            <a:latin typeface="Arial" panose="020B0604020202020204" pitchFamily="34" charset="0"/>
            <a:cs typeface="Arial" panose="020B0604020202020204" pitchFamily="34" charset="0"/>
          </a:endParaRPr>
        </a:p>
      </dgm:t>
    </dgm:pt>
    <dgm:pt modelId="{4371AF7D-557B-4CF4-8EC3-BAD394673A24}" type="sibTrans" cxnId="{ABCF8B54-D050-407C-9C0C-07AA54CB7EFE}">
      <dgm:prSet/>
      <dgm:spPr/>
      <dgm:t>
        <a:bodyPr/>
        <a:lstStyle/>
        <a:p>
          <a:endParaRPr lang="es-ES">
            <a:latin typeface="Arial" panose="020B0604020202020204" pitchFamily="34" charset="0"/>
            <a:cs typeface="Arial" panose="020B0604020202020204" pitchFamily="34" charset="0"/>
          </a:endParaRPr>
        </a:p>
      </dgm:t>
    </dgm:pt>
    <dgm:pt modelId="{E54866FD-82F1-4A44-8C97-9F61EBD1D823}">
      <dgm:prSet/>
      <dgm:spPr/>
      <dgm:t>
        <a:bodyPr/>
        <a:lstStyle/>
        <a:p>
          <a:r>
            <a:rPr lang="es-CO" b="1">
              <a:latin typeface="Arial" panose="020B0604020202020204" pitchFamily="34" charset="0"/>
              <a:cs typeface="Arial" panose="020B0604020202020204" pitchFamily="34" charset="0"/>
            </a:rPr>
            <a:t>Seguimiento:</a:t>
          </a:r>
          <a:r>
            <a:rPr lang="es-CO">
              <a:latin typeface="Arial" panose="020B0604020202020204" pitchFamily="34" charset="0"/>
              <a:cs typeface="Arial" panose="020B0604020202020204" pitchFamily="34" charset="0"/>
            </a:rPr>
            <a:t> mecanismo utilizado para comprobar su cumplimiento y efectividad.</a:t>
          </a:r>
          <a:endParaRPr lang="en-US">
            <a:latin typeface="Arial" panose="020B0604020202020204" pitchFamily="34" charset="0"/>
            <a:cs typeface="Arial" panose="020B0604020202020204" pitchFamily="34" charset="0"/>
          </a:endParaRPr>
        </a:p>
      </dgm:t>
    </dgm:pt>
    <dgm:pt modelId="{968398E1-FF03-49F7-B287-FB7CEC0E5DFA}" type="parTrans" cxnId="{5F934175-C1A1-4511-B1F5-45ED66CD97F3}">
      <dgm:prSet/>
      <dgm:spPr/>
      <dgm:t>
        <a:bodyPr/>
        <a:lstStyle/>
        <a:p>
          <a:endParaRPr lang="es-ES">
            <a:latin typeface="Arial" panose="020B0604020202020204" pitchFamily="34" charset="0"/>
            <a:cs typeface="Arial" panose="020B0604020202020204" pitchFamily="34" charset="0"/>
          </a:endParaRPr>
        </a:p>
      </dgm:t>
    </dgm:pt>
    <dgm:pt modelId="{596F9649-48B7-4C4E-9AED-53E61D556F4C}" type="sibTrans" cxnId="{5F934175-C1A1-4511-B1F5-45ED66CD97F3}">
      <dgm:prSet/>
      <dgm:spPr/>
      <dgm:t>
        <a:bodyPr/>
        <a:lstStyle/>
        <a:p>
          <a:endParaRPr lang="es-ES">
            <a:latin typeface="Arial" panose="020B0604020202020204" pitchFamily="34" charset="0"/>
            <a:cs typeface="Arial" panose="020B0604020202020204" pitchFamily="34" charset="0"/>
          </a:endParaRPr>
        </a:p>
      </dgm:t>
    </dgm:pt>
    <dgm:pt modelId="{44FAD7D8-850A-4E61-A5E6-4A92DAF79160}" type="pres">
      <dgm:prSet presAssocID="{0D3EDD17-753C-487A-B406-2CC49A7837D1}" presName="Name0" presStyleCnt="0">
        <dgm:presLayoutVars>
          <dgm:dir/>
          <dgm:resizeHandles val="exact"/>
        </dgm:presLayoutVars>
      </dgm:prSet>
      <dgm:spPr/>
      <dgm:t>
        <a:bodyPr/>
        <a:lstStyle/>
        <a:p>
          <a:endParaRPr lang="es-ES"/>
        </a:p>
      </dgm:t>
    </dgm:pt>
    <dgm:pt modelId="{6BF090CD-36E6-4501-8BB7-5398989016D2}" type="pres">
      <dgm:prSet presAssocID="{4F83760F-8B69-497D-B4A3-D223C772A6FB}" presName="composite" presStyleCnt="0"/>
      <dgm:spPr/>
    </dgm:pt>
    <dgm:pt modelId="{17ED0113-1DC1-4E09-B6AA-0D17D295DCDB}" type="pres">
      <dgm:prSet presAssocID="{4F83760F-8B69-497D-B4A3-D223C772A6FB}" presName="rect1" presStyleLbl="trAlignAcc1" presStyleIdx="0" presStyleCnt="6">
        <dgm:presLayoutVars>
          <dgm:bulletEnabled val="1"/>
        </dgm:presLayoutVars>
      </dgm:prSet>
      <dgm:spPr/>
      <dgm:t>
        <a:bodyPr/>
        <a:lstStyle/>
        <a:p>
          <a:endParaRPr lang="es-ES"/>
        </a:p>
      </dgm:t>
    </dgm:pt>
    <dgm:pt modelId="{436BB2DC-5DC5-471C-8756-EC89894462CF}" type="pres">
      <dgm:prSet presAssocID="{4F83760F-8B69-497D-B4A3-D223C772A6FB}" presName="rect2" presStyleLbl="fgImgPlace1" presStyleIdx="0" presStyleCnt="6"/>
      <dgm:spPr>
        <a:blipFill rotWithShape="1">
          <a:blip xmlns:r="http://schemas.openxmlformats.org/officeDocument/2006/relationships" r:embed="rId1"/>
          <a:stretch>
            <a:fillRect/>
          </a:stretch>
        </a:blipFill>
      </dgm:spPr>
    </dgm:pt>
    <dgm:pt modelId="{88163943-BAB3-4376-B1D4-B4AF66E9A2B0}" type="pres">
      <dgm:prSet presAssocID="{8C286442-5D01-4A23-9C6A-2538E9ACDCB3}" presName="sibTrans" presStyleCnt="0"/>
      <dgm:spPr/>
    </dgm:pt>
    <dgm:pt modelId="{D6FAF047-65E7-4535-A08E-D19C576DE5CD}" type="pres">
      <dgm:prSet presAssocID="{683BCAFB-4713-4EAF-ABEC-58FB3695705B}" presName="composite" presStyleCnt="0"/>
      <dgm:spPr/>
    </dgm:pt>
    <dgm:pt modelId="{2E57B876-B401-4F92-8B79-536BBE1D04C6}" type="pres">
      <dgm:prSet presAssocID="{683BCAFB-4713-4EAF-ABEC-58FB3695705B}" presName="rect1" presStyleLbl="trAlignAcc1" presStyleIdx="1" presStyleCnt="6">
        <dgm:presLayoutVars>
          <dgm:bulletEnabled val="1"/>
        </dgm:presLayoutVars>
      </dgm:prSet>
      <dgm:spPr/>
      <dgm:t>
        <a:bodyPr/>
        <a:lstStyle/>
        <a:p>
          <a:endParaRPr lang="es-ES"/>
        </a:p>
      </dgm:t>
    </dgm:pt>
    <dgm:pt modelId="{EE6F4DEC-711F-45BC-9299-511D071479F1}" type="pres">
      <dgm:prSet presAssocID="{683BCAFB-4713-4EAF-ABEC-58FB3695705B}" presName="rect2" presStyleLbl="fgImgPlace1" presStyleIdx="1" presStyleCnt="6"/>
      <dgm:spPr>
        <a:blipFill rotWithShape="1">
          <a:blip xmlns:r="http://schemas.openxmlformats.org/officeDocument/2006/relationships" r:embed="rId2"/>
          <a:stretch>
            <a:fillRect/>
          </a:stretch>
        </a:blipFill>
      </dgm:spPr>
    </dgm:pt>
    <dgm:pt modelId="{003C98B2-1E7D-4049-8232-52BF9071767C}" type="pres">
      <dgm:prSet presAssocID="{B3F131B4-0A37-4B9A-9CF6-A87EEBECFFFF}" presName="sibTrans" presStyleCnt="0"/>
      <dgm:spPr/>
    </dgm:pt>
    <dgm:pt modelId="{7A7AD25B-681F-4FA5-9DC6-B997D8DB4D01}" type="pres">
      <dgm:prSet presAssocID="{6632F7B6-2EFC-47D0-B0CE-0067ABD57634}" presName="composite" presStyleCnt="0"/>
      <dgm:spPr/>
    </dgm:pt>
    <dgm:pt modelId="{E69609D2-15B9-4570-A64D-A51BC65C1F89}" type="pres">
      <dgm:prSet presAssocID="{6632F7B6-2EFC-47D0-B0CE-0067ABD57634}" presName="rect1" presStyleLbl="trAlignAcc1" presStyleIdx="2" presStyleCnt="6">
        <dgm:presLayoutVars>
          <dgm:bulletEnabled val="1"/>
        </dgm:presLayoutVars>
      </dgm:prSet>
      <dgm:spPr/>
      <dgm:t>
        <a:bodyPr/>
        <a:lstStyle/>
        <a:p>
          <a:endParaRPr lang="es-ES"/>
        </a:p>
      </dgm:t>
    </dgm:pt>
    <dgm:pt modelId="{66682443-B7EF-4760-9D70-D4C5857ECB00}" type="pres">
      <dgm:prSet presAssocID="{6632F7B6-2EFC-47D0-B0CE-0067ABD57634}" presName="rect2" presStyleLbl="fgImgPlace1" presStyleIdx="2" presStyleCnt="6"/>
      <dgm:spPr>
        <a:blipFill rotWithShape="1">
          <a:blip xmlns:r="http://schemas.openxmlformats.org/officeDocument/2006/relationships" r:embed="rId3"/>
          <a:stretch>
            <a:fillRect/>
          </a:stretch>
        </a:blipFill>
      </dgm:spPr>
    </dgm:pt>
    <dgm:pt modelId="{875FC5CF-384B-4152-A43F-6F8C8F1BC96B}" type="pres">
      <dgm:prSet presAssocID="{CABE776B-11E4-4798-B9F2-D770C41583E7}" presName="sibTrans" presStyleCnt="0"/>
      <dgm:spPr/>
    </dgm:pt>
    <dgm:pt modelId="{6299F857-9513-4E6C-B358-5F6AEB6850AD}" type="pres">
      <dgm:prSet presAssocID="{5AA462AF-796A-4F97-872F-5A7FD8DC04E8}" presName="composite" presStyleCnt="0"/>
      <dgm:spPr/>
    </dgm:pt>
    <dgm:pt modelId="{AE0780D4-0AE1-4E42-A01A-EE1FF75019EF}" type="pres">
      <dgm:prSet presAssocID="{5AA462AF-796A-4F97-872F-5A7FD8DC04E8}" presName="rect1" presStyleLbl="trAlignAcc1" presStyleIdx="3" presStyleCnt="6">
        <dgm:presLayoutVars>
          <dgm:bulletEnabled val="1"/>
        </dgm:presLayoutVars>
      </dgm:prSet>
      <dgm:spPr/>
      <dgm:t>
        <a:bodyPr/>
        <a:lstStyle/>
        <a:p>
          <a:endParaRPr lang="es-ES"/>
        </a:p>
      </dgm:t>
    </dgm:pt>
    <dgm:pt modelId="{E9DB475D-CAC7-4CF1-B691-F83F9ACFE86F}" type="pres">
      <dgm:prSet presAssocID="{5AA462AF-796A-4F97-872F-5A7FD8DC04E8}" presName="rect2" presStyleLbl="fgImgPlace1" presStyleIdx="3" presStyleCnt="6"/>
      <dgm:spPr>
        <a:blipFill rotWithShape="1">
          <a:blip xmlns:r="http://schemas.openxmlformats.org/officeDocument/2006/relationships" r:embed="rId4"/>
          <a:stretch>
            <a:fillRect/>
          </a:stretch>
        </a:blipFill>
      </dgm:spPr>
    </dgm:pt>
    <dgm:pt modelId="{51FAEEB3-B25A-4151-BFFF-26739FEB1A40}" type="pres">
      <dgm:prSet presAssocID="{13D0AEFD-7EF1-415E-A64A-0BE9572AC67E}" presName="sibTrans" presStyleCnt="0"/>
      <dgm:spPr/>
    </dgm:pt>
    <dgm:pt modelId="{8086CE39-20FA-4DE8-9BC7-42F39267B564}" type="pres">
      <dgm:prSet presAssocID="{A37D8DAF-D648-48D6-9BFF-B019C2D89F6A}" presName="composite" presStyleCnt="0"/>
      <dgm:spPr/>
    </dgm:pt>
    <dgm:pt modelId="{D9323CBA-486A-4EA4-9D49-D073A8AC2220}" type="pres">
      <dgm:prSet presAssocID="{A37D8DAF-D648-48D6-9BFF-B019C2D89F6A}" presName="rect1" presStyleLbl="trAlignAcc1" presStyleIdx="4" presStyleCnt="6">
        <dgm:presLayoutVars>
          <dgm:bulletEnabled val="1"/>
        </dgm:presLayoutVars>
      </dgm:prSet>
      <dgm:spPr/>
      <dgm:t>
        <a:bodyPr/>
        <a:lstStyle/>
        <a:p>
          <a:endParaRPr lang="es-ES"/>
        </a:p>
      </dgm:t>
    </dgm:pt>
    <dgm:pt modelId="{973000E0-55FC-44D2-994D-D63124846F16}" type="pres">
      <dgm:prSet presAssocID="{A37D8DAF-D648-48D6-9BFF-B019C2D89F6A}" presName="rect2" presStyleLbl="fgImgPlace1" presStyleIdx="4" presStyleCnt="6"/>
      <dgm:spPr>
        <a:blipFill rotWithShape="1">
          <a:blip xmlns:r="http://schemas.openxmlformats.org/officeDocument/2006/relationships" r:embed="rId5"/>
          <a:stretch>
            <a:fillRect/>
          </a:stretch>
        </a:blipFill>
      </dgm:spPr>
    </dgm:pt>
    <dgm:pt modelId="{F4EF8971-69A5-4F91-B638-51DF8D0706F2}" type="pres">
      <dgm:prSet presAssocID="{4371AF7D-557B-4CF4-8EC3-BAD394673A24}" presName="sibTrans" presStyleCnt="0"/>
      <dgm:spPr/>
    </dgm:pt>
    <dgm:pt modelId="{24639A0F-CF34-42BB-B4F2-AC874F4D73D9}" type="pres">
      <dgm:prSet presAssocID="{E54866FD-82F1-4A44-8C97-9F61EBD1D823}" presName="composite" presStyleCnt="0"/>
      <dgm:spPr/>
    </dgm:pt>
    <dgm:pt modelId="{AE599379-528A-4F67-968F-A45101883CF9}" type="pres">
      <dgm:prSet presAssocID="{E54866FD-82F1-4A44-8C97-9F61EBD1D823}" presName="rect1" presStyleLbl="trAlignAcc1" presStyleIdx="5" presStyleCnt="6">
        <dgm:presLayoutVars>
          <dgm:bulletEnabled val="1"/>
        </dgm:presLayoutVars>
      </dgm:prSet>
      <dgm:spPr/>
      <dgm:t>
        <a:bodyPr/>
        <a:lstStyle/>
        <a:p>
          <a:endParaRPr lang="es-ES"/>
        </a:p>
      </dgm:t>
    </dgm:pt>
    <dgm:pt modelId="{563C5A36-B10A-4625-BFD0-B581209513A7}" type="pres">
      <dgm:prSet presAssocID="{E54866FD-82F1-4A44-8C97-9F61EBD1D823}" presName="rect2" presStyleLbl="fgImgPlace1" presStyleIdx="5" presStyleCnt="6"/>
      <dgm:spPr>
        <a:blipFill rotWithShape="1">
          <a:blip xmlns:r="http://schemas.openxmlformats.org/officeDocument/2006/relationships" r:embed="rId6"/>
          <a:stretch>
            <a:fillRect/>
          </a:stretch>
        </a:blipFill>
      </dgm:spPr>
    </dgm:pt>
  </dgm:ptLst>
  <dgm:cxnLst>
    <dgm:cxn modelId="{5E3C59D9-5637-44A2-BB7C-71BDF2491F4B}" type="presOf" srcId="{0D3EDD17-753C-487A-B406-2CC49A7837D1}" destId="{44FAD7D8-850A-4E61-A5E6-4A92DAF79160}" srcOrd="0" destOrd="0" presId="urn:microsoft.com/office/officeart/2008/layout/PictureStrips"/>
    <dgm:cxn modelId="{7156CC6F-F496-4771-BF5A-27D908624106}" type="presOf" srcId="{5AA462AF-796A-4F97-872F-5A7FD8DC04E8}" destId="{AE0780D4-0AE1-4E42-A01A-EE1FF75019EF}" srcOrd="0" destOrd="0" presId="urn:microsoft.com/office/officeart/2008/layout/PictureStrips"/>
    <dgm:cxn modelId="{61B46204-54A9-44EB-98A2-EF4B66F36051}" srcId="{0D3EDD17-753C-487A-B406-2CC49A7837D1}" destId="{6632F7B6-2EFC-47D0-B0CE-0067ABD57634}" srcOrd="2" destOrd="0" parTransId="{71F53443-C4F4-44BC-A2CC-77900487FFE4}" sibTransId="{CABE776B-11E4-4798-B9F2-D770C41583E7}"/>
    <dgm:cxn modelId="{9B55160E-0DDF-40D5-9056-321DEEF56617}" type="presOf" srcId="{4F83760F-8B69-497D-B4A3-D223C772A6FB}" destId="{17ED0113-1DC1-4E09-B6AA-0D17D295DCDB}" srcOrd="0" destOrd="0" presId="urn:microsoft.com/office/officeart/2008/layout/PictureStrips"/>
    <dgm:cxn modelId="{E855BA63-EB07-44F6-9E87-3EC06DCF7270}" srcId="{0D3EDD17-753C-487A-B406-2CC49A7837D1}" destId="{683BCAFB-4713-4EAF-ABEC-58FB3695705B}" srcOrd="1" destOrd="0" parTransId="{0F5FF1C9-0F4A-44CB-95D1-E97948EE0C0E}" sibTransId="{B3F131B4-0A37-4B9A-9CF6-A87EEBECFFFF}"/>
    <dgm:cxn modelId="{05562402-FF95-4E62-ADEC-5AB0D848A458}" type="presOf" srcId="{6632F7B6-2EFC-47D0-B0CE-0067ABD57634}" destId="{E69609D2-15B9-4570-A64D-A51BC65C1F89}" srcOrd="0" destOrd="0" presId="urn:microsoft.com/office/officeart/2008/layout/PictureStrips"/>
    <dgm:cxn modelId="{6B531DAF-1F31-48F8-A805-999A0373609A}" type="presOf" srcId="{683BCAFB-4713-4EAF-ABEC-58FB3695705B}" destId="{2E57B876-B401-4F92-8B79-536BBE1D04C6}" srcOrd="0" destOrd="0" presId="urn:microsoft.com/office/officeart/2008/layout/PictureStrips"/>
    <dgm:cxn modelId="{5F934175-C1A1-4511-B1F5-45ED66CD97F3}" srcId="{0D3EDD17-753C-487A-B406-2CC49A7837D1}" destId="{E54866FD-82F1-4A44-8C97-9F61EBD1D823}" srcOrd="5" destOrd="0" parTransId="{968398E1-FF03-49F7-B287-FB7CEC0E5DFA}" sibTransId="{596F9649-48B7-4C4E-9AED-53E61D556F4C}"/>
    <dgm:cxn modelId="{7A9E3282-9115-435F-9180-82AD8ECB012F}" type="presOf" srcId="{A37D8DAF-D648-48D6-9BFF-B019C2D89F6A}" destId="{D9323CBA-486A-4EA4-9D49-D073A8AC2220}" srcOrd="0" destOrd="0" presId="urn:microsoft.com/office/officeart/2008/layout/PictureStrips"/>
    <dgm:cxn modelId="{2DD057FB-77A7-4F66-9706-51B9D03FF876}" srcId="{0D3EDD17-753C-487A-B406-2CC49A7837D1}" destId="{5AA462AF-796A-4F97-872F-5A7FD8DC04E8}" srcOrd="3" destOrd="0" parTransId="{B6CF9C08-89D1-4EDD-ADC7-AD210B435125}" sibTransId="{13D0AEFD-7EF1-415E-A64A-0BE9572AC67E}"/>
    <dgm:cxn modelId="{55CBB65E-F95A-4A83-80EE-4D50307EB43C}" srcId="{0D3EDD17-753C-487A-B406-2CC49A7837D1}" destId="{4F83760F-8B69-497D-B4A3-D223C772A6FB}" srcOrd="0" destOrd="0" parTransId="{AC749EDF-50E5-47E3-93EE-70FBC4F16074}" sibTransId="{8C286442-5D01-4A23-9C6A-2538E9ACDCB3}"/>
    <dgm:cxn modelId="{531C14F3-2EB8-4B9E-A495-96F0224AEFCE}" type="presOf" srcId="{E54866FD-82F1-4A44-8C97-9F61EBD1D823}" destId="{AE599379-528A-4F67-968F-A45101883CF9}" srcOrd="0" destOrd="0" presId="urn:microsoft.com/office/officeart/2008/layout/PictureStrips"/>
    <dgm:cxn modelId="{ABCF8B54-D050-407C-9C0C-07AA54CB7EFE}" srcId="{0D3EDD17-753C-487A-B406-2CC49A7837D1}" destId="{A37D8DAF-D648-48D6-9BFF-B019C2D89F6A}" srcOrd="4" destOrd="0" parTransId="{FC65C2F8-1006-4B3B-B9C6-C9A375FBD683}" sibTransId="{4371AF7D-557B-4CF4-8EC3-BAD394673A24}"/>
    <dgm:cxn modelId="{8D8A9A74-31F4-421E-86EA-EB174EC519CF}" type="presParOf" srcId="{44FAD7D8-850A-4E61-A5E6-4A92DAF79160}" destId="{6BF090CD-36E6-4501-8BB7-5398989016D2}" srcOrd="0" destOrd="0" presId="urn:microsoft.com/office/officeart/2008/layout/PictureStrips"/>
    <dgm:cxn modelId="{A2E56476-8034-40CA-9DA5-549343339196}" type="presParOf" srcId="{6BF090CD-36E6-4501-8BB7-5398989016D2}" destId="{17ED0113-1DC1-4E09-B6AA-0D17D295DCDB}" srcOrd="0" destOrd="0" presId="urn:microsoft.com/office/officeart/2008/layout/PictureStrips"/>
    <dgm:cxn modelId="{95EA16CF-9931-4FF2-85AE-5E3BABE66170}" type="presParOf" srcId="{6BF090CD-36E6-4501-8BB7-5398989016D2}" destId="{436BB2DC-5DC5-471C-8756-EC89894462CF}" srcOrd="1" destOrd="0" presId="urn:microsoft.com/office/officeart/2008/layout/PictureStrips"/>
    <dgm:cxn modelId="{52D0713A-54A6-4183-BE5F-23072448147C}" type="presParOf" srcId="{44FAD7D8-850A-4E61-A5E6-4A92DAF79160}" destId="{88163943-BAB3-4376-B1D4-B4AF66E9A2B0}" srcOrd="1" destOrd="0" presId="urn:microsoft.com/office/officeart/2008/layout/PictureStrips"/>
    <dgm:cxn modelId="{9804F1A9-436D-4B48-A909-996066D1C608}" type="presParOf" srcId="{44FAD7D8-850A-4E61-A5E6-4A92DAF79160}" destId="{D6FAF047-65E7-4535-A08E-D19C576DE5CD}" srcOrd="2" destOrd="0" presId="urn:microsoft.com/office/officeart/2008/layout/PictureStrips"/>
    <dgm:cxn modelId="{A72EA7C8-9470-4D72-B1C1-990B2D4A9335}" type="presParOf" srcId="{D6FAF047-65E7-4535-A08E-D19C576DE5CD}" destId="{2E57B876-B401-4F92-8B79-536BBE1D04C6}" srcOrd="0" destOrd="0" presId="urn:microsoft.com/office/officeart/2008/layout/PictureStrips"/>
    <dgm:cxn modelId="{E6AB1F4C-1078-48B7-8D6F-3655F34EEA8A}" type="presParOf" srcId="{D6FAF047-65E7-4535-A08E-D19C576DE5CD}" destId="{EE6F4DEC-711F-45BC-9299-511D071479F1}" srcOrd="1" destOrd="0" presId="urn:microsoft.com/office/officeart/2008/layout/PictureStrips"/>
    <dgm:cxn modelId="{B0F399EE-7410-4D87-9C06-44C4271A4626}" type="presParOf" srcId="{44FAD7D8-850A-4E61-A5E6-4A92DAF79160}" destId="{003C98B2-1E7D-4049-8232-52BF9071767C}" srcOrd="3" destOrd="0" presId="urn:microsoft.com/office/officeart/2008/layout/PictureStrips"/>
    <dgm:cxn modelId="{ECD0F8BF-335C-4B11-8E59-FF4D696C9CDE}" type="presParOf" srcId="{44FAD7D8-850A-4E61-A5E6-4A92DAF79160}" destId="{7A7AD25B-681F-4FA5-9DC6-B997D8DB4D01}" srcOrd="4" destOrd="0" presId="urn:microsoft.com/office/officeart/2008/layout/PictureStrips"/>
    <dgm:cxn modelId="{7E17179C-5598-4FB3-9C37-2D21424DA865}" type="presParOf" srcId="{7A7AD25B-681F-4FA5-9DC6-B997D8DB4D01}" destId="{E69609D2-15B9-4570-A64D-A51BC65C1F89}" srcOrd="0" destOrd="0" presId="urn:microsoft.com/office/officeart/2008/layout/PictureStrips"/>
    <dgm:cxn modelId="{3894FC7E-2B9C-4BBA-9195-C22A29397FC1}" type="presParOf" srcId="{7A7AD25B-681F-4FA5-9DC6-B997D8DB4D01}" destId="{66682443-B7EF-4760-9D70-D4C5857ECB00}" srcOrd="1" destOrd="0" presId="urn:microsoft.com/office/officeart/2008/layout/PictureStrips"/>
    <dgm:cxn modelId="{51A52100-9F77-483C-9928-20346C8DCC48}" type="presParOf" srcId="{44FAD7D8-850A-4E61-A5E6-4A92DAF79160}" destId="{875FC5CF-384B-4152-A43F-6F8C8F1BC96B}" srcOrd="5" destOrd="0" presId="urn:microsoft.com/office/officeart/2008/layout/PictureStrips"/>
    <dgm:cxn modelId="{7921964C-26BB-4207-A5BD-B5C623A691C7}" type="presParOf" srcId="{44FAD7D8-850A-4E61-A5E6-4A92DAF79160}" destId="{6299F857-9513-4E6C-B358-5F6AEB6850AD}" srcOrd="6" destOrd="0" presId="urn:microsoft.com/office/officeart/2008/layout/PictureStrips"/>
    <dgm:cxn modelId="{7A81BA28-7E82-4EC6-892D-78F106A5C402}" type="presParOf" srcId="{6299F857-9513-4E6C-B358-5F6AEB6850AD}" destId="{AE0780D4-0AE1-4E42-A01A-EE1FF75019EF}" srcOrd="0" destOrd="0" presId="urn:microsoft.com/office/officeart/2008/layout/PictureStrips"/>
    <dgm:cxn modelId="{BF24796D-3401-4313-BDB1-C556CC41DB71}" type="presParOf" srcId="{6299F857-9513-4E6C-B358-5F6AEB6850AD}" destId="{E9DB475D-CAC7-4CF1-B691-F83F9ACFE86F}" srcOrd="1" destOrd="0" presId="urn:microsoft.com/office/officeart/2008/layout/PictureStrips"/>
    <dgm:cxn modelId="{4144ADD9-D853-464B-A996-F09B66A06F21}" type="presParOf" srcId="{44FAD7D8-850A-4E61-A5E6-4A92DAF79160}" destId="{51FAEEB3-B25A-4151-BFFF-26739FEB1A40}" srcOrd="7" destOrd="0" presId="urn:microsoft.com/office/officeart/2008/layout/PictureStrips"/>
    <dgm:cxn modelId="{4DF4115F-7E44-408E-AC8E-BC673073B7BA}" type="presParOf" srcId="{44FAD7D8-850A-4E61-A5E6-4A92DAF79160}" destId="{8086CE39-20FA-4DE8-9BC7-42F39267B564}" srcOrd="8" destOrd="0" presId="urn:microsoft.com/office/officeart/2008/layout/PictureStrips"/>
    <dgm:cxn modelId="{B9523C3C-D47C-4098-B851-036B83240A5F}" type="presParOf" srcId="{8086CE39-20FA-4DE8-9BC7-42F39267B564}" destId="{D9323CBA-486A-4EA4-9D49-D073A8AC2220}" srcOrd="0" destOrd="0" presId="urn:microsoft.com/office/officeart/2008/layout/PictureStrips"/>
    <dgm:cxn modelId="{5BCC0EA2-22C4-4C06-9257-52101080AE01}" type="presParOf" srcId="{8086CE39-20FA-4DE8-9BC7-42F39267B564}" destId="{973000E0-55FC-44D2-994D-D63124846F16}" srcOrd="1" destOrd="0" presId="urn:microsoft.com/office/officeart/2008/layout/PictureStrips"/>
    <dgm:cxn modelId="{E2EB977B-3B62-4C31-A9E7-BABD6365B135}" type="presParOf" srcId="{44FAD7D8-850A-4E61-A5E6-4A92DAF79160}" destId="{F4EF8971-69A5-4F91-B638-51DF8D0706F2}" srcOrd="9" destOrd="0" presId="urn:microsoft.com/office/officeart/2008/layout/PictureStrips"/>
    <dgm:cxn modelId="{F7EF6726-A3F9-4B88-9D5F-3A82D61FAD17}" type="presParOf" srcId="{44FAD7D8-850A-4E61-A5E6-4A92DAF79160}" destId="{24639A0F-CF34-42BB-B4F2-AC874F4D73D9}" srcOrd="10" destOrd="0" presId="urn:microsoft.com/office/officeart/2008/layout/PictureStrips"/>
    <dgm:cxn modelId="{0BFADA9E-4C44-499F-998E-96653DCDA42D}" type="presParOf" srcId="{24639A0F-CF34-42BB-B4F2-AC874F4D73D9}" destId="{AE599379-528A-4F67-968F-A45101883CF9}" srcOrd="0" destOrd="0" presId="urn:microsoft.com/office/officeart/2008/layout/PictureStrips"/>
    <dgm:cxn modelId="{C0A8FEEA-7ABA-4D15-BB35-9838E3A75DCA}" type="presParOf" srcId="{24639A0F-CF34-42BB-B4F2-AC874F4D73D9}" destId="{563C5A36-B10A-4625-BFD0-B581209513A7}" srcOrd="1" destOrd="0" presId="urn:microsoft.com/office/officeart/2008/layout/PictureStrips"/>
  </dgm:cxnLst>
  <dgm:bg/>
  <dgm:whole/>
  <dgm:extLst>
    <a:ext uri="http://schemas.microsoft.com/office/drawing/2008/diagram">
      <dsp:dataModelExt xmlns:dsp="http://schemas.microsoft.com/office/drawing/2008/diagram" relId="rId58" minVer="http://schemas.openxmlformats.org/drawingml/2006/diagram"/>
    </a:ext>
  </dgm:extLst>
</dgm:dataModel>
</file>

<file path=word/diagrams/drawing1.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909BB5B6-740B-483D-A3B9-3A7AA0F46E97}">
      <dsp:nvSpPr>
        <dsp:cNvPr id="0" name=""/>
        <dsp:cNvSpPr/>
      </dsp:nvSpPr>
      <dsp:spPr>
        <a:xfrm>
          <a:off x="480059" y="0"/>
          <a:ext cx="5440680" cy="1647190"/>
        </a:xfrm>
        <a:prstGeom prst="rightArrow">
          <a:avLst/>
        </a:prstGeom>
        <a:solidFill>
          <a:schemeClr val="accent1">
            <a:tint val="40000"/>
            <a:hueOff val="0"/>
            <a:satOff val="0"/>
            <a:lumOff val="0"/>
            <a:alphaOff val="0"/>
          </a:schemeClr>
        </a:solidFill>
        <a:ln>
          <a:noFill/>
        </a:ln>
        <a:effectLst/>
      </dsp:spPr>
      <dsp:style>
        <a:lnRef idx="0">
          <a:scrgbClr r="0" g="0" b="0"/>
        </a:lnRef>
        <a:fillRef idx="1">
          <a:scrgbClr r="0" g="0" b="0"/>
        </a:fillRef>
        <a:effectRef idx="0">
          <a:scrgbClr r="0" g="0" b="0"/>
        </a:effectRef>
        <a:fontRef idx="minor"/>
      </dsp:style>
    </dsp:sp>
    <dsp:sp modelId="{E5194A48-C9B7-4F10-B16F-B284B7066215}">
      <dsp:nvSpPr>
        <dsp:cNvPr id="0" name=""/>
        <dsp:cNvSpPr/>
      </dsp:nvSpPr>
      <dsp:spPr>
        <a:xfrm>
          <a:off x="546" y="494157"/>
          <a:ext cx="876672" cy="658876"/>
        </a:xfrm>
        <a:prstGeom prst="roundRect">
          <a:avLst/>
        </a:prstGeom>
        <a:solidFill>
          <a:schemeClr val="accent1">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38100" tIns="38100" rIns="38100" bIns="38100" numCol="1" spcCol="1270" anchor="ctr" anchorCtr="0">
          <a:noAutofit/>
        </a:bodyPr>
        <a:lstStyle/>
        <a:p>
          <a:pPr lvl="0" algn="ctr" defTabSz="444500">
            <a:lnSpc>
              <a:spcPct val="90000"/>
            </a:lnSpc>
            <a:spcBef>
              <a:spcPct val="0"/>
            </a:spcBef>
            <a:spcAft>
              <a:spcPct val="35000"/>
            </a:spcAft>
          </a:pPr>
          <a:r>
            <a:rPr lang="es-CO" sz="1000" kern="1200">
              <a:latin typeface="Arial" panose="020B0604020202020204" pitchFamily="34" charset="0"/>
              <a:cs typeface="Arial" panose="020B0604020202020204" pitchFamily="34" charset="0"/>
            </a:rPr>
            <a:t>Población objeto</a:t>
          </a:r>
          <a:endParaRPr lang="es-ES" sz="1000" kern="1200">
            <a:latin typeface="Arial" panose="020B0604020202020204" pitchFamily="34" charset="0"/>
            <a:cs typeface="Arial" panose="020B0604020202020204" pitchFamily="34" charset="0"/>
          </a:endParaRPr>
        </a:p>
      </dsp:txBody>
      <dsp:txXfrm>
        <a:off x="32710" y="526321"/>
        <a:ext cx="812344" cy="594548"/>
      </dsp:txXfrm>
    </dsp:sp>
    <dsp:sp modelId="{1507F910-BA56-4FEE-9361-E615EF6A1CEA}">
      <dsp:nvSpPr>
        <dsp:cNvPr id="0" name=""/>
        <dsp:cNvSpPr/>
      </dsp:nvSpPr>
      <dsp:spPr>
        <a:xfrm>
          <a:off x="921052" y="494157"/>
          <a:ext cx="876672" cy="658876"/>
        </a:xfrm>
        <a:prstGeom prst="roundRect">
          <a:avLst/>
        </a:prstGeom>
        <a:solidFill>
          <a:schemeClr val="accent1">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38100" tIns="38100" rIns="38100" bIns="38100" numCol="1" spcCol="1270" anchor="ctr" anchorCtr="0">
          <a:noAutofit/>
        </a:bodyPr>
        <a:lstStyle/>
        <a:p>
          <a:pPr lvl="0" algn="ctr" defTabSz="444500">
            <a:lnSpc>
              <a:spcPct val="90000"/>
            </a:lnSpc>
            <a:spcBef>
              <a:spcPct val="0"/>
            </a:spcBef>
            <a:spcAft>
              <a:spcPct val="35000"/>
            </a:spcAft>
          </a:pPr>
          <a:r>
            <a:rPr lang="es-CO" sz="1000" kern="1200">
              <a:latin typeface="Arial" panose="020B0604020202020204" pitchFamily="34" charset="0"/>
              <a:cs typeface="Arial" panose="020B0604020202020204" pitchFamily="34" charset="0"/>
            </a:rPr>
            <a:t>Servicios y tecnologías</a:t>
          </a:r>
          <a:endParaRPr lang="en-US" sz="1000" kern="1200">
            <a:latin typeface="Arial" panose="020B0604020202020204" pitchFamily="34" charset="0"/>
            <a:cs typeface="Arial" panose="020B0604020202020204" pitchFamily="34" charset="0"/>
          </a:endParaRPr>
        </a:p>
      </dsp:txBody>
      <dsp:txXfrm>
        <a:off x="953216" y="526321"/>
        <a:ext cx="812344" cy="594548"/>
      </dsp:txXfrm>
    </dsp:sp>
    <dsp:sp modelId="{E9DFD5B7-D3E4-45F5-B95F-F338851CD1A5}">
      <dsp:nvSpPr>
        <dsp:cNvPr id="0" name=""/>
        <dsp:cNvSpPr/>
      </dsp:nvSpPr>
      <dsp:spPr>
        <a:xfrm>
          <a:off x="1841558" y="494157"/>
          <a:ext cx="876672" cy="658876"/>
        </a:xfrm>
        <a:prstGeom prst="roundRect">
          <a:avLst/>
        </a:prstGeom>
        <a:solidFill>
          <a:schemeClr val="accent1">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38100" tIns="38100" rIns="38100" bIns="38100" numCol="1" spcCol="1270" anchor="ctr" anchorCtr="0">
          <a:noAutofit/>
        </a:bodyPr>
        <a:lstStyle/>
        <a:p>
          <a:pPr lvl="0" algn="ctr" defTabSz="444500">
            <a:lnSpc>
              <a:spcPct val="90000"/>
            </a:lnSpc>
            <a:spcBef>
              <a:spcPct val="0"/>
            </a:spcBef>
            <a:spcAft>
              <a:spcPct val="35000"/>
            </a:spcAft>
          </a:pPr>
          <a:r>
            <a:rPr lang="es-CO" sz="1000" kern="1200">
              <a:latin typeface="Arial" panose="020B0604020202020204" pitchFamily="34" charset="0"/>
              <a:cs typeface="Arial" panose="020B0604020202020204" pitchFamily="34" charset="0"/>
            </a:rPr>
            <a:t>Frecuencia de uso</a:t>
          </a:r>
          <a:endParaRPr lang="en-US" sz="1000" kern="1200">
            <a:latin typeface="Arial" panose="020B0604020202020204" pitchFamily="34" charset="0"/>
            <a:cs typeface="Arial" panose="020B0604020202020204" pitchFamily="34" charset="0"/>
          </a:endParaRPr>
        </a:p>
      </dsp:txBody>
      <dsp:txXfrm>
        <a:off x="1873722" y="526321"/>
        <a:ext cx="812344" cy="594548"/>
      </dsp:txXfrm>
    </dsp:sp>
    <dsp:sp modelId="{974B3A72-F65B-4357-8915-81D41B628CD7}">
      <dsp:nvSpPr>
        <dsp:cNvPr id="0" name=""/>
        <dsp:cNvSpPr/>
      </dsp:nvSpPr>
      <dsp:spPr>
        <a:xfrm>
          <a:off x="2762063" y="494157"/>
          <a:ext cx="876672" cy="658876"/>
        </a:xfrm>
        <a:prstGeom prst="roundRect">
          <a:avLst/>
        </a:prstGeom>
        <a:solidFill>
          <a:schemeClr val="accent1">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38100" tIns="38100" rIns="38100" bIns="38100" numCol="1" spcCol="1270" anchor="ctr" anchorCtr="0">
          <a:noAutofit/>
        </a:bodyPr>
        <a:lstStyle/>
        <a:p>
          <a:pPr lvl="0" algn="ctr" defTabSz="444500">
            <a:lnSpc>
              <a:spcPct val="90000"/>
            </a:lnSpc>
            <a:spcBef>
              <a:spcPct val="0"/>
            </a:spcBef>
            <a:spcAft>
              <a:spcPct val="35000"/>
            </a:spcAft>
          </a:pPr>
          <a:r>
            <a:rPr lang="es-CO" sz="1000" kern="1200">
              <a:latin typeface="Arial" panose="020B0604020202020204" pitchFamily="34" charset="0"/>
              <a:cs typeface="Arial" panose="020B0604020202020204" pitchFamily="34" charset="0"/>
            </a:rPr>
            <a:t>Cantidad estimada</a:t>
          </a:r>
          <a:endParaRPr lang="en-US" sz="1000" kern="1200">
            <a:latin typeface="Arial" panose="020B0604020202020204" pitchFamily="34" charset="0"/>
            <a:cs typeface="Arial" panose="020B0604020202020204" pitchFamily="34" charset="0"/>
          </a:endParaRPr>
        </a:p>
      </dsp:txBody>
      <dsp:txXfrm>
        <a:off x="2794227" y="526321"/>
        <a:ext cx="812344" cy="594548"/>
      </dsp:txXfrm>
    </dsp:sp>
    <dsp:sp modelId="{AF6FE945-C829-45F0-BD83-C1D0D0857F4C}">
      <dsp:nvSpPr>
        <dsp:cNvPr id="0" name=""/>
        <dsp:cNvSpPr/>
      </dsp:nvSpPr>
      <dsp:spPr>
        <a:xfrm>
          <a:off x="3682569" y="494157"/>
          <a:ext cx="876672" cy="658876"/>
        </a:xfrm>
        <a:prstGeom prst="roundRect">
          <a:avLst/>
        </a:prstGeom>
        <a:solidFill>
          <a:schemeClr val="accent1">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38100" tIns="38100" rIns="38100" bIns="38100" numCol="1" spcCol="1270" anchor="ctr" anchorCtr="0">
          <a:noAutofit/>
        </a:bodyPr>
        <a:lstStyle/>
        <a:p>
          <a:pPr lvl="0" algn="ctr" defTabSz="444500">
            <a:lnSpc>
              <a:spcPct val="90000"/>
            </a:lnSpc>
            <a:spcBef>
              <a:spcPct val="0"/>
            </a:spcBef>
            <a:spcAft>
              <a:spcPct val="35000"/>
            </a:spcAft>
          </a:pPr>
          <a:r>
            <a:rPr lang="es-CO" sz="1000" kern="1200">
              <a:latin typeface="Arial" panose="020B0604020202020204" pitchFamily="34" charset="0"/>
              <a:cs typeface="Arial" panose="020B0604020202020204" pitchFamily="34" charset="0"/>
            </a:rPr>
            <a:t>Costos y tarifas</a:t>
          </a:r>
          <a:endParaRPr lang="en-US" sz="1000" kern="1200">
            <a:latin typeface="Arial" panose="020B0604020202020204" pitchFamily="34" charset="0"/>
            <a:cs typeface="Arial" panose="020B0604020202020204" pitchFamily="34" charset="0"/>
          </a:endParaRPr>
        </a:p>
      </dsp:txBody>
      <dsp:txXfrm>
        <a:off x="3714733" y="526321"/>
        <a:ext cx="812344" cy="594548"/>
      </dsp:txXfrm>
    </dsp:sp>
    <dsp:sp modelId="{F1A7B92D-3D67-47D2-9E2E-265726446B9A}">
      <dsp:nvSpPr>
        <dsp:cNvPr id="0" name=""/>
        <dsp:cNvSpPr/>
      </dsp:nvSpPr>
      <dsp:spPr>
        <a:xfrm>
          <a:off x="4603075" y="494157"/>
          <a:ext cx="876672" cy="658876"/>
        </a:xfrm>
        <a:prstGeom prst="roundRect">
          <a:avLst/>
        </a:prstGeom>
        <a:solidFill>
          <a:schemeClr val="accent1">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38100" tIns="38100" rIns="38100" bIns="38100" numCol="1" spcCol="1270" anchor="ctr" anchorCtr="0">
          <a:noAutofit/>
        </a:bodyPr>
        <a:lstStyle/>
        <a:p>
          <a:pPr lvl="0" algn="ctr" defTabSz="444500">
            <a:lnSpc>
              <a:spcPct val="90000"/>
            </a:lnSpc>
            <a:spcBef>
              <a:spcPct val="0"/>
            </a:spcBef>
            <a:spcAft>
              <a:spcPct val="35000"/>
            </a:spcAft>
          </a:pPr>
          <a:r>
            <a:rPr lang="es-CO" sz="1000" kern="1200">
              <a:latin typeface="Arial" panose="020B0604020202020204" pitchFamily="34" charset="0"/>
              <a:cs typeface="Arial" panose="020B0604020202020204" pitchFamily="34" charset="0"/>
            </a:rPr>
            <a:t>Valor proyectado</a:t>
          </a:r>
          <a:endParaRPr lang="en-US" sz="1000" kern="1200">
            <a:latin typeface="Arial" panose="020B0604020202020204" pitchFamily="34" charset="0"/>
            <a:cs typeface="Arial" panose="020B0604020202020204" pitchFamily="34" charset="0"/>
          </a:endParaRPr>
        </a:p>
      </dsp:txBody>
      <dsp:txXfrm>
        <a:off x="4635239" y="526321"/>
        <a:ext cx="812344" cy="594548"/>
      </dsp:txXfrm>
    </dsp:sp>
    <dsp:sp modelId="{E7E066F4-551B-4018-9618-25C14A2370D5}">
      <dsp:nvSpPr>
        <dsp:cNvPr id="0" name=""/>
        <dsp:cNvSpPr/>
      </dsp:nvSpPr>
      <dsp:spPr>
        <a:xfrm>
          <a:off x="5523580" y="494157"/>
          <a:ext cx="876672" cy="658876"/>
        </a:xfrm>
        <a:prstGeom prst="roundRect">
          <a:avLst/>
        </a:prstGeom>
        <a:solidFill>
          <a:schemeClr val="accent1">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38100" tIns="38100" rIns="38100" bIns="38100" numCol="1" spcCol="1270" anchor="ctr" anchorCtr="0">
          <a:noAutofit/>
        </a:bodyPr>
        <a:lstStyle/>
        <a:p>
          <a:pPr lvl="0" algn="ctr" defTabSz="444500">
            <a:lnSpc>
              <a:spcPct val="90000"/>
            </a:lnSpc>
            <a:spcBef>
              <a:spcPct val="0"/>
            </a:spcBef>
            <a:spcAft>
              <a:spcPct val="35000"/>
            </a:spcAft>
          </a:pPr>
          <a:r>
            <a:rPr lang="es-CO" sz="1000" kern="1200">
              <a:latin typeface="Arial" panose="020B0604020202020204" pitchFamily="34" charset="0"/>
              <a:cs typeface="Arial" panose="020B0604020202020204" pitchFamily="34" charset="0"/>
            </a:rPr>
            <a:t>Seguimiento y gestión del riesgo</a:t>
          </a:r>
          <a:endParaRPr lang="en-US" sz="1000" kern="1200">
            <a:latin typeface="Arial" panose="020B0604020202020204" pitchFamily="34" charset="0"/>
            <a:cs typeface="Arial" panose="020B0604020202020204" pitchFamily="34" charset="0"/>
          </a:endParaRPr>
        </a:p>
      </dsp:txBody>
      <dsp:txXfrm>
        <a:off x="5555744" y="526321"/>
        <a:ext cx="812344" cy="594548"/>
      </dsp:txXfrm>
    </dsp:sp>
  </dsp:spTree>
</dsp:drawing>
</file>

<file path=word/diagrams/drawing2.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5154F5E6-0FC8-42F4-87EF-C89B47FD6A44}">
      <dsp:nvSpPr>
        <dsp:cNvPr id="0" name=""/>
        <dsp:cNvSpPr/>
      </dsp:nvSpPr>
      <dsp:spPr>
        <a:xfrm>
          <a:off x="1243" y="2254"/>
          <a:ext cx="1972632" cy="1359143"/>
        </a:xfrm>
        <a:prstGeom prst="roundRect">
          <a:avLst/>
        </a:prstGeom>
        <a:blipFill rotWithShape="1">
          <a:blip xmlns:r="http://schemas.openxmlformats.org/officeDocument/2006/relationships" r:embed="rId1"/>
          <a:stretch>
            <a:fillRect/>
          </a:stretch>
        </a:blip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sp>
    <dsp:sp modelId="{A2B37E99-AA1A-43DE-B2D9-0C382BCAC5F9}">
      <dsp:nvSpPr>
        <dsp:cNvPr id="0" name=""/>
        <dsp:cNvSpPr/>
      </dsp:nvSpPr>
      <dsp:spPr>
        <a:xfrm>
          <a:off x="1243" y="1361398"/>
          <a:ext cx="1972632" cy="731846"/>
        </a:xfrm>
        <a:prstGeom prst="rect">
          <a:avLst/>
        </a:prstGeom>
        <a:noFill/>
        <a:ln>
          <a:noFill/>
        </a:ln>
        <a:effectLst/>
      </dsp:spPr>
      <dsp:style>
        <a:lnRef idx="0">
          <a:scrgbClr r="0" g="0" b="0"/>
        </a:lnRef>
        <a:fillRef idx="0">
          <a:scrgbClr r="0" g="0" b="0"/>
        </a:fillRef>
        <a:effectRef idx="0">
          <a:scrgbClr r="0" g="0" b="0"/>
        </a:effectRef>
        <a:fontRef idx="minor"/>
      </dsp:style>
      <dsp:txBody>
        <a:bodyPr spcFirstLastPara="0" vert="horz" wrap="square" lIns="64008" tIns="64008" rIns="64008" bIns="0" numCol="1" spcCol="1270" anchor="t" anchorCtr="0">
          <a:noAutofit/>
        </a:bodyPr>
        <a:lstStyle/>
        <a:p>
          <a:pPr lvl="0" algn="ctr" defTabSz="400050">
            <a:lnSpc>
              <a:spcPct val="90000"/>
            </a:lnSpc>
            <a:spcBef>
              <a:spcPct val="0"/>
            </a:spcBef>
            <a:spcAft>
              <a:spcPct val="35000"/>
            </a:spcAft>
          </a:pPr>
          <a:r>
            <a:rPr lang="es-CO" sz="900" kern="1200">
              <a:latin typeface="Arial" panose="020B0604020202020204" pitchFamily="34" charset="0"/>
              <a:cs typeface="Arial" panose="020B0604020202020204" pitchFamily="34" charset="0"/>
            </a:rPr>
            <a:t>CUPS (Clasificación Única de Procedimientos en Salud): permite identificar y codificar los procedimientos y servicios de salud.</a:t>
          </a:r>
          <a:endParaRPr lang="es-ES" sz="900" kern="1200">
            <a:latin typeface="Arial" panose="020B0604020202020204" pitchFamily="34" charset="0"/>
            <a:cs typeface="Arial" panose="020B0604020202020204" pitchFamily="34" charset="0"/>
          </a:endParaRPr>
        </a:p>
      </dsp:txBody>
      <dsp:txXfrm>
        <a:off x="1243" y="1361398"/>
        <a:ext cx="1972632" cy="731846"/>
      </dsp:txXfrm>
    </dsp:sp>
    <dsp:sp modelId="{D10E97D6-6556-4205-8A77-53058FFEFE4E}">
      <dsp:nvSpPr>
        <dsp:cNvPr id="0" name=""/>
        <dsp:cNvSpPr/>
      </dsp:nvSpPr>
      <dsp:spPr>
        <a:xfrm>
          <a:off x="2171221" y="2254"/>
          <a:ext cx="1972632" cy="1359143"/>
        </a:xfrm>
        <a:prstGeom prst="roundRect">
          <a:avLst/>
        </a:prstGeom>
        <a:blipFill rotWithShape="1">
          <a:blip xmlns:r="http://schemas.openxmlformats.org/officeDocument/2006/relationships" r:embed="rId2"/>
          <a:stretch>
            <a:fillRect/>
          </a:stretch>
        </a:blip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sp>
    <dsp:sp modelId="{E93A71CE-85F2-44E9-BBF7-AF756E47C7F4}">
      <dsp:nvSpPr>
        <dsp:cNvPr id="0" name=""/>
        <dsp:cNvSpPr/>
      </dsp:nvSpPr>
      <dsp:spPr>
        <a:xfrm>
          <a:off x="2171221" y="1361398"/>
          <a:ext cx="1972632" cy="731846"/>
        </a:xfrm>
        <a:prstGeom prst="rect">
          <a:avLst/>
        </a:prstGeom>
        <a:noFill/>
        <a:ln>
          <a:noFill/>
        </a:ln>
        <a:effectLst/>
      </dsp:spPr>
      <dsp:style>
        <a:lnRef idx="0">
          <a:scrgbClr r="0" g="0" b="0"/>
        </a:lnRef>
        <a:fillRef idx="0">
          <a:scrgbClr r="0" g="0" b="0"/>
        </a:fillRef>
        <a:effectRef idx="0">
          <a:scrgbClr r="0" g="0" b="0"/>
        </a:effectRef>
        <a:fontRef idx="minor"/>
      </dsp:style>
      <dsp:txBody>
        <a:bodyPr spcFirstLastPara="0" vert="horz" wrap="square" lIns="64008" tIns="64008" rIns="64008" bIns="0" numCol="1" spcCol="1270" anchor="t" anchorCtr="0">
          <a:noAutofit/>
        </a:bodyPr>
        <a:lstStyle/>
        <a:p>
          <a:pPr lvl="0" algn="ctr" defTabSz="400050">
            <a:lnSpc>
              <a:spcPct val="90000"/>
            </a:lnSpc>
            <a:spcBef>
              <a:spcPct val="0"/>
            </a:spcBef>
            <a:spcAft>
              <a:spcPct val="35000"/>
            </a:spcAft>
          </a:pPr>
          <a:r>
            <a:rPr lang="es-CO" sz="900" kern="1200">
              <a:latin typeface="Arial" panose="020B0604020202020204" pitchFamily="34" charset="0"/>
              <a:cs typeface="Arial" panose="020B0604020202020204" pitchFamily="34" charset="0"/>
            </a:rPr>
            <a:t>CUM (Código Único de Medicamentos): permite identificar los medicamentos registrados y autorizados.</a:t>
          </a:r>
          <a:endParaRPr lang="en-US" sz="900" kern="1200">
            <a:latin typeface="Arial" panose="020B0604020202020204" pitchFamily="34" charset="0"/>
            <a:cs typeface="Arial" panose="020B0604020202020204" pitchFamily="34" charset="0"/>
          </a:endParaRPr>
        </a:p>
      </dsp:txBody>
      <dsp:txXfrm>
        <a:off x="2171221" y="1361398"/>
        <a:ext cx="1972632" cy="731846"/>
      </dsp:txXfrm>
    </dsp:sp>
    <dsp:sp modelId="{DE3B16C2-31AB-4A43-8097-07D2B9A26244}">
      <dsp:nvSpPr>
        <dsp:cNvPr id="0" name=""/>
        <dsp:cNvSpPr/>
      </dsp:nvSpPr>
      <dsp:spPr>
        <a:xfrm>
          <a:off x="4341199" y="2254"/>
          <a:ext cx="1972632" cy="1359143"/>
        </a:xfrm>
        <a:prstGeom prst="roundRect">
          <a:avLst/>
        </a:prstGeom>
        <a:blipFill rotWithShape="1">
          <a:blip xmlns:r="http://schemas.openxmlformats.org/officeDocument/2006/relationships" r:embed="rId3"/>
          <a:stretch>
            <a:fillRect/>
          </a:stretch>
        </a:blip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sp>
    <dsp:sp modelId="{6CF01C65-FA6C-4570-B165-10DC8E2F0FF3}">
      <dsp:nvSpPr>
        <dsp:cNvPr id="0" name=""/>
        <dsp:cNvSpPr/>
      </dsp:nvSpPr>
      <dsp:spPr>
        <a:xfrm>
          <a:off x="4341199" y="1361398"/>
          <a:ext cx="1972632" cy="731846"/>
        </a:xfrm>
        <a:prstGeom prst="rect">
          <a:avLst/>
        </a:prstGeom>
        <a:noFill/>
        <a:ln>
          <a:noFill/>
        </a:ln>
        <a:effectLst/>
      </dsp:spPr>
      <dsp:style>
        <a:lnRef idx="0">
          <a:scrgbClr r="0" g="0" b="0"/>
        </a:lnRef>
        <a:fillRef idx="0">
          <a:scrgbClr r="0" g="0" b="0"/>
        </a:fillRef>
        <a:effectRef idx="0">
          <a:scrgbClr r="0" g="0" b="0"/>
        </a:effectRef>
        <a:fontRef idx="minor"/>
      </dsp:style>
      <dsp:txBody>
        <a:bodyPr spcFirstLastPara="0" vert="horz" wrap="square" lIns="64008" tIns="64008" rIns="64008" bIns="0" numCol="1" spcCol="1270" anchor="t" anchorCtr="0">
          <a:noAutofit/>
        </a:bodyPr>
        <a:lstStyle/>
        <a:p>
          <a:pPr lvl="0" algn="ctr" defTabSz="400050">
            <a:lnSpc>
              <a:spcPct val="90000"/>
            </a:lnSpc>
            <a:spcBef>
              <a:spcPct val="0"/>
            </a:spcBef>
            <a:spcAft>
              <a:spcPct val="35000"/>
            </a:spcAft>
          </a:pPr>
          <a:r>
            <a:rPr lang="es-CO" sz="900" kern="1200">
              <a:latin typeface="Arial" panose="020B0604020202020204" pitchFamily="34" charset="0"/>
              <a:cs typeface="Arial" panose="020B0604020202020204" pitchFamily="34" charset="0"/>
            </a:rPr>
            <a:t>IUM (Identificador Único de Medicamentos): facilita la identificación estandarizada de los medicamentos en los procesos de información del sector salud.</a:t>
          </a:r>
          <a:endParaRPr lang="en-US" sz="900" kern="1200">
            <a:latin typeface="Arial" panose="020B0604020202020204" pitchFamily="34" charset="0"/>
            <a:cs typeface="Arial" panose="020B0604020202020204" pitchFamily="34" charset="0"/>
          </a:endParaRPr>
        </a:p>
      </dsp:txBody>
      <dsp:txXfrm>
        <a:off x="4341199" y="1361398"/>
        <a:ext cx="1972632" cy="731846"/>
      </dsp:txXfrm>
    </dsp:sp>
  </dsp:spTree>
</dsp:drawing>
</file>

<file path=word/diagrams/drawing3.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B29AA94C-84B8-4441-B518-F984C4B993E4}">
      <dsp:nvSpPr>
        <dsp:cNvPr id="0" name=""/>
        <dsp:cNvSpPr/>
      </dsp:nvSpPr>
      <dsp:spPr>
        <a:xfrm rot="10800000">
          <a:off x="1186897" y="617"/>
          <a:ext cx="4199524" cy="516491"/>
        </a:xfrm>
        <a:prstGeom prst="homePlate">
          <a:avLst/>
        </a:prstGeom>
        <a:solidFill>
          <a:schemeClr val="accent3">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227759" tIns="57150" rIns="106680" bIns="57150" numCol="1" spcCol="1270" anchor="ctr" anchorCtr="0">
          <a:noAutofit/>
        </a:bodyPr>
        <a:lstStyle/>
        <a:p>
          <a:pPr lvl="0" algn="ctr" defTabSz="666750">
            <a:lnSpc>
              <a:spcPct val="90000"/>
            </a:lnSpc>
            <a:spcBef>
              <a:spcPct val="0"/>
            </a:spcBef>
            <a:spcAft>
              <a:spcPct val="35000"/>
            </a:spcAft>
          </a:pPr>
          <a:r>
            <a:rPr lang="es-CO" sz="1500" kern="1200">
              <a:latin typeface="Arial" panose="020B0604020202020204" pitchFamily="34" charset="0"/>
              <a:cs typeface="Arial" panose="020B0604020202020204" pitchFamily="34" charset="0"/>
            </a:rPr>
            <a:t>Insumos y materiales requeridos para la prestación.</a:t>
          </a:r>
          <a:endParaRPr lang="es-ES" sz="1500" kern="1200">
            <a:latin typeface="Arial" panose="020B0604020202020204" pitchFamily="34" charset="0"/>
            <a:cs typeface="Arial" panose="020B0604020202020204" pitchFamily="34" charset="0"/>
          </a:endParaRPr>
        </a:p>
      </dsp:txBody>
      <dsp:txXfrm rot="10800000">
        <a:off x="1316020" y="617"/>
        <a:ext cx="4070401" cy="516491"/>
      </dsp:txXfrm>
    </dsp:sp>
    <dsp:sp modelId="{CBA603B1-6D76-4727-8AD4-8B483A5F67FE}">
      <dsp:nvSpPr>
        <dsp:cNvPr id="0" name=""/>
        <dsp:cNvSpPr/>
      </dsp:nvSpPr>
      <dsp:spPr>
        <a:xfrm>
          <a:off x="928652" y="617"/>
          <a:ext cx="516491" cy="516491"/>
        </a:xfrm>
        <a:prstGeom prst="ellipse">
          <a:avLst/>
        </a:prstGeom>
        <a:blipFill rotWithShape="1">
          <a:blip xmlns:r="http://schemas.openxmlformats.org/officeDocument/2006/relationships" r:embed="rId1"/>
          <a:stretch>
            <a:fillRect/>
          </a:stretch>
        </a:blip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dsp:style>
    </dsp:sp>
    <dsp:sp modelId="{269F57DA-684C-414F-B4C8-1E4E987E4853}">
      <dsp:nvSpPr>
        <dsp:cNvPr id="0" name=""/>
        <dsp:cNvSpPr/>
      </dsp:nvSpPr>
      <dsp:spPr>
        <a:xfrm rot="10800000">
          <a:off x="1186897" y="671285"/>
          <a:ext cx="4199524" cy="516491"/>
        </a:xfrm>
        <a:prstGeom prst="homePlate">
          <a:avLst/>
        </a:prstGeom>
        <a:solidFill>
          <a:schemeClr val="accent3">
            <a:hueOff val="2812566"/>
            <a:satOff val="-4220"/>
            <a:lumOff val="-686"/>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227759" tIns="57150" rIns="106680" bIns="57150" numCol="1" spcCol="1270" anchor="ctr" anchorCtr="0">
          <a:noAutofit/>
        </a:bodyPr>
        <a:lstStyle/>
        <a:p>
          <a:pPr lvl="0" algn="ctr" defTabSz="666750">
            <a:lnSpc>
              <a:spcPct val="90000"/>
            </a:lnSpc>
            <a:spcBef>
              <a:spcPct val="0"/>
            </a:spcBef>
            <a:spcAft>
              <a:spcPct val="35000"/>
            </a:spcAft>
          </a:pPr>
          <a:r>
            <a:rPr lang="es-CO" sz="1500" kern="1200">
              <a:latin typeface="Arial" panose="020B0604020202020204" pitchFamily="34" charset="0"/>
              <a:cs typeface="Arial" panose="020B0604020202020204" pitchFamily="34" charset="0"/>
            </a:rPr>
            <a:t>Talento humano, según el tiempo destinado a la atención.</a:t>
          </a:r>
          <a:endParaRPr lang="en-US" sz="1500" kern="1200">
            <a:latin typeface="Arial" panose="020B0604020202020204" pitchFamily="34" charset="0"/>
            <a:cs typeface="Arial" panose="020B0604020202020204" pitchFamily="34" charset="0"/>
          </a:endParaRPr>
        </a:p>
      </dsp:txBody>
      <dsp:txXfrm rot="10800000">
        <a:off x="1316020" y="671285"/>
        <a:ext cx="4070401" cy="516491"/>
      </dsp:txXfrm>
    </dsp:sp>
    <dsp:sp modelId="{D3107823-EC20-482C-884F-3E7209B2627F}">
      <dsp:nvSpPr>
        <dsp:cNvPr id="0" name=""/>
        <dsp:cNvSpPr/>
      </dsp:nvSpPr>
      <dsp:spPr>
        <a:xfrm>
          <a:off x="928652" y="671285"/>
          <a:ext cx="516491" cy="516491"/>
        </a:xfrm>
        <a:prstGeom prst="ellipse">
          <a:avLst/>
        </a:prstGeom>
        <a:blipFill rotWithShape="1">
          <a:blip xmlns:r="http://schemas.openxmlformats.org/officeDocument/2006/relationships" r:embed="rId2"/>
          <a:stretch>
            <a:fillRect/>
          </a:stretch>
        </a:blip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dsp:style>
    </dsp:sp>
    <dsp:sp modelId="{2B7A583D-E3CC-43E7-9B31-ADF7A0F65ACD}">
      <dsp:nvSpPr>
        <dsp:cNvPr id="0" name=""/>
        <dsp:cNvSpPr/>
      </dsp:nvSpPr>
      <dsp:spPr>
        <a:xfrm rot="10800000">
          <a:off x="1186897" y="1341954"/>
          <a:ext cx="4199524" cy="516491"/>
        </a:xfrm>
        <a:prstGeom prst="homePlate">
          <a:avLst/>
        </a:prstGeom>
        <a:solidFill>
          <a:schemeClr val="accent3">
            <a:hueOff val="5625132"/>
            <a:satOff val="-8440"/>
            <a:lumOff val="-1373"/>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227759" tIns="57150" rIns="106680" bIns="57150" numCol="1" spcCol="1270" anchor="ctr" anchorCtr="0">
          <a:noAutofit/>
        </a:bodyPr>
        <a:lstStyle/>
        <a:p>
          <a:pPr lvl="0" algn="ctr" defTabSz="666750">
            <a:lnSpc>
              <a:spcPct val="90000"/>
            </a:lnSpc>
            <a:spcBef>
              <a:spcPct val="0"/>
            </a:spcBef>
            <a:spcAft>
              <a:spcPct val="35000"/>
            </a:spcAft>
          </a:pPr>
          <a:r>
            <a:rPr lang="es-CO" sz="1500" kern="1200">
              <a:latin typeface="Arial" panose="020B0604020202020204" pitchFamily="34" charset="0"/>
              <a:cs typeface="Arial" panose="020B0604020202020204" pitchFamily="34" charset="0"/>
            </a:rPr>
            <a:t>Depreciación de equipos e infraestructura.</a:t>
          </a:r>
          <a:endParaRPr lang="en-US" sz="1500" kern="1200">
            <a:latin typeface="Arial" panose="020B0604020202020204" pitchFamily="34" charset="0"/>
            <a:cs typeface="Arial" panose="020B0604020202020204" pitchFamily="34" charset="0"/>
          </a:endParaRPr>
        </a:p>
      </dsp:txBody>
      <dsp:txXfrm rot="10800000">
        <a:off x="1316020" y="1341954"/>
        <a:ext cx="4070401" cy="516491"/>
      </dsp:txXfrm>
    </dsp:sp>
    <dsp:sp modelId="{0E2891EE-1E65-4E9E-92D0-AA6B8EF7A308}">
      <dsp:nvSpPr>
        <dsp:cNvPr id="0" name=""/>
        <dsp:cNvSpPr/>
      </dsp:nvSpPr>
      <dsp:spPr>
        <a:xfrm>
          <a:off x="928652" y="1341954"/>
          <a:ext cx="516491" cy="516491"/>
        </a:xfrm>
        <a:prstGeom prst="ellipse">
          <a:avLst/>
        </a:prstGeom>
        <a:blipFill rotWithShape="1">
          <a:blip xmlns:r="http://schemas.openxmlformats.org/officeDocument/2006/relationships" r:embed="rId3"/>
          <a:stretch>
            <a:fillRect/>
          </a:stretch>
        </a:blip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dsp:style>
    </dsp:sp>
    <dsp:sp modelId="{A20C6F09-88ED-4EA6-A10A-9F06BF22D912}">
      <dsp:nvSpPr>
        <dsp:cNvPr id="0" name=""/>
        <dsp:cNvSpPr/>
      </dsp:nvSpPr>
      <dsp:spPr>
        <a:xfrm rot="10800000">
          <a:off x="1186897" y="2012622"/>
          <a:ext cx="4199524" cy="516491"/>
        </a:xfrm>
        <a:prstGeom prst="homePlate">
          <a:avLst/>
        </a:prstGeom>
        <a:solidFill>
          <a:schemeClr val="accent3">
            <a:hueOff val="8437698"/>
            <a:satOff val="-12660"/>
            <a:lumOff val="-2059"/>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227759" tIns="57150" rIns="106680" bIns="57150" numCol="1" spcCol="1270" anchor="ctr" anchorCtr="0">
          <a:noAutofit/>
        </a:bodyPr>
        <a:lstStyle/>
        <a:p>
          <a:pPr lvl="0" algn="ctr" defTabSz="666750">
            <a:lnSpc>
              <a:spcPct val="90000"/>
            </a:lnSpc>
            <a:spcBef>
              <a:spcPct val="0"/>
            </a:spcBef>
            <a:spcAft>
              <a:spcPct val="35000"/>
            </a:spcAft>
          </a:pPr>
          <a:r>
            <a:rPr lang="es-CO" sz="1500" kern="1200">
              <a:latin typeface="Arial" panose="020B0604020202020204" pitchFamily="34" charset="0"/>
              <a:cs typeface="Arial" panose="020B0604020202020204" pitchFamily="34" charset="0"/>
            </a:rPr>
            <a:t>Recursos físicos y tecnológicos utilizados.</a:t>
          </a:r>
          <a:endParaRPr lang="en-US" sz="1500" kern="1200">
            <a:latin typeface="Arial" panose="020B0604020202020204" pitchFamily="34" charset="0"/>
            <a:cs typeface="Arial" panose="020B0604020202020204" pitchFamily="34" charset="0"/>
          </a:endParaRPr>
        </a:p>
      </dsp:txBody>
      <dsp:txXfrm rot="10800000">
        <a:off x="1316020" y="2012622"/>
        <a:ext cx="4070401" cy="516491"/>
      </dsp:txXfrm>
    </dsp:sp>
    <dsp:sp modelId="{4E308750-91BD-40A8-A2A6-74FC3791F4F7}">
      <dsp:nvSpPr>
        <dsp:cNvPr id="0" name=""/>
        <dsp:cNvSpPr/>
      </dsp:nvSpPr>
      <dsp:spPr>
        <a:xfrm>
          <a:off x="928652" y="2012622"/>
          <a:ext cx="516491" cy="516491"/>
        </a:xfrm>
        <a:prstGeom prst="ellipse">
          <a:avLst/>
        </a:prstGeom>
        <a:blipFill rotWithShape="1">
          <a:blip xmlns:r="http://schemas.openxmlformats.org/officeDocument/2006/relationships" r:embed="rId4"/>
          <a:stretch>
            <a:fillRect/>
          </a:stretch>
        </a:blip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dsp:style>
    </dsp:sp>
    <dsp:sp modelId="{F3EC86A9-C9A7-4827-92C1-25CFBB7A37F4}">
      <dsp:nvSpPr>
        <dsp:cNvPr id="0" name=""/>
        <dsp:cNvSpPr/>
      </dsp:nvSpPr>
      <dsp:spPr>
        <a:xfrm rot="10800000">
          <a:off x="1186897" y="2683290"/>
          <a:ext cx="4199524" cy="516491"/>
        </a:xfrm>
        <a:prstGeom prst="homePlate">
          <a:avLst/>
        </a:prstGeom>
        <a:solidFill>
          <a:schemeClr val="accent3">
            <a:hueOff val="11250264"/>
            <a:satOff val="-16880"/>
            <a:lumOff val="-2745"/>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227759" tIns="57150" rIns="106680" bIns="57150" numCol="1" spcCol="1270" anchor="ctr" anchorCtr="0">
          <a:noAutofit/>
        </a:bodyPr>
        <a:lstStyle/>
        <a:p>
          <a:pPr lvl="0" algn="ctr" defTabSz="666750">
            <a:lnSpc>
              <a:spcPct val="90000"/>
            </a:lnSpc>
            <a:spcBef>
              <a:spcPct val="0"/>
            </a:spcBef>
            <a:spcAft>
              <a:spcPct val="35000"/>
            </a:spcAft>
          </a:pPr>
          <a:r>
            <a:rPr lang="es-CO" sz="1500" kern="1200">
              <a:latin typeface="Arial" panose="020B0604020202020204" pitchFamily="34" charset="0"/>
              <a:cs typeface="Arial" panose="020B0604020202020204" pitchFamily="34" charset="0"/>
            </a:rPr>
            <a:t>Recursos administrativos relacionados con la prestación.</a:t>
          </a:r>
          <a:endParaRPr lang="en-US" sz="1500" kern="1200">
            <a:latin typeface="Arial" panose="020B0604020202020204" pitchFamily="34" charset="0"/>
            <a:cs typeface="Arial" panose="020B0604020202020204" pitchFamily="34" charset="0"/>
          </a:endParaRPr>
        </a:p>
      </dsp:txBody>
      <dsp:txXfrm rot="10800000">
        <a:off x="1316020" y="2683290"/>
        <a:ext cx="4070401" cy="516491"/>
      </dsp:txXfrm>
    </dsp:sp>
    <dsp:sp modelId="{7A332DBC-A295-4C5C-9D5C-16EF1A98AD44}">
      <dsp:nvSpPr>
        <dsp:cNvPr id="0" name=""/>
        <dsp:cNvSpPr/>
      </dsp:nvSpPr>
      <dsp:spPr>
        <a:xfrm>
          <a:off x="928652" y="2683290"/>
          <a:ext cx="516491" cy="516491"/>
        </a:xfrm>
        <a:prstGeom prst="ellipse">
          <a:avLst/>
        </a:prstGeom>
        <a:blipFill rotWithShape="1">
          <a:blip xmlns:r="http://schemas.openxmlformats.org/officeDocument/2006/relationships" r:embed="rId5"/>
          <a:stretch>
            <a:fillRect/>
          </a:stretch>
        </a:blip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dsp:style>
    </dsp:sp>
  </dsp:spTree>
</dsp:drawing>
</file>

<file path=word/diagrams/drawing4.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C1DF9D69-17B9-438B-AF48-C8384A6D792A}">
      <dsp:nvSpPr>
        <dsp:cNvPr id="0" name=""/>
        <dsp:cNvSpPr/>
      </dsp:nvSpPr>
      <dsp:spPr>
        <a:xfrm>
          <a:off x="1337290" y="373110"/>
          <a:ext cx="277103" cy="91440"/>
        </a:xfrm>
        <a:custGeom>
          <a:avLst/>
          <a:gdLst/>
          <a:ahLst/>
          <a:cxnLst/>
          <a:rect l="0" t="0" r="0" b="0"/>
          <a:pathLst>
            <a:path>
              <a:moveTo>
                <a:pt x="0" y="45720"/>
              </a:moveTo>
              <a:lnTo>
                <a:pt x="277103" y="45720"/>
              </a:lnTo>
            </a:path>
          </a:pathLst>
        </a:custGeom>
        <a:noFill/>
        <a:ln w="9525" cap="flat" cmpd="sng" algn="ctr">
          <a:solidFill>
            <a:schemeClr val="accent1">
              <a:hueOff val="0"/>
              <a:satOff val="0"/>
              <a:lumOff val="0"/>
              <a:alphaOff val="0"/>
            </a:schemeClr>
          </a:solidFill>
          <a:prstDash val="solid"/>
          <a:tailEnd type="arrow"/>
        </a:ln>
        <a:effectLst/>
      </dsp:spPr>
      <dsp:style>
        <a:lnRef idx="1">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lvl="0" algn="ctr" defTabSz="222250">
            <a:lnSpc>
              <a:spcPct val="90000"/>
            </a:lnSpc>
            <a:spcBef>
              <a:spcPct val="0"/>
            </a:spcBef>
            <a:spcAft>
              <a:spcPct val="35000"/>
            </a:spcAft>
          </a:pPr>
          <a:endParaRPr lang="es-ES" sz="500" kern="1200">
            <a:latin typeface="Arial" panose="020B0604020202020204" pitchFamily="34" charset="0"/>
            <a:cs typeface="Arial" panose="020B0604020202020204" pitchFamily="34" charset="0"/>
          </a:endParaRPr>
        </a:p>
      </dsp:txBody>
      <dsp:txXfrm>
        <a:off x="1468149" y="417291"/>
        <a:ext cx="15385" cy="3077"/>
      </dsp:txXfrm>
    </dsp:sp>
    <dsp:sp modelId="{9EFBE409-707F-400D-9BCD-121895B3E3A4}">
      <dsp:nvSpPr>
        <dsp:cNvPr id="0" name=""/>
        <dsp:cNvSpPr/>
      </dsp:nvSpPr>
      <dsp:spPr>
        <a:xfrm>
          <a:off x="1248" y="17477"/>
          <a:ext cx="1337841" cy="802704"/>
        </a:xfrm>
        <a:prstGeom prst="rect">
          <a:avLst/>
        </a:prstGeom>
        <a:solidFill>
          <a:schemeClr val="accent1">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113792" tIns="113792" rIns="113792" bIns="113792" numCol="1" spcCol="1270" anchor="ctr" anchorCtr="0">
          <a:noAutofit/>
        </a:bodyPr>
        <a:lstStyle/>
        <a:p>
          <a:pPr lvl="0" algn="ctr" defTabSz="711200">
            <a:lnSpc>
              <a:spcPct val="90000"/>
            </a:lnSpc>
            <a:spcBef>
              <a:spcPct val="0"/>
            </a:spcBef>
            <a:spcAft>
              <a:spcPct val="35000"/>
            </a:spcAft>
          </a:pPr>
          <a:r>
            <a:rPr lang="es-CO" sz="1600" kern="1200">
              <a:latin typeface="Arial" panose="020B0604020202020204" pitchFamily="34" charset="0"/>
              <a:cs typeface="Arial" panose="020B0604020202020204" pitchFamily="34" charset="0"/>
            </a:rPr>
            <a:t>Población objeto</a:t>
          </a:r>
          <a:endParaRPr lang="es-ES" sz="1600" kern="1200">
            <a:latin typeface="Arial" panose="020B0604020202020204" pitchFamily="34" charset="0"/>
            <a:cs typeface="Arial" panose="020B0604020202020204" pitchFamily="34" charset="0"/>
          </a:endParaRPr>
        </a:p>
      </dsp:txBody>
      <dsp:txXfrm>
        <a:off x="1248" y="17477"/>
        <a:ext cx="1337841" cy="802704"/>
      </dsp:txXfrm>
    </dsp:sp>
    <dsp:sp modelId="{EAAA3CE0-EAC5-4F35-87F8-C17D6030E8BA}">
      <dsp:nvSpPr>
        <dsp:cNvPr id="0" name=""/>
        <dsp:cNvSpPr/>
      </dsp:nvSpPr>
      <dsp:spPr>
        <a:xfrm>
          <a:off x="2982835" y="373110"/>
          <a:ext cx="277103" cy="91440"/>
        </a:xfrm>
        <a:custGeom>
          <a:avLst/>
          <a:gdLst/>
          <a:ahLst/>
          <a:cxnLst/>
          <a:rect l="0" t="0" r="0" b="0"/>
          <a:pathLst>
            <a:path>
              <a:moveTo>
                <a:pt x="0" y="45720"/>
              </a:moveTo>
              <a:lnTo>
                <a:pt x="277103" y="45720"/>
              </a:lnTo>
            </a:path>
          </a:pathLst>
        </a:custGeom>
        <a:noFill/>
        <a:ln w="9525" cap="flat" cmpd="sng" algn="ctr">
          <a:solidFill>
            <a:schemeClr val="accent1">
              <a:hueOff val="0"/>
              <a:satOff val="0"/>
              <a:lumOff val="0"/>
              <a:alphaOff val="0"/>
            </a:schemeClr>
          </a:solidFill>
          <a:prstDash val="solid"/>
          <a:tailEnd type="arrow"/>
        </a:ln>
        <a:effectLst/>
      </dsp:spPr>
      <dsp:style>
        <a:lnRef idx="1">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lvl="0" algn="ctr" defTabSz="222250">
            <a:lnSpc>
              <a:spcPct val="90000"/>
            </a:lnSpc>
            <a:spcBef>
              <a:spcPct val="0"/>
            </a:spcBef>
            <a:spcAft>
              <a:spcPct val="35000"/>
            </a:spcAft>
          </a:pPr>
          <a:endParaRPr lang="es-ES" sz="500" kern="1200">
            <a:latin typeface="Arial" panose="020B0604020202020204" pitchFamily="34" charset="0"/>
            <a:cs typeface="Arial" panose="020B0604020202020204" pitchFamily="34" charset="0"/>
          </a:endParaRPr>
        </a:p>
      </dsp:txBody>
      <dsp:txXfrm>
        <a:off x="3113694" y="417291"/>
        <a:ext cx="15385" cy="3077"/>
      </dsp:txXfrm>
    </dsp:sp>
    <dsp:sp modelId="{0CBEA1F5-1228-46CA-8BE9-09A33BBDD369}">
      <dsp:nvSpPr>
        <dsp:cNvPr id="0" name=""/>
        <dsp:cNvSpPr/>
      </dsp:nvSpPr>
      <dsp:spPr>
        <a:xfrm>
          <a:off x="1646794" y="17477"/>
          <a:ext cx="1337841" cy="802704"/>
        </a:xfrm>
        <a:prstGeom prst="rect">
          <a:avLst/>
        </a:prstGeom>
        <a:solidFill>
          <a:schemeClr val="accent1">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113792" tIns="113792" rIns="113792" bIns="113792" numCol="1" spcCol="1270" anchor="ctr" anchorCtr="0">
          <a:noAutofit/>
        </a:bodyPr>
        <a:lstStyle/>
        <a:p>
          <a:pPr lvl="0" algn="ctr" defTabSz="711200">
            <a:lnSpc>
              <a:spcPct val="90000"/>
            </a:lnSpc>
            <a:spcBef>
              <a:spcPct val="0"/>
            </a:spcBef>
            <a:spcAft>
              <a:spcPct val="35000"/>
            </a:spcAft>
          </a:pPr>
          <a:r>
            <a:rPr lang="es-CO" sz="1600" kern="1200">
              <a:latin typeface="Arial" panose="020B0604020202020204" pitchFamily="34" charset="0"/>
              <a:cs typeface="Arial" panose="020B0604020202020204" pitchFamily="34" charset="0"/>
            </a:rPr>
            <a:t>Población susceptible</a:t>
          </a:r>
          <a:endParaRPr lang="en-US" sz="1600" kern="1200">
            <a:latin typeface="Arial" panose="020B0604020202020204" pitchFamily="34" charset="0"/>
            <a:cs typeface="Arial" panose="020B0604020202020204" pitchFamily="34" charset="0"/>
          </a:endParaRPr>
        </a:p>
      </dsp:txBody>
      <dsp:txXfrm>
        <a:off x="1646794" y="17477"/>
        <a:ext cx="1337841" cy="802704"/>
      </dsp:txXfrm>
    </dsp:sp>
    <dsp:sp modelId="{E8C3DABE-D0FA-422B-AC1D-CD1117788F68}">
      <dsp:nvSpPr>
        <dsp:cNvPr id="0" name=""/>
        <dsp:cNvSpPr/>
      </dsp:nvSpPr>
      <dsp:spPr>
        <a:xfrm>
          <a:off x="4628380" y="373110"/>
          <a:ext cx="277103" cy="91440"/>
        </a:xfrm>
        <a:custGeom>
          <a:avLst/>
          <a:gdLst/>
          <a:ahLst/>
          <a:cxnLst/>
          <a:rect l="0" t="0" r="0" b="0"/>
          <a:pathLst>
            <a:path>
              <a:moveTo>
                <a:pt x="0" y="45720"/>
              </a:moveTo>
              <a:lnTo>
                <a:pt x="277103" y="45720"/>
              </a:lnTo>
            </a:path>
          </a:pathLst>
        </a:custGeom>
        <a:noFill/>
        <a:ln w="9525" cap="flat" cmpd="sng" algn="ctr">
          <a:solidFill>
            <a:schemeClr val="accent1">
              <a:hueOff val="0"/>
              <a:satOff val="0"/>
              <a:lumOff val="0"/>
              <a:alphaOff val="0"/>
            </a:schemeClr>
          </a:solidFill>
          <a:prstDash val="solid"/>
          <a:tailEnd type="arrow"/>
        </a:ln>
        <a:effectLst/>
      </dsp:spPr>
      <dsp:style>
        <a:lnRef idx="1">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lvl="0" algn="ctr" defTabSz="222250">
            <a:lnSpc>
              <a:spcPct val="90000"/>
            </a:lnSpc>
            <a:spcBef>
              <a:spcPct val="0"/>
            </a:spcBef>
            <a:spcAft>
              <a:spcPct val="35000"/>
            </a:spcAft>
          </a:pPr>
          <a:endParaRPr lang="es-ES" sz="500" kern="1200">
            <a:latin typeface="Arial" panose="020B0604020202020204" pitchFamily="34" charset="0"/>
            <a:cs typeface="Arial" panose="020B0604020202020204" pitchFamily="34" charset="0"/>
          </a:endParaRPr>
        </a:p>
      </dsp:txBody>
      <dsp:txXfrm>
        <a:off x="4759240" y="417291"/>
        <a:ext cx="15385" cy="3077"/>
      </dsp:txXfrm>
    </dsp:sp>
    <dsp:sp modelId="{94A4D973-CA50-4B5C-9161-8608429B7298}">
      <dsp:nvSpPr>
        <dsp:cNvPr id="0" name=""/>
        <dsp:cNvSpPr/>
      </dsp:nvSpPr>
      <dsp:spPr>
        <a:xfrm>
          <a:off x="3292339" y="17477"/>
          <a:ext cx="1337841" cy="802704"/>
        </a:xfrm>
        <a:prstGeom prst="rect">
          <a:avLst/>
        </a:prstGeom>
        <a:solidFill>
          <a:schemeClr val="accent1">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113792" tIns="113792" rIns="113792" bIns="113792" numCol="1" spcCol="1270" anchor="ctr" anchorCtr="0">
          <a:noAutofit/>
        </a:bodyPr>
        <a:lstStyle/>
        <a:p>
          <a:pPr lvl="0" algn="ctr" defTabSz="711200">
            <a:lnSpc>
              <a:spcPct val="90000"/>
            </a:lnSpc>
            <a:spcBef>
              <a:spcPct val="0"/>
            </a:spcBef>
            <a:spcAft>
              <a:spcPct val="35000"/>
            </a:spcAft>
          </a:pPr>
          <a:r>
            <a:rPr lang="es-CO" sz="1600" kern="1200">
              <a:latin typeface="Arial" panose="020B0604020202020204" pitchFamily="34" charset="0"/>
              <a:cs typeface="Arial" panose="020B0604020202020204" pitchFamily="34" charset="0"/>
            </a:rPr>
            <a:t>Servicios y tecnologías</a:t>
          </a:r>
          <a:endParaRPr lang="en-US" sz="1600" kern="1200">
            <a:latin typeface="Arial" panose="020B0604020202020204" pitchFamily="34" charset="0"/>
            <a:cs typeface="Arial" panose="020B0604020202020204" pitchFamily="34" charset="0"/>
          </a:endParaRPr>
        </a:p>
      </dsp:txBody>
      <dsp:txXfrm>
        <a:off x="3292339" y="17477"/>
        <a:ext cx="1337841" cy="802704"/>
      </dsp:txXfrm>
    </dsp:sp>
    <dsp:sp modelId="{A034E928-E46A-4930-808F-4D2A5510FE0B}">
      <dsp:nvSpPr>
        <dsp:cNvPr id="0" name=""/>
        <dsp:cNvSpPr/>
      </dsp:nvSpPr>
      <dsp:spPr>
        <a:xfrm>
          <a:off x="670169" y="818382"/>
          <a:ext cx="4936635" cy="277103"/>
        </a:xfrm>
        <a:custGeom>
          <a:avLst/>
          <a:gdLst/>
          <a:ahLst/>
          <a:cxnLst/>
          <a:rect l="0" t="0" r="0" b="0"/>
          <a:pathLst>
            <a:path>
              <a:moveTo>
                <a:pt x="4936635" y="0"/>
              </a:moveTo>
              <a:lnTo>
                <a:pt x="4936635" y="155651"/>
              </a:lnTo>
              <a:lnTo>
                <a:pt x="0" y="155651"/>
              </a:lnTo>
              <a:lnTo>
                <a:pt x="0" y="277103"/>
              </a:lnTo>
            </a:path>
          </a:pathLst>
        </a:custGeom>
        <a:noFill/>
        <a:ln w="9525" cap="flat" cmpd="sng" algn="ctr">
          <a:solidFill>
            <a:schemeClr val="accent1">
              <a:hueOff val="0"/>
              <a:satOff val="0"/>
              <a:lumOff val="0"/>
              <a:alphaOff val="0"/>
            </a:schemeClr>
          </a:solidFill>
          <a:prstDash val="solid"/>
          <a:tailEnd type="arrow"/>
        </a:ln>
        <a:effectLst/>
      </dsp:spPr>
      <dsp:style>
        <a:lnRef idx="1">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lvl="0" algn="ctr" defTabSz="222250">
            <a:lnSpc>
              <a:spcPct val="90000"/>
            </a:lnSpc>
            <a:spcBef>
              <a:spcPct val="0"/>
            </a:spcBef>
            <a:spcAft>
              <a:spcPct val="35000"/>
            </a:spcAft>
          </a:pPr>
          <a:endParaRPr lang="es-ES" sz="500" kern="1200">
            <a:latin typeface="Arial" panose="020B0604020202020204" pitchFamily="34" charset="0"/>
            <a:cs typeface="Arial" panose="020B0604020202020204" pitchFamily="34" charset="0"/>
          </a:endParaRPr>
        </a:p>
      </dsp:txBody>
      <dsp:txXfrm>
        <a:off x="3014832" y="955395"/>
        <a:ext cx="247310" cy="3077"/>
      </dsp:txXfrm>
    </dsp:sp>
    <dsp:sp modelId="{4271152D-FA37-4A09-8E40-176D14BA4860}">
      <dsp:nvSpPr>
        <dsp:cNvPr id="0" name=""/>
        <dsp:cNvSpPr/>
      </dsp:nvSpPr>
      <dsp:spPr>
        <a:xfrm>
          <a:off x="4937884" y="17477"/>
          <a:ext cx="1337841" cy="802704"/>
        </a:xfrm>
        <a:prstGeom prst="rect">
          <a:avLst/>
        </a:prstGeom>
        <a:solidFill>
          <a:schemeClr val="accent1">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113792" tIns="113792" rIns="113792" bIns="113792" numCol="1" spcCol="1270" anchor="ctr" anchorCtr="0">
          <a:noAutofit/>
        </a:bodyPr>
        <a:lstStyle/>
        <a:p>
          <a:pPr lvl="0" algn="ctr" defTabSz="711200">
            <a:lnSpc>
              <a:spcPct val="90000"/>
            </a:lnSpc>
            <a:spcBef>
              <a:spcPct val="0"/>
            </a:spcBef>
            <a:spcAft>
              <a:spcPct val="35000"/>
            </a:spcAft>
          </a:pPr>
          <a:r>
            <a:rPr lang="es-CO" sz="1600" kern="1200">
              <a:latin typeface="Arial" panose="020B0604020202020204" pitchFamily="34" charset="0"/>
              <a:cs typeface="Arial" panose="020B0604020202020204" pitchFamily="34" charset="0"/>
            </a:rPr>
            <a:t>Frecuencia de uso</a:t>
          </a:r>
          <a:endParaRPr lang="en-US" sz="1600" kern="1200">
            <a:latin typeface="Arial" panose="020B0604020202020204" pitchFamily="34" charset="0"/>
            <a:cs typeface="Arial" panose="020B0604020202020204" pitchFamily="34" charset="0"/>
          </a:endParaRPr>
        </a:p>
      </dsp:txBody>
      <dsp:txXfrm>
        <a:off x="4937884" y="17477"/>
        <a:ext cx="1337841" cy="802704"/>
      </dsp:txXfrm>
    </dsp:sp>
    <dsp:sp modelId="{A2DBDAAB-B85E-4F94-A27E-2F222D1825AA}">
      <dsp:nvSpPr>
        <dsp:cNvPr id="0" name=""/>
        <dsp:cNvSpPr/>
      </dsp:nvSpPr>
      <dsp:spPr>
        <a:xfrm>
          <a:off x="1337290" y="1483518"/>
          <a:ext cx="277103" cy="91440"/>
        </a:xfrm>
        <a:custGeom>
          <a:avLst/>
          <a:gdLst/>
          <a:ahLst/>
          <a:cxnLst/>
          <a:rect l="0" t="0" r="0" b="0"/>
          <a:pathLst>
            <a:path>
              <a:moveTo>
                <a:pt x="0" y="45720"/>
              </a:moveTo>
              <a:lnTo>
                <a:pt x="277103" y="45720"/>
              </a:lnTo>
            </a:path>
          </a:pathLst>
        </a:custGeom>
        <a:noFill/>
        <a:ln w="9525" cap="flat" cmpd="sng" algn="ctr">
          <a:solidFill>
            <a:schemeClr val="accent1">
              <a:hueOff val="0"/>
              <a:satOff val="0"/>
              <a:lumOff val="0"/>
              <a:alphaOff val="0"/>
            </a:schemeClr>
          </a:solidFill>
          <a:prstDash val="solid"/>
          <a:tailEnd type="arrow"/>
        </a:ln>
        <a:effectLst/>
      </dsp:spPr>
      <dsp:style>
        <a:lnRef idx="1">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lvl="0" algn="ctr" defTabSz="222250">
            <a:lnSpc>
              <a:spcPct val="90000"/>
            </a:lnSpc>
            <a:spcBef>
              <a:spcPct val="0"/>
            </a:spcBef>
            <a:spcAft>
              <a:spcPct val="35000"/>
            </a:spcAft>
          </a:pPr>
          <a:endParaRPr lang="es-ES" sz="500" kern="1200">
            <a:latin typeface="Arial" panose="020B0604020202020204" pitchFamily="34" charset="0"/>
            <a:cs typeface="Arial" panose="020B0604020202020204" pitchFamily="34" charset="0"/>
          </a:endParaRPr>
        </a:p>
      </dsp:txBody>
      <dsp:txXfrm>
        <a:off x="1468149" y="1527700"/>
        <a:ext cx="15385" cy="3077"/>
      </dsp:txXfrm>
    </dsp:sp>
    <dsp:sp modelId="{4D30BDC7-7278-46D6-BB42-C77A31524EAC}">
      <dsp:nvSpPr>
        <dsp:cNvPr id="0" name=""/>
        <dsp:cNvSpPr/>
      </dsp:nvSpPr>
      <dsp:spPr>
        <a:xfrm>
          <a:off x="1248" y="1127886"/>
          <a:ext cx="1337841" cy="802704"/>
        </a:xfrm>
        <a:prstGeom prst="rect">
          <a:avLst/>
        </a:prstGeom>
        <a:solidFill>
          <a:schemeClr val="accent1">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113792" tIns="113792" rIns="113792" bIns="113792" numCol="1" spcCol="1270" anchor="ctr" anchorCtr="0">
          <a:noAutofit/>
        </a:bodyPr>
        <a:lstStyle/>
        <a:p>
          <a:pPr lvl="0" algn="ctr" defTabSz="711200">
            <a:lnSpc>
              <a:spcPct val="90000"/>
            </a:lnSpc>
            <a:spcBef>
              <a:spcPct val="0"/>
            </a:spcBef>
            <a:spcAft>
              <a:spcPct val="35000"/>
            </a:spcAft>
          </a:pPr>
          <a:r>
            <a:rPr lang="es-CO" sz="1600" kern="1200">
              <a:latin typeface="Arial" panose="020B0604020202020204" pitchFamily="34" charset="0"/>
              <a:cs typeface="Arial" panose="020B0604020202020204" pitchFamily="34" charset="0"/>
            </a:rPr>
            <a:t>Cantidad proyectada</a:t>
          </a:r>
          <a:endParaRPr lang="en-US" sz="1600" kern="1200">
            <a:latin typeface="Arial" panose="020B0604020202020204" pitchFamily="34" charset="0"/>
            <a:cs typeface="Arial" panose="020B0604020202020204" pitchFamily="34" charset="0"/>
          </a:endParaRPr>
        </a:p>
      </dsp:txBody>
      <dsp:txXfrm>
        <a:off x="1248" y="1127886"/>
        <a:ext cx="1337841" cy="802704"/>
      </dsp:txXfrm>
    </dsp:sp>
    <dsp:sp modelId="{CC444508-972E-45CA-9915-A264FDE59083}">
      <dsp:nvSpPr>
        <dsp:cNvPr id="0" name=""/>
        <dsp:cNvSpPr/>
      </dsp:nvSpPr>
      <dsp:spPr>
        <a:xfrm>
          <a:off x="2982835" y="1483518"/>
          <a:ext cx="277103" cy="91440"/>
        </a:xfrm>
        <a:custGeom>
          <a:avLst/>
          <a:gdLst/>
          <a:ahLst/>
          <a:cxnLst/>
          <a:rect l="0" t="0" r="0" b="0"/>
          <a:pathLst>
            <a:path>
              <a:moveTo>
                <a:pt x="0" y="45720"/>
              </a:moveTo>
              <a:lnTo>
                <a:pt x="277103" y="45720"/>
              </a:lnTo>
            </a:path>
          </a:pathLst>
        </a:custGeom>
        <a:noFill/>
        <a:ln w="9525" cap="flat" cmpd="sng" algn="ctr">
          <a:solidFill>
            <a:schemeClr val="accent1">
              <a:hueOff val="0"/>
              <a:satOff val="0"/>
              <a:lumOff val="0"/>
              <a:alphaOff val="0"/>
            </a:schemeClr>
          </a:solidFill>
          <a:prstDash val="solid"/>
          <a:tailEnd type="arrow"/>
        </a:ln>
        <a:effectLst/>
      </dsp:spPr>
      <dsp:style>
        <a:lnRef idx="1">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lvl="0" algn="ctr" defTabSz="222250">
            <a:lnSpc>
              <a:spcPct val="90000"/>
            </a:lnSpc>
            <a:spcBef>
              <a:spcPct val="0"/>
            </a:spcBef>
            <a:spcAft>
              <a:spcPct val="35000"/>
            </a:spcAft>
          </a:pPr>
          <a:endParaRPr lang="es-ES" sz="500" kern="1200">
            <a:latin typeface="Arial" panose="020B0604020202020204" pitchFamily="34" charset="0"/>
            <a:cs typeface="Arial" panose="020B0604020202020204" pitchFamily="34" charset="0"/>
          </a:endParaRPr>
        </a:p>
      </dsp:txBody>
      <dsp:txXfrm>
        <a:off x="3113694" y="1527700"/>
        <a:ext cx="15385" cy="3077"/>
      </dsp:txXfrm>
    </dsp:sp>
    <dsp:sp modelId="{F7AEC3C8-A194-440D-A549-FC979F58DF41}">
      <dsp:nvSpPr>
        <dsp:cNvPr id="0" name=""/>
        <dsp:cNvSpPr/>
      </dsp:nvSpPr>
      <dsp:spPr>
        <a:xfrm>
          <a:off x="1646794" y="1127886"/>
          <a:ext cx="1337841" cy="802704"/>
        </a:xfrm>
        <a:prstGeom prst="rect">
          <a:avLst/>
        </a:prstGeom>
        <a:solidFill>
          <a:schemeClr val="accent1">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113792" tIns="113792" rIns="113792" bIns="113792" numCol="1" spcCol="1270" anchor="ctr" anchorCtr="0">
          <a:noAutofit/>
        </a:bodyPr>
        <a:lstStyle/>
        <a:p>
          <a:pPr lvl="0" algn="ctr" defTabSz="711200">
            <a:lnSpc>
              <a:spcPct val="90000"/>
            </a:lnSpc>
            <a:spcBef>
              <a:spcPct val="0"/>
            </a:spcBef>
            <a:spcAft>
              <a:spcPct val="35000"/>
            </a:spcAft>
          </a:pPr>
          <a:r>
            <a:rPr lang="es-CO" sz="1600" kern="1200">
              <a:latin typeface="Arial" panose="020B0604020202020204" pitchFamily="34" charset="0"/>
              <a:cs typeface="Arial" panose="020B0604020202020204" pitchFamily="34" charset="0"/>
            </a:rPr>
            <a:t>Costo o tarifa</a:t>
          </a:r>
          <a:endParaRPr lang="en-US" sz="1600" kern="1200">
            <a:latin typeface="Arial" panose="020B0604020202020204" pitchFamily="34" charset="0"/>
            <a:cs typeface="Arial" panose="020B0604020202020204" pitchFamily="34" charset="0"/>
          </a:endParaRPr>
        </a:p>
      </dsp:txBody>
      <dsp:txXfrm>
        <a:off x="1646794" y="1127886"/>
        <a:ext cx="1337841" cy="802704"/>
      </dsp:txXfrm>
    </dsp:sp>
    <dsp:sp modelId="{8C604122-0897-490F-833B-75AF641901C2}">
      <dsp:nvSpPr>
        <dsp:cNvPr id="0" name=""/>
        <dsp:cNvSpPr/>
      </dsp:nvSpPr>
      <dsp:spPr>
        <a:xfrm>
          <a:off x="4628380" y="1483518"/>
          <a:ext cx="277103" cy="91440"/>
        </a:xfrm>
        <a:custGeom>
          <a:avLst/>
          <a:gdLst/>
          <a:ahLst/>
          <a:cxnLst/>
          <a:rect l="0" t="0" r="0" b="0"/>
          <a:pathLst>
            <a:path>
              <a:moveTo>
                <a:pt x="0" y="45720"/>
              </a:moveTo>
              <a:lnTo>
                <a:pt x="277103" y="45720"/>
              </a:lnTo>
            </a:path>
          </a:pathLst>
        </a:custGeom>
        <a:noFill/>
        <a:ln w="9525" cap="flat" cmpd="sng" algn="ctr">
          <a:solidFill>
            <a:schemeClr val="accent1">
              <a:hueOff val="0"/>
              <a:satOff val="0"/>
              <a:lumOff val="0"/>
              <a:alphaOff val="0"/>
            </a:schemeClr>
          </a:solidFill>
          <a:prstDash val="solid"/>
          <a:tailEnd type="arrow"/>
        </a:ln>
        <a:effectLst/>
      </dsp:spPr>
      <dsp:style>
        <a:lnRef idx="1">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lvl="0" algn="ctr" defTabSz="222250">
            <a:lnSpc>
              <a:spcPct val="90000"/>
            </a:lnSpc>
            <a:spcBef>
              <a:spcPct val="0"/>
            </a:spcBef>
            <a:spcAft>
              <a:spcPct val="35000"/>
            </a:spcAft>
          </a:pPr>
          <a:endParaRPr lang="es-ES" sz="500" kern="1200">
            <a:latin typeface="Arial" panose="020B0604020202020204" pitchFamily="34" charset="0"/>
            <a:cs typeface="Arial" panose="020B0604020202020204" pitchFamily="34" charset="0"/>
          </a:endParaRPr>
        </a:p>
      </dsp:txBody>
      <dsp:txXfrm>
        <a:off x="4759240" y="1527700"/>
        <a:ext cx="15385" cy="3077"/>
      </dsp:txXfrm>
    </dsp:sp>
    <dsp:sp modelId="{859810C1-6E25-4A03-8D86-48BA5BC9267C}">
      <dsp:nvSpPr>
        <dsp:cNvPr id="0" name=""/>
        <dsp:cNvSpPr/>
      </dsp:nvSpPr>
      <dsp:spPr>
        <a:xfrm>
          <a:off x="3292339" y="1127886"/>
          <a:ext cx="1337841" cy="802704"/>
        </a:xfrm>
        <a:prstGeom prst="rect">
          <a:avLst/>
        </a:prstGeom>
        <a:solidFill>
          <a:schemeClr val="accent1">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113792" tIns="113792" rIns="113792" bIns="113792" numCol="1" spcCol="1270" anchor="ctr" anchorCtr="0">
          <a:noAutofit/>
        </a:bodyPr>
        <a:lstStyle/>
        <a:p>
          <a:pPr lvl="0" algn="ctr" defTabSz="711200">
            <a:lnSpc>
              <a:spcPct val="90000"/>
            </a:lnSpc>
            <a:spcBef>
              <a:spcPct val="0"/>
            </a:spcBef>
            <a:spcAft>
              <a:spcPct val="35000"/>
            </a:spcAft>
          </a:pPr>
          <a:r>
            <a:rPr lang="es-CO" sz="1600" kern="1200">
              <a:latin typeface="Arial" panose="020B0604020202020204" pitchFamily="34" charset="0"/>
              <a:cs typeface="Arial" panose="020B0604020202020204" pitchFamily="34" charset="0"/>
            </a:rPr>
            <a:t>Valor proyectado</a:t>
          </a:r>
          <a:endParaRPr lang="en-US" sz="1600" kern="1200">
            <a:latin typeface="Arial" panose="020B0604020202020204" pitchFamily="34" charset="0"/>
            <a:cs typeface="Arial" panose="020B0604020202020204" pitchFamily="34" charset="0"/>
          </a:endParaRPr>
        </a:p>
      </dsp:txBody>
      <dsp:txXfrm>
        <a:off x="3292339" y="1127886"/>
        <a:ext cx="1337841" cy="802704"/>
      </dsp:txXfrm>
    </dsp:sp>
    <dsp:sp modelId="{E8F18DD0-DE6C-4B68-B4B6-98BB5501A492}">
      <dsp:nvSpPr>
        <dsp:cNvPr id="0" name=""/>
        <dsp:cNvSpPr/>
      </dsp:nvSpPr>
      <dsp:spPr>
        <a:xfrm>
          <a:off x="4937884" y="1127886"/>
          <a:ext cx="1337841" cy="802704"/>
        </a:xfrm>
        <a:prstGeom prst="rect">
          <a:avLst/>
        </a:prstGeom>
        <a:solidFill>
          <a:schemeClr val="accent1">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113792" tIns="113792" rIns="113792" bIns="113792" numCol="1" spcCol="1270" anchor="ctr" anchorCtr="0">
          <a:noAutofit/>
        </a:bodyPr>
        <a:lstStyle/>
        <a:p>
          <a:pPr lvl="0" algn="ctr" defTabSz="711200">
            <a:lnSpc>
              <a:spcPct val="90000"/>
            </a:lnSpc>
            <a:spcBef>
              <a:spcPct val="0"/>
            </a:spcBef>
            <a:spcAft>
              <a:spcPct val="35000"/>
            </a:spcAft>
          </a:pPr>
          <a:r>
            <a:rPr lang="es-CO" sz="1600" kern="1200">
              <a:latin typeface="Arial" panose="020B0604020202020204" pitchFamily="34" charset="0"/>
              <a:cs typeface="Arial" panose="020B0604020202020204" pitchFamily="34" charset="0"/>
            </a:rPr>
            <a:t>Riesgo y seguimiento</a:t>
          </a:r>
          <a:endParaRPr lang="en-US" sz="1600" kern="1200">
            <a:latin typeface="Arial" panose="020B0604020202020204" pitchFamily="34" charset="0"/>
            <a:cs typeface="Arial" panose="020B0604020202020204" pitchFamily="34" charset="0"/>
          </a:endParaRPr>
        </a:p>
      </dsp:txBody>
      <dsp:txXfrm>
        <a:off x="4937884" y="1127886"/>
        <a:ext cx="1337841" cy="802704"/>
      </dsp:txXfrm>
    </dsp:sp>
  </dsp:spTree>
</dsp:drawing>
</file>

<file path=word/diagrams/drawing5.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8121771B-4C6D-4686-A832-0E0FFBB323B3}">
      <dsp:nvSpPr>
        <dsp:cNvPr id="0" name=""/>
        <dsp:cNvSpPr/>
      </dsp:nvSpPr>
      <dsp:spPr>
        <a:xfrm rot="10800000">
          <a:off x="1160057" y="1376"/>
          <a:ext cx="4118448" cy="490818"/>
        </a:xfrm>
        <a:prstGeom prst="homePlate">
          <a:avLst/>
        </a:prstGeom>
        <a:solidFill>
          <a:schemeClr val="lt1">
            <a:hueOff val="0"/>
            <a:satOff val="0"/>
            <a:lumOff val="0"/>
            <a:alphaOff val="0"/>
          </a:schemeClr>
        </a:solidFill>
        <a:ln w="25400" cap="flat" cmpd="sng" algn="ctr">
          <a:solidFill>
            <a:schemeClr val="accent1">
              <a:shade val="80000"/>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216437" tIns="38100" rIns="71120" bIns="38100" numCol="1" spcCol="1270" anchor="ctr" anchorCtr="0">
          <a:noAutofit/>
        </a:bodyPr>
        <a:lstStyle/>
        <a:p>
          <a:pPr lvl="0" algn="ctr" defTabSz="444500">
            <a:lnSpc>
              <a:spcPct val="90000"/>
            </a:lnSpc>
            <a:spcBef>
              <a:spcPct val="0"/>
            </a:spcBef>
            <a:spcAft>
              <a:spcPct val="35000"/>
            </a:spcAft>
          </a:pPr>
          <a:r>
            <a:rPr lang="es-CO" sz="1000" b="1" kern="1200">
              <a:latin typeface="Arial" panose="020B0604020202020204" pitchFamily="34" charset="0"/>
              <a:cs typeface="Arial" panose="020B0604020202020204" pitchFamily="34" charset="0"/>
            </a:rPr>
            <a:t>Población: </a:t>
          </a:r>
          <a:r>
            <a:rPr lang="es-CO" sz="1000" kern="1200">
              <a:latin typeface="Arial" panose="020B0604020202020204" pitchFamily="34" charset="0"/>
              <a:cs typeface="Arial" panose="020B0604020202020204" pitchFamily="34" charset="0"/>
            </a:rPr>
            <a:t>verificar que la población utilizada en los cálculos corresponda a la población objeto del acuerdo.</a:t>
          </a:r>
          <a:endParaRPr lang="es-ES" sz="1000" kern="1200">
            <a:latin typeface="Arial" panose="020B0604020202020204" pitchFamily="34" charset="0"/>
            <a:cs typeface="Arial" panose="020B0604020202020204" pitchFamily="34" charset="0"/>
          </a:endParaRPr>
        </a:p>
      </dsp:txBody>
      <dsp:txXfrm rot="10800000">
        <a:off x="1282761" y="1376"/>
        <a:ext cx="3995744" cy="490818"/>
      </dsp:txXfrm>
    </dsp:sp>
    <dsp:sp modelId="{99564947-7C6C-40D0-AA36-30CCABAC7596}">
      <dsp:nvSpPr>
        <dsp:cNvPr id="0" name=""/>
        <dsp:cNvSpPr/>
      </dsp:nvSpPr>
      <dsp:spPr>
        <a:xfrm>
          <a:off x="914648" y="1376"/>
          <a:ext cx="490818" cy="490818"/>
        </a:xfrm>
        <a:prstGeom prst="ellipse">
          <a:avLst/>
        </a:prstGeom>
        <a:blipFill rotWithShape="1">
          <a:blip xmlns:r="http://schemas.openxmlformats.org/officeDocument/2006/relationships" r:embed="rId1"/>
          <a:stretch>
            <a:fillRect/>
          </a:stretch>
        </a:blipFill>
        <a:ln w="25400" cap="flat" cmpd="sng" algn="ctr">
          <a:solidFill>
            <a:schemeClr val="accent1">
              <a:shade val="80000"/>
              <a:hueOff val="0"/>
              <a:satOff val="0"/>
              <a:lumOff val="0"/>
              <a:alphaOff val="0"/>
            </a:schemeClr>
          </a:solidFill>
          <a:prstDash val="solid"/>
        </a:ln>
        <a:effectLst/>
      </dsp:spPr>
      <dsp:style>
        <a:lnRef idx="2">
          <a:scrgbClr r="0" g="0" b="0"/>
        </a:lnRef>
        <a:fillRef idx="1">
          <a:scrgbClr r="0" g="0" b="0"/>
        </a:fillRef>
        <a:effectRef idx="0">
          <a:scrgbClr r="0" g="0" b="0"/>
        </a:effectRef>
        <a:fontRef idx="minor"/>
      </dsp:style>
    </dsp:sp>
    <dsp:sp modelId="{6835057C-864F-47E8-A344-8FDFA41F2CF4}">
      <dsp:nvSpPr>
        <dsp:cNvPr id="0" name=""/>
        <dsp:cNvSpPr/>
      </dsp:nvSpPr>
      <dsp:spPr>
        <a:xfrm rot="10800000">
          <a:off x="1160057" y="638707"/>
          <a:ext cx="4118448" cy="490818"/>
        </a:xfrm>
        <a:prstGeom prst="homePlate">
          <a:avLst/>
        </a:prstGeom>
        <a:solidFill>
          <a:schemeClr val="lt1">
            <a:hueOff val="0"/>
            <a:satOff val="0"/>
            <a:lumOff val="0"/>
            <a:alphaOff val="0"/>
          </a:schemeClr>
        </a:solidFill>
        <a:ln w="25400" cap="flat" cmpd="sng" algn="ctr">
          <a:solidFill>
            <a:schemeClr val="accent1">
              <a:shade val="80000"/>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216437" tIns="38100" rIns="71120" bIns="38100" numCol="1" spcCol="1270" anchor="ctr" anchorCtr="0">
          <a:noAutofit/>
        </a:bodyPr>
        <a:lstStyle/>
        <a:p>
          <a:pPr lvl="0" algn="ctr" defTabSz="444500">
            <a:lnSpc>
              <a:spcPct val="90000"/>
            </a:lnSpc>
            <a:spcBef>
              <a:spcPct val="0"/>
            </a:spcBef>
            <a:spcAft>
              <a:spcPct val="35000"/>
            </a:spcAft>
          </a:pPr>
          <a:r>
            <a:rPr lang="es-CO" sz="1000" b="1" kern="1200">
              <a:latin typeface="Arial" panose="020B0604020202020204" pitchFamily="34" charset="0"/>
              <a:cs typeface="Arial" panose="020B0604020202020204" pitchFamily="34" charset="0"/>
            </a:rPr>
            <a:t>Servicios y tecnologías: </a:t>
          </a:r>
          <a:r>
            <a:rPr lang="es-CO" sz="1000" kern="1200">
              <a:latin typeface="Arial" panose="020B0604020202020204" pitchFamily="34" charset="0"/>
              <a:cs typeface="Arial" panose="020B0604020202020204" pitchFamily="34" charset="0"/>
            </a:rPr>
            <a:t>comprobar que los servicios incluidos estén correctamente identificados y codificados.</a:t>
          </a:r>
          <a:endParaRPr lang="en-US" sz="1000" kern="1200">
            <a:latin typeface="Arial" panose="020B0604020202020204" pitchFamily="34" charset="0"/>
            <a:cs typeface="Arial" panose="020B0604020202020204" pitchFamily="34" charset="0"/>
          </a:endParaRPr>
        </a:p>
      </dsp:txBody>
      <dsp:txXfrm rot="10800000">
        <a:off x="1282761" y="638707"/>
        <a:ext cx="3995744" cy="490818"/>
      </dsp:txXfrm>
    </dsp:sp>
    <dsp:sp modelId="{EC59F019-0C1C-4695-ACC9-0A2704DF5D00}">
      <dsp:nvSpPr>
        <dsp:cNvPr id="0" name=""/>
        <dsp:cNvSpPr/>
      </dsp:nvSpPr>
      <dsp:spPr>
        <a:xfrm>
          <a:off x="914648" y="638707"/>
          <a:ext cx="490818" cy="490818"/>
        </a:xfrm>
        <a:prstGeom prst="ellipse">
          <a:avLst/>
        </a:prstGeom>
        <a:blipFill rotWithShape="1">
          <a:blip xmlns:r="http://schemas.openxmlformats.org/officeDocument/2006/relationships" r:embed="rId2"/>
          <a:stretch>
            <a:fillRect/>
          </a:stretch>
        </a:blipFill>
        <a:ln w="25400" cap="flat" cmpd="sng" algn="ctr">
          <a:solidFill>
            <a:schemeClr val="accent1">
              <a:shade val="80000"/>
              <a:hueOff val="0"/>
              <a:satOff val="0"/>
              <a:lumOff val="0"/>
              <a:alphaOff val="0"/>
            </a:schemeClr>
          </a:solidFill>
          <a:prstDash val="solid"/>
        </a:ln>
        <a:effectLst/>
      </dsp:spPr>
      <dsp:style>
        <a:lnRef idx="2">
          <a:scrgbClr r="0" g="0" b="0"/>
        </a:lnRef>
        <a:fillRef idx="1">
          <a:scrgbClr r="0" g="0" b="0"/>
        </a:fillRef>
        <a:effectRef idx="0">
          <a:scrgbClr r="0" g="0" b="0"/>
        </a:effectRef>
        <a:fontRef idx="minor"/>
      </dsp:style>
    </dsp:sp>
    <dsp:sp modelId="{116BD249-6E92-44DE-AA93-E60EE624FF02}">
      <dsp:nvSpPr>
        <dsp:cNvPr id="0" name=""/>
        <dsp:cNvSpPr/>
      </dsp:nvSpPr>
      <dsp:spPr>
        <a:xfrm rot="10800000">
          <a:off x="1160057" y="1276038"/>
          <a:ext cx="4118448" cy="490818"/>
        </a:xfrm>
        <a:prstGeom prst="homePlate">
          <a:avLst/>
        </a:prstGeom>
        <a:solidFill>
          <a:schemeClr val="lt1">
            <a:hueOff val="0"/>
            <a:satOff val="0"/>
            <a:lumOff val="0"/>
            <a:alphaOff val="0"/>
          </a:schemeClr>
        </a:solidFill>
        <a:ln w="25400" cap="flat" cmpd="sng" algn="ctr">
          <a:solidFill>
            <a:schemeClr val="accent1">
              <a:shade val="80000"/>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216437" tIns="38100" rIns="71120" bIns="38100" numCol="1" spcCol="1270" anchor="ctr" anchorCtr="0">
          <a:noAutofit/>
        </a:bodyPr>
        <a:lstStyle/>
        <a:p>
          <a:pPr lvl="0" algn="ctr" defTabSz="444500">
            <a:lnSpc>
              <a:spcPct val="90000"/>
            </a:lnSpc>
            <a:spcBef>
              <a:spcPct val="0"/>
            </a:spcBef>
            <a:spcAft>
              <a:spcPct val="35000"/>
            </a:spcAft>
          </a:pPr>
          <a:r>
            <a:rPr lang="es-CO" sz="1000" b="1" kern="1200">
              <a:latin typeface="Arial" panose="020B0604020202020204" pitchFamily="34" charset="0"/>
              <a:cs typeface="Arial" panose="020B0604020202020204" pitchFamily="34" charset="0"/>
            </a:rPr>
            <a:t>Frecuencias de uso: </a:t>
          </a:r>
          <a:r>
            <a:rPr lang="es-CO" sz="1000" kern="1200">
              <a:latin typeface="Arial" panose="020B0604020202020204" pitchFamily="34" charset="0"/>
              <a:cs typeface="Arial" panose="020B0604020202020204" pitchFamily="34" charset="0"/>
            </a:rPr>
            <a:t>revisar que las frecuencias hayan sido calculadas a partir de información histórica pertinente y que guarden correspondencia con la población susceptible.</a:t>
          </a:r>
          <a:endParaRPr lang="en-US" sz="1000" kern="1200">
            <a:latin typeface="Arial" panose="020B0604020202020204" pitchFamily="34" charset="0"/>
            <a:cs typeface="Arial" panose="020B0604020202020204" pitchFamily="34" charset="0"/>
          </a:endParaRPr>
        </a:p>
      </dsp:txBody>
      <dsp:txXfrm rot="10800000">
        <a:off x="1282761" y="1276038"/>
        <a:ext cx="3995744" cy="490818"/>
      </dsp:txXfrm>
    </dsp:sp>
    <dsp:sp modelId="{E8F20D44-BEFF-488F-9AE8-F623037B683B}">
      <dsp:nvSpPr>
        <dsp:cNvPr id="0" name=""/>
        <dsp:cNvSpPr/>
      </dsp:nvSpPr>
      <dsp:spPr>
        <a:xfrm>
          <a:off x="914648" y="1276038"/>
          <a:ext cx="490818" cy="490818"/>
        </a:xfrm>
        <a:prstGeom prst="ellipse">
          <a:avLst/>
        </a:prstGeom>
        <a:blipFill rotWithShape="1">
          <a:blip xmlns:r="http://schemas.openxmlformats.org/officeDocument/2006/relationships" r:embed="rId3"/>
          <a:stretch>
            <a:fillRect/>
          </a:stretch>
        </a:blipFill>
        <a:ln w="25400" cap="flat" cmpd="sng" algn="ctr">
          <a:solidFill>
            <a:schemeClr val="accent1">
              <a:shade val="80000"/>
              <a:hueOff val="0"/>
              <a:satOff val="0"/>
              <a:lumOff val="0"/>
              <a:alphaOff val="0"/>
            </a:schemeClr>
          </a:solidFill>
          <a:prstDash val="solid"/>
        </a:ln>
        <a:effectLst/>
      </dsp:spPr>
      <dsp:style>
        <a:lnRef idx="2">
          <a:scrgbClr r="0" g="0" b="0"/>
        </a:lnRef>
        <a:fillRef idx="1">
          <a:scrgbClr r="0" g="0" b="0"/>
        </a:fillRef>
        <a:effectRef idx="0">
          <a:scrgbClr r="0" g="0" b="0"/>
        </a:effectRef>
        <a:fontRef idx="minor"/>
      </dsp:style>
    </dsp:sp>
    <dsp:sp modelId="{0C982E4C-27BC-47C5-9554-760494AEB9F7}">
      <dsp:nvSpPr>
        <dsp:cNvPr id="0" name=""/>
        <dsp:cNvSpPr/>
      </dsp:nvSpPr>
      <dsp:spPr>
        <a:xfrm rot="10800000">
          <a:off x="1160057" y="1913369"/>
          <a:ext cx="4118448" cy="490818"/>
        </a:xfrm>
        <a:prstGeom prst="homePlate">
          <a:avLst/>
        </a:prstGeom>
        <a:solidFill>
          <a:schemeClr val="lt1">
            <a:hueOff val="0"/>
            <a:satOff val="0"/>
            <a:lumOff val="0"/>
            <a:alphaOff val="0"/>
          </a:schemeClr>
        </a:solidFill>
        <a:ln w="25400" cap="flat" cmpd="sng" algn="ctr">
          <a:solidFill>
            <a:schemeClr val="accent1">
              <a:shade val="80000"/>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216437" tIns="38100" rIns="71120" bIns="38100" numCol="1" spcCol="1270" anchor="ctr" anchorCtr="0">
          <a:noAutofit/>
        </a:bodyPr>
        <a:lstStyle/>
        <a:p>
          <a:pPr lvl="0" algn="ctr" defTabSz="444500">
            <a:lnSpc>
              <a:spcPct val="90000"/>
            </a:lnSpc>
            <a:spcBef>
              <a:spcPct val="0"/>
            </a:spcBef>
            <a:spcAft>
              <a:spcPct val="35000"/>
            </a:spcAft>
          </a:pPr>
          <a:r>
            <a:rPr lang="es-CO" sz="1000" b="1" kern="1200">
              <a:latin typeface="Arial" panose="020B0604020202020204" pitchFamily="34" charset="0"/>
              <a:cs typeface="Arial" panose="020B0604020202020204" pitchFamily="34" charset="0"/>
            </a:rPr>
            <a:t>Cantidades proyectadas: </a:t>
          </a:r>
          <a:r>
            <a:rPr lang="es-CO" sz="1000" kern="1200">
              <a:latin typeface="Arial" panose="020B0604020202020204" pitchFamily="34" charset="0"/>
              <a:cs typeface="Arial" panose="020B0604020202020204" pitchFamily="34" charset="0"/>
            </a:rPr>
            <a:t>comprobar la relación entre población, frecuencia y cantidad de servicios estimada.</a:t>
          </a:r>
          <a:endParaRPr lang="en-US" sz="1000" kern="1200">
            <a:latin typeface="Arial" panose="020B0604020202020204" pitchFamily="34" charset="0"/>
            <a:cs typeface="Arial" panose="020B0604020202020204" pitchFamily="34" charset="0"/>
          </a:endParaRPr>
        </a:p>
      </dsp:txBody>
      <dsp:txXfrm rot="10800000">
        <a:off x="1282761" y="1913369"/>
        <a:ext cx="3995744" cy="490818"/>
      </dsp:txXfrm>
    </dsp:sp>
    <dsp:sp modelId="{7FBAD6A1-ACFF-427D-9FF7-14099FFA7C7C}">
      <dsp:nvSpPr>
        <dsp:cNvPr id="0" name=""/>
        <dsp:cNvSpPr/>
      </dsp:nvSpPr>
      <dsp:spPr>
        <a:xfrm>
          <a:off x="914648" y="1913369"/>
          <a:ext cx="490818" cy="490818"/>
        </a:xfrm>
        <a:prstGeom prst="ellipse">
          <a:avLst/>
        </a:prstGeom>
        <a:blipFill rotWithShape="1">
          <a:blip xmlns:r="http://schemas.openxmlformats.org/officeDocument/2006/relationships" r:embed="rId4"/>
          <a:stretch>
            <a:fillRect/>
          </a:stretch>
        </a:blipFill>
        <a:ln w="25400" cap="flat" cmpd="sng" algn="ctr">
          <a:solidFill>
            <a:schemeClr val="accent1">
              <a:shade val="80000"/>
              <a:hueOff val="0"/>
              <a:satOff val="0"/>
              <a:lumOff val="0"/>
              <a:alphaOff val="0"/>
            </a:schemeClr>
          </a:solidFill>
          <a:prstDash val="solid"/>
        </a:ln>
        <a:effectLst/>
      </dsp:spPr>
      <dsp:style>
        <a:lnRef idx="2">
          <a:scrgbClr r="0" g="0" b="0"/>
        </a:lnRef>
        <a:fillRef idx="1">
          <a:scrgbClr r="0" g="0" b="0"/>
        </a:fillRef>
        <a:effectRef idx="0">
          <a:scrgbClr r="0" g="0" b="0"/>
        </a:effectRef>
        <a:fontRef idx="minor"/>
      </dsp:style>
    </dsp:sp>
    <dsp:sp modelId="{E654690E-025B-458E-BD29-230517100921}">
      <dsp:nvSpPr>
        <dsp:cNvPr id="0" name=""/>
        <dsp:cNvSpPr/>
      </dsp:nvSpPr>
      <dsp:spPr>
        <a:xfrm rot="10800000">
          <a:off x="1160057" y="2550700"/>
          <a:ext cx="4118448" cy="490818"/>
        </a:xfrm>
        <a:prstGeom prst="homePlate">
          <a:avLst/>
        </a:prstGeom>
        <a:solidFill>
          <a:schemeClr val="lt1">
            <a:hueOff val="0"/>
            <a:satOff val="0"/>
            <a:lumOff val="0"/>
            <a:alphaOff val="0"/>
          </a:schemeClr>
        </a:solidFill>
        <a:ln w="25400" cap="flat" cmpd="sng" algn="ctr">
          <a:solidFill>
            <a:schemeClr val="accent1">
              <a:shade val="80000"/>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216437" tIns="38100" rIns="71120" bIns="38100" numCol="1" spcCol="1270" anchor="ctr" anchorCtr="0">
          <a:noAutofit/>
        </a:bodyPr>
        <a:lstStyle/>
        <a:p>
          <a:pPr lvl="0" algn="ctr" defTabSz="444500">
            <a:lnSpc>
              <a:spcPct val="90000"/>
            </a:lnSpc>
            <a:spcBef>
              <a:spcPct val="0"/>
            </a:spcBef>
            <a:spcAft>
              <a:spcPct val="35000"/>
            </a:spcAft>
          </a:pPr>
          <a:r>
            <a:rPr lang="es-CO" sz="1000" b="1" kern="1200">
              <a:latin typeface="Arial" panose="020B0604020202020204" pitchFamily="34" charset="0"/>
              <a:cs typeface="Arial" panose="020B0604020202020204" pitchFamily="34" charset="0"/>
            </a:rPr>
            <a:t>Costos y tarifas: </a:t>
          </a:r>
          <a:r>
            <a:rPr lang="es-CO" sz="1000" kern="1200">
              <a:latin typeface="Arial" panose="020B0604020202020204" pitchFamily="34" charset="0"/>
              <a:cs typeface="Arial" panose="020B0604020202020204" pitchFamily="34" charset="0"/>
            </a:rPr>
            <a:t>verificar que los valores utilizados correspondan a los servicios proyectados y a las referencias o condiciones establecidas.</a:t>
          </a:r>
          <a:endParaRPr lang="en-US" sz="1000" kern="1200">
            <a:latin typeface="Arial" panose="020B0604020202020204" pitchFamily="34" charset="0"/>
            <a:cs typeface="Arial" panose="020B0604020202020204" pitchFamily="34" charset="0"/>
          </a:endParaRPr>
        </a:p>
      </dsp:txBody>
      <dsp:txXfrm rot="10800000">
        <a:off x="1282761" y="2550700"/>
        <a:ext cx="3995744" cy="490818"/>
      </dsp:txXfrm>
    </dsp:sp>
    <dsp:sp modelId="{73B1D31F-1F92-42D6-904E-8234982B09AB}">
      <dsp:nvSpPr>
        <dsp:cNvPr id="0" name=""/>
        <dsp:cNvSpPr/>
      </dsp:nvSpPr>
      <dsp:spPr>
        <a:xfrm>
          <a:off x="914648" y="2550700"/>
          <a:ext cx="490818" cy="490818"/>
        </a:xfrm>
        <a:prstGeom prst="ellipse">
          <a:avLst/>
        </a:prstGeom>
        <a:blipFill rotWithShape="1">
          <a:blip xmlns:r="http://schemas.openxmlformats.org/officeDocument/2006/relationships" r:embed="rId5"/>
          <a:stretch>
            <a:fillRect/>
          </a:stretch>
        </a:blipFill>
        <a:ln w="25400" cap="flat" cmpd="sng" algn="ctr">
          <a:solidFill>
            <a:schemeClr val="accent1">
              <a:shade val="80000"/>
              <a:hueOff val="0"/>
              <a:satOff val="0"/>
              <a:lumOff val="0"/>
              <a:alphaOff val="0"/>
            </a:schemeClr>
          </a:solidFill>
          <a:prstDash val="solid"/>
        </a:ln>
        <a:effectLst/>
      </dsp:spPr>
      <dsp:style>
        <a:lnRef idx="2">
          <a:scrgbClr r="0" g="0" b="0"/>
        </a:lnRef>
        <a:fillRef idx="1">
          <a:scrgbClr r="0" g="0" b="0"/>
        </a:fillRef>
        <a:effectRef idx="0">
          <a:scrgbClr r="0" g="0" b="0"/>
        </a:effectRef>
        <a:fontRef idx="minor"/>
      </dsp:style>
    </dsp:sp>
    <dsp:sp modelId="{5C032766-C7C3-4FD5-937C-086F35091AA3}">
      <dsp:nvSpPr>
        <dsp:cNvPr id="0" name=""/>
        <dsp:cNvSpPr/>
      </dsp:nvSpPr>
      <dsp:spPr>
        <a:xfrm rot="10800000">
          <a:off x="1160057" y="3188031"/>
          <a:ext cx="4118448" cy="490818"/>
        </a:xfrm>
        <a:prstGeom prst="homePlate">
          <a:avLst/>
        </a:prstGeom>
        <a:solidFill>
          <a:schemeClr val="lt1">
            <a:hueOff val="0"/>
            <a:satOff val="0"/>
            <a:lumOff val="0"/>
            <a:alphaOff val="0"/>
          </a:schemeClr>
        </a:solidFill>
        <a:ln w="25400" cap="flat" cmpd="sng" algn="ctr">
          <a:solidFill>
            <a:schemeClr val="accent1">
              <a:shade val="80000"/>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216437" tIns="38100" rIns="71120" bIns="38100" numCol="1" spcCol="1270" anchor="ctr" anchorCtr="0">
          <a:noAutofit/>
        </a:bodyPr>
        <a:lstStyle/>
        <a:p>
          <a:pPr lvl="0" algn="ctr" defTabSz="444500">
            <a:lnSpc>
              <a:spcPct val="90000"/>
            </a:lnSpc>
            <a:spcBef>
              <a:spcPct val="0"/>
            </a:spcBef>
            <a:spcAft>
              <a:spcPct val="35000"/>
            </a:spcAft>
          </a:pPr>
          <a:r>
            <a:rPr lang="es-CO" sz="1000" b="1" kern="1200">
              <a:latin typeface="Arial" panose="020B0604020202020204" pitchFamily="34" charset="0"/>
              <a:cs typeface="Arial" panose="020B0604020202020204" pitchFamily="34" charset="0"/>
            </a:rPr>
            <a:t>Soportes: </a:t>
          </a:r>
          <a:r>
            <a:rPr lang="es-CO" sz="1000" kern="1200">
              <a:latin typeface="Arial" panose="020B0604020202020204" pitchFamily="34" charset="0"/>
              <a:cs typeface="Arial" panose="020B0604020202020204" pitchFamily="34" charset="0"/>
            </a:rPr>
            <a:t>comprobar que los datos y cálculos cuenten con la documentación que permita sustentar su origen y trazabilidad.</a:t>
          </a:r>
          <a:endParaRPr lang="en-US" sz="1000" kern="1200">
            <a:latin typeface="Arial" panose="020B0604020202020204" pitchFamily="34" charset="0"/>
            <a:cs typeface="Arial" panose="020B0604020202020204" pitchFamily="34" charset="0"/>
          </a:endParaRPr>
        </a:p>
      </dsp:txBody>
      <dsp:txXfrm rot="10800000">
        <a:off x="1282761" y="3188031"/>
        <a:ext cx="3995744" cy="490818"/>
      </dsp:txXfrm>
    </dsp:sp>
    <dsp:sp modelId="{36E06AE0-40A1-4084-ADEA-64E417862614}">
      <dsp:nvSpPr>
        <dsp:cNvPr id="0" name=""/>
        <dsp:cNvSpPr/>
      </dsp:nvSpPr>
      <dsp:spPr>
        <a:xfrm>
          <a:off x="914648" y="3188031"/>
          <a:ext cx="490818" cy="490818"/>
        </a:xfrm>
        <a:prstGeom prst="ellipse">
          <a:avLst/>
        </a:prstGeom>
        <a:blipFill rotWithShape="1">
          <a:blip xmlns:r="http://schemas.openxmlformats.org/officeDocument/2006/relationships" r:embed="rId6"/>
          <a:stretch>
            <a:fillRect/>
          </a:stretch>
        </a:blipFill>
        <a:ln w="25400" cap="flat" cmpd="sng" algn="ctr">
          <a:solidFill>
            <a:schemeClr val="accent1">
              <a:shade val="80000"/>
              <a:hueOff val="0"/>
              <a:satOff val="0"/>
              <a:lumOff val="0"/>
              <a:alphaOff val="0"/>
            </a:schemeClr>
          </a:solidFill>
          <a:prstDash val="solid"/>
        </a:ln>
        <a:effectLst/>
      </dsp:spPr>
      <dsp:style>
        <a:lnRef idx="2">
          <a:scrgbClr r="0" g="0" b="0"/>
        </a:lnRef>
        <a:fillRef idx="1">
          <a:scrgbClr r="0" g="0" b="0"/>
        </a:fillRef>
        <a:effectRef idx="0">
          <a:scrgbClr r="0" g="0" b="0"/>
        </a:effectRef>
        <a:fontRef idx="minor"/>
      </dsp:style>
    </dsp:sp>
    <dsp:sp modelId="{FDDE0F75-EDA9-4A63-9FBD-72E5D032D1F1}">
      <dsp:nvSpPr>
        <dsp:cNvPr id="0" name=""/>
        <dsp:cNvSpPr/>
      </dsp:nvSpPr>
      <dsp:spPr>
        <a:xfrm rot="10800000">
          <a:off x="1160057" y="3825362"/>
          <a:ext cx="4118448" cy="490818"/>
        </a:xfrm>
        <a:prstGeom prst="homePlate">
          <a:avLst/>
        </a:prstGeom>
        <a:solidFill>
          <a:schemeClr val="lt1">
            <a:hueOff val="0"/>
            <a:satOff val="0"/>
            <a:lumOff val="0"/>
            <a:alphaOff val="0"/>
          </a:schemeClr>
        </a:solidFill>
        <a:ln w="25400" cap="flat" cmpd="sng" algn="ctr">
          <a:solidFill>
            <a:schemeClr val="accent1">
              <a:shade val="80000"/>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216437" tIns="38100" rIns="71120" bIns="38100" numCol="1" spcCol="1270" anchor="ctr" anchorCtr="0">
          <a:noAutofit/>
        </a:bodyPr>
        <a:lstStyle/>
        <a:p>
          <a:pPr lvl="0" algn="ctr" defTabSz="444500">
            <a:lnSpc>
              <a:spcPct val="90000"/>
            </a:lnSpc>
            <a:spcBef>
              <a:spcPct val="0"/>
            </a:spcBef>
            <a:spcAft>
              <a:spcPct val="35000"/>
            </a:spcAft>
          </a:pPr>
          <a:r>
            <a:rPr lang="es-CO" sz="1000" b="1" kern="1200">
              <a:latin typeface="Arial" panose="020B0604020202020204" pitchFamily="34" charset="0"/>
              <a:cs typeface="Arial" panose="020B0604020202020204" pitchFamily="34" charset="0"/>
            </a:rPr>
            <a:t>Coherencia interna: </a:t>
          </a:r>
          <a:r>
            <a:rPr lang="es-CO" sz="1000" kern="1200">
              <a:latin typeface="Arial" panose="020B0604020202020204" pitchFamily="34" charset="0"/>
              <a:cs typeface="Arial" panose="020B0604020202020204" pitchFamily="34" charset="0"/>
            </a:rPr>
            <a:t>verificar que no existan inconsistencias entre los diferentes componentes de la nota técnica.</a:t>
          </a:r>
          <a:endParaRPr lang="en-US" sz="1000" kern="1200">
            <a:latin typeface="Arial" panose="020B0604020202020204" pitchFamily="34" charset="0"/>
            <a:cs typeface="Arial" panose="020B0604020202020204" pitchFamily="34" charset="0"/>
          </a:endParaRPr>
        </a:p>
      </dsp:txBody>
      <dsp:txXfrm rot="10800000">
        <a:off x="1282761" y="3825362"/>
        <a:ext cx="3995744" cy="490818"/>
      </dsp:txXfrm>
    </dsp:sp>
    <dsp:sp modelId="{3BC72134-9DE7-4872-B6E3-4CD07F3113B4}">
      <dsp:nvSpPr>
        <dsp:cNvPr id="0" name=""/>
        <dsp:cNvSpPr/>
      </dsp:nvSpPr>
      <dsp:spPr>
        <a:xfrm>
          <a:off x="914648" y="3825362"/>
          <a:ext cx="490818" cy="490818"/>
        </a:xfrm>
        <a:prstGeom prst="ellipse">
          <a:avLst/>
        </a:prstGeom>
        <a:blipFill rotWithShape="1">
          <a:blip xmlns:r="http://schemas.openxmlformats.org/officeDocument/2006/relationships" r:embed="rId7"/>
          <a:stretch>
            <a:fillRect/>
          </a:stretch>
        </a:blipFill>
        <a:ln w="25400" cap="flat" cmpd="sng" algn="ctr">
          <a:solidFill>
            <a:schemeClr val="accent1">
              <a:shade val="80000"/>
              <a:hueOff val="0"/>
              <a:satOff val="0"/>
              <a:lumOff val="0"/>
              <a:alphaOff val="0"/>
            </a:schemeClr>
          </a:solidFill>
          <a:prstDash val="solid"/>
        </a:ln>
        <a:effectLst/>
      </dsp:spPr>
      <dsp:style>
        <a:lnRef idx="2">
          <a:scrgbClr r="0" g="0" b="0"/>
        </a:lnRef>
        <a:fillRef idx="1">
          <a:scrgbClr r="0" g="0" b="0"/>
        </a:fillRef>
        <a:effectRef idx="0">
          <a:scrgbClr r="0" g="0" b="0"/>
        </a:effectRef>
        <a:fontRef idx="minor"/>
      </dsp:style>
    </dsp:sp>
  </dsp:spTree>
</dsp:drawing>
</file>

<file path=word/diagrams/drawing6.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8A91E095-8883-4692-A53A-C4BCE80A3AC7}">
      <dsp:nvSpPr>
        <dsp:cNvPr id="0" name=""/>
        <dsp:cNvSpPr/>
      </dsp:nvSpPr>
      <dsp:spPr>
        <a:xfrm rot="10800000">
          <a:off x="1192978" y="1653"/>
          <a:ext cx="4215993" cy="524220"/>
        </a:xfrm>
        <a:prstGeom prst="homePlate">
          <a:avLst/>
        </a:prstGeom>
        <a:solidFill>
          <a:schemeClr val="lt1">
            <a:hueOff val="0"/>
            <a:satOff val="0"/>
            <a:lumOff val="0"/>
            <a:alphaOff val="0"/>
          </a:schemeClr>
        </a:solidFill>
        <a:ln w="25400" cap="flat" cmpd="sng" algn="ctr">
          <a:solidFill>
            <a:schemeClr val="dk2">
              <a:shade val="80000"/>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231167" tIns="30480" rIns="56896" bIns="30480" numCol="1" spcCol="1270" anchor="ctr" anchorCtr="0">
          <a:noAutofit/>
        </a:bodyPr>
        <a:lstStyle/>
        <a:p>
          <a:pPr lvl="0" algn="ctr" defTabSz="355600">
            <a:lnSpc>
              <a:spcPct val="90000"/>
            </a:lnSpc>
            <a:spcBef>
              <a:spcPct val="0"/>
            </a:spcBef>
            <a:spcAft>
              <a:spcPct val="35000"/>
            </a:spcAft>
          </a:pPr>
          <a:r>
            <a:rPr lang="es-CO" sz="800" b="1" kern="1200">
              <a:solidFill>
                <a:sysClr val="windowText" lastClr="000000"/>
              </a:solidFill>
              <a:latin typeface="Arial" panose="020B0604020202020204" pitchFamily="34" charset="0"/>
              <a:cs typeface="Arial" panose="020B0604020202020204" pitchFamily="34" charset="0"/>
            </a:rPr>
            <a:t>Condiciones del acuerdo de voluntades:</a:t>
          </a:r>
          <a:r>
            <a:rPr lang="es-CO" sz="800" kern="1200">
              <a:solidFill>
                <a:sysClr val="windowText" lastClr="000000"/>
              </a:solidFill>
              <a:latin typeface="Arial" panose="020B0604020202020204" pitchFamily="34" charset="0"/>
              <a:cs typeface="Arial" panose="020B0604020202020204" pitchFamily="34" charset="0"/>
            </a:rPr>
            <a:t> verificar que la nota técnica sea coherente con las cláusulas y condiciones establecidas entre las partes.</a:t>
          </a:r>
          <a:endParaRPr lang="es-ES" sz="800" kern="1200">
            <a:solidFill>
              <a:sysClr val="windowText" lastClr="000000"/>
            </a:solidFill>
            <a:latin typeface="Arial" panose="020B0604020202020204" pitchFamily="34" charset="0"/>
            <a:cs typeface="Arial" panose="020B0604020202020204" pitchFamily="34" charset="0"/>
          </a:endParaRPr>
        </a:p>
      </dsp:txBody>
      <dsp:txXfrm rot="10800000">
        <a:off x="1324033" y="1653"/>
        <a:ext cx="4084938" cy="524220"/>
      </dsp:txXfrm>
    </dsp:sp>
    <dsp:sp modelId="{D7E39E34-704F-48E0-BF4E-815D3B4FEF32}">
      <dsp:nvSpPr>
        <dsp:cNvPr id="0" name=""/>
        <dsp:cNvSpPr/>
      </dsp:nvSpPr>
      <dsp:spPr>
        <a:xfrm>
          <a:off x="930867" y="1653"/>
          <a:ext cx="524220" cy="524220"/>
        </a:xfrm>
        <a:prstGeom prst="ellipse">
          <a:avLst/>
        </a:prstGeom>
        <a:blipFill rotWithShape="1">
          <a:blip xmlns:r="http://schemas.openxmlformats.org/officeDocument/2006/relationships" r:embed="rId1"/>
          <a:stretch>
            <a:fillRect/>
          </a:stretch>
        </a:blipFill>
        <a:ln w="25400" cap="flat" cmpd="sng" algn="ctr">
          <a:solidFill>
            <a:schemeClr val="dk2">
              <a:shade val="80000"/>
              <a:hueOff val="0"/>
              <a:satOff val="0"/>
              <a:lumOff val="0"/>
              <a:alphaOff val="0"/>
            </a:schemeClr>
          </a:solidFill>
          <a:prstDash val="solid"/>
        </a:ln>
        <a:effectLst/>
      </dsp:spPr>
      <dsp:style>
        <a:lnRef idx="2">
          <a:scrgbClr r="0" g="0" b="0"/>
        </a:lnRef>
        <a:fillRef idx="1">
          <a:scrgbClr r="0" g="0" b="0"/>
        </a:fillRef>
        <a:effectRef idx="0">
          <a:scrgbClr r="0" g="0" b="0"/>
        </a:effectRef>
        <a:fontRef idx="minor"/>
      </dsp:style>
    </dsp:sp>
    <dsp:sp modelId="{0B3A21BF-FDCB-4228-90A5-A841C26B5B21}">
      <dsp:nvSpPr>
        <dsp:cNvPr id="0" name=""/>
        <dsp:cNvSpPr/>
      </dsp:nvSpPr>
      <dsp:spPr>
        <a:xfrm rot="10800000">
          <a:off x="1192978" y="682358"/>
          <a:ext cx="4215993" cy="524220"/>
        </a:xfrm>
        <a:prstGeom prst="homePlate">
          <a:avLst/>
        </a:prstGeom>
        <a:solidFill>
          <a:schemeClr val="lt1">
            <a:hueOff val="0"/>
            <a:satOff val="0"/>
            <a:lumOff val="0"/>
            <a:alphaOff val="0"/>
          </a:schemeClr>
        </a:solidFill>
        <a:ln w="25400" cap="flat" cmpd="sng" algn="ctr">
          <a:solidFill>
            <a:schemeClr val="dk2">
              <a:shade val="80000"/>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231167" tIns="30480" rIns="56896" bIns="30480" numCol="1" spcCol="1270" anchor="ctr" anchorCtr="0">
          <a:noAutofit/>
        </a:bodyPr>
        <a:lstStyle/>
        <a:p>
          <a:pPr lvl="0" algn="ctr" defTabSz="355600">
            <a:lnSpc>
              <a:spcPct val="90000"/>
            </a:lnSpc>
            <a:spcBef>
              <a:spcPct val="0"/>
            </a:spcBef>
            <a:spcAft>
              <a:spcPct val="35000"/>
            </a:spcAft>
          </a:pPr>
          <a:r>
            <a:rPr lang="es-CO" sz="800" b="1" kern="1200">
              <a:solidFill>
                <a:sysClr val="windowText" lastClr="000000"/>
              </a:solidFill>
              <a:latin typeface="Arial" panose="020B0604020202020204" pitchFamily="34" charset="0"/>
              <a:cs typeface="Arial" panose="020B0604020202020204" pitchFamily="34" charset="0"/>
            </a:rPr>
            <a:t>Marco normativo:</a:t>
          </a:r>
          <a:r>
            <a:rPr lang="es-CO" sz="800" kern="1200">
              <a:solidFill>
                <a:sysClr val="windowText" lastClr="000000"/>
              </a:solidFill>
              <a:latin typeface="Arial" panose="020B0604020202020204" pitchFamily="34" charset="0"/>
              <a:cs typeface="Arial" panose="020B0604020202020204" pitchFamily="34" charset="0"/>
            </a:rPr>
            <a:t> comprobar que su contenido considere las disposiciones aplicables a los acuerdos de voluntades y a la modalidad de contratación.</a:t>
          </a:r>
          <a:endParaRPr lang="en-US" sz="800" kern="1200">
            <a:solidFill>
              <a:sysClr val="windowText" lastClr="000000"/>
            </a:solidFill>
            <a:latin typeface="Arial" panose="020B0604020202020204" pitchFamily="34" charset="0"/>
            <a:cs typeface="Arial" panose="020B0604020202020204" pitchFamily="34" charset="0"/>
          </a:endParaRPr>
        </a:p>
      </dsp:txBody>
      <dsp:txXfrm rot="10800000">
        <a:off x="1324033" y="682358"/>
        <a:ext cx="4084938" cy="524220"/>
      </dsp:txXfrm>
    </dsp:sp>
    <dsp:sp modelId="{F1EEF98B-CFB2-4C5F-8000-C939D4450C60}">
      <dsp:nvSpPr>
        <dsp:cNvPr id="0" name=""/>
        <dsp:cNvSpPr/>
      </dsp:nvSpPr>
      <dsp:spPr>
        <a:xfrm>
          <a:off x="930867" y="682358"/>
          <a:ext cx="524220" cy="524220"/>
        </a:xfrm>
        <a:prstGeom prst="ellipse">
          <a:avLst/>
        </a:prstGeom>
        <a:blipFill rotWithShape="1">
          <a:blip xmlns:r="http://schemas.openxmlformats.org/officeDocument/2006/relationships" r:embed="rId2"/>
          <a:stretch>
            <a:fillRect/>
          </a:stretch>
        </a:blipFill>
        <a:ln w="25400" cap="flat" cmpd="sng" algn="ctr">
          <a:solidFill>
            <a:schemeClr val="dk2">
              <a:shade val="80000"/>
              <a:hueOff val="0"/>
              <a:satOff val="0"/>
              <a:lumOff val="0"/>
              <a:alphaOff val="0"/>
            </a:schemeClr>
          </a:solidFill>
          <a:prstDash val="solid"/>
        </a:ln>
        <a:effectLst/>
      </dsp:spPr>
      <dsp:style>
        <a:lnRef idx="2">
          <a:scrgbClr r="0" g="0" b="0"/>
        </a:lnRef>
        <a:fillRef idx="1">
          <a:scrgbClr r="0" g="0" b="0"/>
        </a:fillRef>
        <a:effectRef idx="0">
          <a:scrgbClr r="0" g="0" b="0"/>
        </a:effectRef>
        <a:fontRef idx="minor"/>
      </dsp:style>
    </dsp:sp>
    <dsp:sp modelId="{DD00321A-2CC4-4D9E-9C9E-958A038EC17C}">
      <dsp:nvSpPr>
        <dsp:cNvPr id="0" name=""/>
        <dsp:cNvSpPr/>
      </dsp:nvSpPr>
      <dsp:spPr>
        <a:xfrm rot="10800000">
          <a:off x="1192978" y="1363063"/>
          <a:ext cx="4215993" cy="524220"/>
        </a:xfrm>
        <a:prstGeom prst="homePlate">
          <a:avLst/>
        </a:prstGeom>
        <a:solidFill>
          <a:schemeClr val="lt1">
            <a:hueOff val="0"/>
            <a:satOff val="0"/>
            <a:lumOff val="0"/>
            <a:alphaOff val="0"/>
          </a:schemeClr>
        </a:solidFill>
        <a:ln w="25400" cap="flat" cmpd="sng" algn="ctr">
          <a:solidFill>
            <a:schemeClr val="dk2">
              <a:shade val="80000"/>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231167" tIns="30480" rIns="56896" bIns="30480" numCol="1" spcCol="1270" anchor="ctr" anchorCtr="0">
          <a:noAutofit/>
        </a:bodyPr>
        <a:lstStyle/>
        <a:p>
          <a:pPr lvl="0" algn="ctr" defTabSz="355600">
            <a:lnSpc>
              <a:spcPct val="90000"/>
            </a:lnSpc>
            <a:spcBef>
              <a:spcPct val="0"/>
            </a:spcBef>
            <a:spcAft>
              <a:spcPct val="35000"/>
            </a:spcAft>
          </a:pPr>
          <a:r>
            <a:rPr lang="es-CO" sz="800" b="1" kern="1200">
              <a:solidFill>
                <a:sysClr val="windowText" lastClr="000000"/>
              </a:solidFill>
              <a:latin typeface="Arial" panose="020B0604020202020204" pitchFamily="34" charset="0"/>
              <a:cs typeface="Arial" panose="020B0604020202020204" pitchFamily="34" charset="0"/>
            </a:rPr>
            <a:t>Modalidad de pago:</a:t>
          </a:r>
          <a:r>
            <a:rPr lang="es-CO" sz="800" kern="1200">
              <a:solidFill>
                <a:sysClr val="windowText" lastClr="000000"/>
              </a:solidFill>
              <a:latin typeface="Arial" panose="020B0604020202020204" pitchFamily="34" charset="0"/>
              <a:cs typeface="Arial" panose="020B0604020202020204" pitchFamily="34" charset="0"/>
            </a:rPr>
            <a:t> verificar que la modalidad establecida sea consistente con la estructura y las proyecciones de la nota técnica.</a:t>
          </a:r>
          <a:endParaRPr lang="en-US" sz="800" kern="1200">
            <a:solidFill>
              <a:sysClr val="windowText" lastClr="000000"/>
            </a:solidFill>
            <a:latin typeface="Arial" panose="020B0604020202020204" pitchFamily="34" charset="0"/>
            <a:cs typeface="Arial" panose="020B0604020202020204" pitchFamily="34" charset="0"/>
          </a:endParaRPr>
        </a:p>
      </dsp:txBody>
      <dsp:txXfrm rot="10800000">
        <a:off x="1324033" y="1363063"/>
        <a:ext cx="4084938" cy="524220"/>
      </dsp:txXfrm>
    </dsp:sp>
    <dsp:sp modelId="{D8E3112B-6EF4-4C29-9287-F493DD128084}">
      <dsp:nvSpPr>
        <dsp:cNvPr id="0" name=""/>
        <dsp:cNvSpPr/>
      </dsp:nvSpPr>
      <dsp:spPr>
        <a:xfrm>
          <a:off x="930867" y="1363063"/>
          <a:ext cx="524220" cy="524220"/>
        </a:xfrm>
        <a:prstGeom prst="ellipse">
          <a:avLst/>
        </a:prstGeom>
        <a:blipFill rotWithShape="1">
          <a:blip xmlns:r="http://schemas.openxmlformats.org/officeDocument/2006/relationships" r:embed="rId3"/>
          <a:stretch>
            <a:fillRect/>
          </a:stretch>
        </a:blipFill>
        <a:ln w="25400" cap="flat" cmpd="sng" algn="ctr">
          <a:solidFill>
            <a:schemeClr val="dk2">
              <a:shade val="80000"/>
              <a:hueOff val="0"/>
              <a:satOff val="0"/>
              <a:lumOff val="0"/>
              <a:alphaOff val="0"/>
            </a:schemeClr>
          </a:solidFill>
          <a:prstDash val="solid"/>
        </a:ln>
        <a:effectLst/>
      </dsp:spPr>
      <dsp:style>
        <a:lnRef idx="2">
          <a:scrgbClr r="0" g="0" b="0"/>
        </a:lnRef>
        <a:fillRef idx="1">
          <a:scrgbClr r="0" g="0" b="0"/>
        </a:fillRef>
        <a:effectRef idx="0">
          <a:scrgbClr r="0" g="0" b="0"/>
        </a:effectRef>
        <a:fontRef idx="minor"/>
      </dsp:style>
    </dsp:sp>
    <dsp:sp modelId="{1426C1C7-D39B-415B-844E-E4CDDE995AB6}">
      <dsp:nvSpPr>
        <dsp:cNvPr id="0" name=""/>
        <dsp:cNvSpPr/>
      </dsp:nvSpPr>
      <dsp:spPr>
        <a:xfrm rot="10800000">
          <a:off x="1192978" y="2043768"/>
          <a:ext cx="4215993" cy="524220"/>
        </a:xfrm>
        <a:prstGeom prst="homePlate">
          <a:avLst/>
        </a:prstGeom>
        <a:solidFill>
          <a:schemeClr val="lt1">
            <a:hueOff val="0"/>
            <a:satOff val="0"/>
            <a:lumOff val="0"/>
            <a:alphaOff val="0"/>
          </a:schemeClr>
        </a:solidFill>
        <a:ln w="25400" cap="flat" cmpd="sng" algn="ctr">
          <a:solidFill>
            <a:schemeClr val="dk2">
              <a:shade val="80000"/>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231167" tIns="30480" rIns="56896" bIns="30480" numCol="1" spcCol="1270" anchor="ctr" anchorCtr="0">
          <a:noAutofit/>
        </a:bodyPr>
        <a:lstStyle/>
        <a:p>
          <a:pPr lvl="0" algn="ctr" defTabSz="355600">
            <a:lnSpc>
              <a:spcPct val="90000"/>
            </a:lnSpc>
            <a:spcBef>
              <a:spcPct val="0"/>
            </a:spcBef>
            <a:spcAft>
              <a:spcPct val="35000"/>
            </a:spcAft>
          </a:pPr>
          <a:r>
            <a:rPr lang="es-CO" sz="800" b="1" kern="1200">
              <a:solidFill>
                <a:sysClr val="windowText" lastClr="000000"/>
              </a:solidFill>
              <a:latin typeface="Arial" panose="020B0604020202020204" pitchFamily="34" charset="0"/>
              <a:cs typeface="Arial" panose="020B0604020202020204" pitchFamily="34" charset="0"/>
            </a:rPr>
            <a:t>Gestión del riesgo:</a:t>
          </a:r>
          <a:r>
            <a:rPr lang="es-CO" sz="800" kern="1200">
              <a:solidFill>
                <a:sysClr val="windowText" lastClr="000000"/>
              </a:solidFill>
              <a:latin typeface="Arial" panose="020B0604020202020204" pitchFamily="34" charset="0"/>
              <a:cs typeface="Arial" panose="020B0604020202020204" pitchFamily="34" charset="0"/>
            </a:rPr>
            <a:t> revisar las condiciones relacionadas con la distribución y gestión de los riesgos.</a:t>
          </a:r>
          <a:endParaRPr lang="en-US" sz="800" kern="1200">
            <a:solidFill>
              <a:sysClr val="windowText" lastClr="000000"/>
            </a:solidFill>
            <a:latin typeface="Arial" panose="020B0604020202020204" pitchFamily="34" charset="0"/>
            <a:cs typeface="Arial" panose="020B0604020202020204" pitchFamily="34" charset="0"/>
          </a:endParaRPr>
        </a:p>
      </dsp:txBody>
      <dsp:txXfrm rot="10800000">
        <a:off x="1324033" y="2043768"/>
        <a:ext cx="4084938" cy="524220"/>
      </dsp:txXfrm>
    </dsp:sp>
    <dsp:sp modelId="{F85D3111-BC47-4776-BED1-88D04A2A865A}">
      <dsp:nvSpPr>
        <dsp:cNvPr id="0" name=""/>
        <dsp:cNvSpPr/>
      </dsp:nvSpPr>
      <dsp:spPr>
        <a:xfrm>
          <a:off x="930867" y="2043768"/>
          <a:ext cx="524220" cy="524220"/>
        </a:xfrm>
        <a:prstGeom prst="ellipse">
          <a:avLst/>
        </a:prstGeom>
        <a:blipFill rotWithShape="1">
          <a:blip xmlns:r="http://schemas.openxmlformats.org/officeDocument/2006/relationships" r:embed="rId4"/>
          <a:stretch>
            <a:fillRect/>
          </a:stretch>
        </a:blipFill>
        <a:ln w="25400" cap="flat" cmpd="sng" algn="ctr">
          <a:solidFill>
            <a:schemeClr val="dk2">
              <a:shade val="80000"/>
              <a:hueOff val="0"/>
              <a:satOff val="0"/>
              <a:lumOff val="0"/>
              <a:alphaOff val="0"/>
            </a:schemeClr>
          </a:solidFill>
          <a:prstDash val="solid"/>
        </a:ln>
        <a:effectLst/>
      </dsp:spPr>
      <dsp:style>
        <a:lnRef idx="2">
          <a:scrgbClr r="0" g="0" b="0"/>
        </a:lnRef>
        <a:fillRef idx="1">
          <a:scrgbClr r="0" g="0" b="0"/>
        </a:fillRef>
        <a:effectRef idx="0">
          <a:scrgbClr r="0" g="0" b="0"/>
        </a:effectRef>
        <a:fontRef idx="minor"/>
      </dsp:style>
    </dsp:sp>
    <dsp:sp modelId="{4472A9EB-A07F-47B2-9B57-FD71DB43A4B3}">
      <dsp:nvSpPr>
        <dsp:cNvPr id="0" name=""/>
        <dsp:cNvSpPr/>
      </dsp:nvSpPr>
      <dsp:spPr>
        <a:xfrm rot="10800000">
          <a:off x="1192978" y="2724472"/>
          <a:ext cx="4215993" cy="524220"/>
        </a:xfrm>
        <a:prstGeom prst="homePlate">
          <a:avLst/>
        </a:prstGeom>
        <a:solidFill>
          <a:schemeClr val="lt1">
            <a:hueOff val="0"/>
            <a:satOff val="0"/>
            <a:lumOff val="0"/>
            <a:alphaOff val="0"/>
          </a:schemeClr>
        </a:solidFill>
        <a:ln w="25400" cap="flat" cmpd="sng" algn="ctr">
          <a:solidFill>
            <a:schemeClr val="dk2">
              <a:shade val="80000"/>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231167" tIns="30480" rIns="56896" bIns="30480" numCol="1" spcCol="1270" anchor="ctr" anchorCtr="0">
          <a:noAutofit/>
        </a:bodyPr>
        <a:lstStyle/>
        <a:p>
          <a:pPr lvl="0" algn="ctr" defTabSz="355600">
            <a:lnSpc>
              <a:spcPct val="90000"/>
            </a:lnSpc>
            <a:spcBef>
              <a:spcPct val="0"/>
            </a:spcBef>
            <a:spcAft>
              <a:spcPct val="35000"/>
            </a:spcAft>
          </a:pPr>
          <a:r>
            <a:rPr lang="es-CO" sz="800" b="1" kern="1200">
              <a:solidFill>
                <a:sysClr val="windowText" lastClr="000000"/>
              </a:solidFill>
              <a:latin typeface="Arial" panose="020B0604020202020204" pitchFamily="34" charset="0"/>
              <a:cs typeface="Arial" panose="020B0604020202020204" pitchFamily="34" charset="0"/>
            </a:rPr>
            <a:t>Auditoría:</a:t>
          </a:r>
          <a:r>
            <a:rPr lang="es-CO" sz="800" kern="1200">
              <a:solidFill>
                <a:sysClr val="windowText" lastClr="000000"/>
              </a:solidFill>
              <a:latin typeface="Arial" panose="020B0604020202020204" pitchFamily="34" charset="0"/>
              <a:cs typeface="Arial" panose="020B0604020202020204" pitchFamily="34" charset="0"/>
            </a:rPr>
            <a:t> comprobar que se encuentren definidas las condiciones y mecanismos de auditoría relacionados con la ejecución del acuerdo.</a:t>
          </a:r>
          <a:endParaRPr lang="en-US" sz="800" kern="1200">
            <a:solidFill>
              <a:sysClr val="windowText" lastClr="000000"/>
            </a:solidFill>
            <a:latin typeface="Arial" panose="020B0604020202020204" pitchFamily="34" charset="0"/>
            <a:cs typeface="Arial" panose="020B0604020202020204" pitchFamily="34" charset="0"/>
          </a:endParaRPr>
        </a:p>
      </dsp:txBody>
      <dsp:txXfrm rot="10800000">
        <a:off x="1324033" y="2724472"/>
        <a:ext cx="4084938" cy="524220"/>
      </dsp:txXfrm>
    </dsp:sp>
    <dsp:sp modelId="{17A6691A-CF0C-4ADA-A110-48E25242E51F}">
      <dsp:nvSpPr>
        <dsp:cNvPr id="0" name=""/>
        <dsp:cNvSpPr/>
      </dsp:nvSpPr>
      <dsp:spPr>
        <a:xfrm>
          <a:off x="930867" y="2724472"/>
          <a:ext cx="524220" cy="524220"/>
        </a:xfrm>
        <a:prstGeom prst="ellipse">
          <a:avLst/>
        </a:prstGeom>
        <a:blipFill rotWithShape="1">
          <a:blip xmlns:r="http://schemas.openxmlformats.org/officeDocument/2006/relationships" r:embed="rId5"/>
          <a:stretch>
            <a:fillRect/>
          </a:stretch>
        </a:blipFill>
        <a:ln w="25400" cap="flat" cmpd="sng" algn="ctr">
          <a:solidFill>
            <a:schemeClr val="dk2">
              <a:shade val="80000"/>
              <a:hueOff val="0"/>
              <a:satOff val="0"/>
              <a:lumOff val="0"/>
              <a:alphaOff val="0"/>
            </a:schemeClr>
          </a:solidFill>
          <a:prstDash val="solid"/>
        </a:ln>
        <a:effectLst/>
      </dsp:spPr>
      <dsp:style>
        <a:lnRef idx="2">
          <a:scrgbClr r="0" g="0" b="0"/>
        </a:lnRef>
        <a:fillRef idx="1">
          <a:scrgbClr r="0" g="0" b="0"/>
        </a:fillRef>
        <a:effectRef idx="0">
          <a:scrgbClr r="0" g="0" b="0"/>
        </a:effectRef>
        <a:fontRef idx="minor"/>
      </dsp:style>
    </dsp:sp>
    <dsp:sp modelId="{12260111-2F42-4752-9DAA-66B2E4A8A4A4}">
      <dsp:nvSpPr>
        <dsp:cNvPr id="0" name=""/>
        <dsp:cNvSpPr/>
      </dsp:nvSpPr>
      <dsp:spPr>
        <a:xfrm rot="10800000">
          <a:off x="1192978" y="3405177"/>
          <a:ext cx="4215993" cy="524220"/>
        </a:xfrm>
        <a:prstGeom prst="homePlate">
          <a:avLst/>
        </a:prstGeom>
        <a:solidFill>
          <a:schemeClr val="lt1">
            <a:hueOff val="0"/>
            <a:satOff val="0"/>
            <a:lumOff val="0"/>
            <a:alphaOff val="0"/>
          </a:schemeClr>
        </a:solidFill>
        <a:ln w="25400" cap="flat" cmpd="sng" algn="ctr">
          <a:solidFill>
            <a:schemeClr val="dk2">
              <a:shade val="80000"/>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231167" tIns="30480" rIns="56896" bIns="30480" numCol="1" spcCol="1270" anchor="ctr" anchorCtr="0">
          <a:noAutofit/>
        </a:bodyPr>
        <a:lstStyle/>
        <a:p>
          <a:pPr lvl="0" algn="ctr" defTabSz="355600">
            <a:lnSpc>
              <a:spcPct val="90000"/>
            </a:lnSpc>
            <a:spcBef>
              <a:spcPct val="0"/>
            </a:spcBef>
            <a:spcAft>
              <a:spcPct val="35000"/>
            </a:spcAft>
          </a:pPr>
          <a:r>
            <a:rPr lang="es-CO" sz="800" b="1" kern="1200">
              <a:solidFill>
                <a:sysClr val="windowText" lastClr="000000"/>
              </a:solidFill>
              <a:latin typeface="Arial" panose="020B0604020202020204" pitchFamily="34" charset="0"/>
              <a:cs typeface="Arial" panose="020B0604020202020204" pitchFamily="34" charset="0"/>
            </a:rPr>
            <a:t>Habilitación:</a:t>
          </a:r>
          <a:r>
            <a:rPr lang="es-CO" sz="800" kern="1200">
              <a:solidFill>
                <a:sysClr val="windowText" lastClr="000000"/>
              </a:solidFill>
              <a:latin typeface="Arial" panose="020B0604020202020204" pitchFamily="34" charset="0"/>
              <a:cs typeface="Arial" panose="020B0604020202020204" pitchFamily="34" charset="0"/>
            </a:rPr>
            <a:t> verificar que las partes y los servicios involucrados cumplan las condiciones de habilitación correspondientes.</a:t>
          </a:r>
          <a:endParaRPr lang="en-US" sz="800" kern="1200">
            <a:solidFill>
              <a:sysClr val="windowText" lastClr="000000"/>
            </a:solidFill>
            <a:latin typeface="Arial" panose="020B0604020202020204" pitchFamily="34" charset="0"/>
            <a:cs typeface="Arial" panose="020B0604020202020204" pitchFamily="34" charset="0"/>
          </a:endParaRPr>
        </a:p>
      </dsp:txBody>
      <dsp:txXfrm rot="10800000">
        <a:off x="1324033" y="3405177"/>
        <a:ext cx="4084938" cy="524220"/>
      </dsp:txXfrm>
    </dsp:sp>
    <dsp:sp modelId="{C474BD4B-3397-4576-A601-8AB15470364F}">
      <dsp:nvSpPr>
        <dsp:cNvPr id="0" name=""/>
        <dsp:cNvSpPr/>
      </dsp:nvSpPr>
      <dsp:spPr>
        <a:xfrm>
          <a:off x="930867" y="3405177"/>
          <a:ext cx="524220" cy="524220"/>
        </a:xfrm>
        <a:prstGeom prst="ellipse">
          <a:avLst/>
        </a:prstGeom>
        <a:blipFill rotWithShape="1">
          <a:blip xmlns:r="http://schemas.openxmlformats.org/officeDocument/2006/relationships" r:embed="rId6"/>
          <a:stretch>
            <a:fillRect/>
          </a:stretch>
        </a:blipFill>
        <a:ln w="25400" cap="flat" cmpd="sng" algn="ctr">
          <a:solidFill>
            <a:schemeClr val="dk2">
              <a:shade val="80000"/>
              <a:hueOff val="0"/>
              <a:satOff val="0"/>
              <a:lumOff val="0"/>
              <a:alphaOff val="0"/>
            </a:schemeClr>
          </a:solidFill>
          <a:prstDash val="solid"/>
        </a:ln>
        <a:effectLst/>
      </dsp:spPr>
      <dsp:style>
        <a:lnRef idx="2">
          <a:scrgbClr r="0" g="0" b="0"/>
        </a:lnRef>
        <a:fillRef idx="1">
          <a:scrgbClr r="0" g="0" b="0"/>
        </a:fillRef>
        <a:effectRef idx="0">
          <a:scrgbClr r="0" g="0" b="0"/>
        </a:effectRef>
        <a:fontRef idx="minor"/>
      </dsp:style>
    </dsp:sp>
    <dsp:sp modelId="{295848C4-50D4-4348-A758-EA5ED74045CA}">
      <dsp:nvSpPr>
        <dsp:cNvPr id="0" name=""/>
        <dsp:cNvSpPr/>
      </dsp:nvSpPr>
      <dsp:spPr>
        <a:xfrm rot="10800000">
          <a:off x="1192978" y="4085882"/>
          <a:ext cx="4215993" cy="524220"/>
        </a:xfrm>
        <a:prstGeom prst="homePlate">
          <a:avLst/>
        </a:prstGeom>
        <a:solidFill>
          <a:schemeClr val="lt1">
            <a:hueOff val="0"/>
            <a:satOff val="0"/>
            <a:lumOff val="0"/>
            <a:alphaOff val="0"/>
          </a:schemeClr>
        </a:solidFill>
        <a:ln w="25400" cap="flat" cmpd="sng" algn="ctr">
          <a:solidFill>
            <a:schemeClr val="dk2">
              <a:shade val="80000"/>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231167" tIns="30480" rIns="56896" bIns="30480" numCol="1" spcCol="1270" anchor="ctr" anchorCtr="0">
          <a:noAutofit/>
        </a:bodyPr>
        <a:lstStyle/>
        <a:p>
          <a:pPr lvl="0" algn="ctr" defTabSz="355600">
            <a:lnSpc>
              <a:spcPct val="90000"/>
            </a:lnSpc>
            <a:spcBef>
              <a:spcPct val="0"/>
            </a:spcBef>
            <a:spcAft>
              <a:spcPct val="35000"/>
            </a:spcAft>
          </a:pPr>
          <a:r>
            <a:rPr lang="es-CO" sz="800" b="1" kern="1200">
              <a:solidFill>
                <a:sysClr val="windowText" lastClr="000000"/>
              </a:solidFill>
              <a:latin typeface="Arial" panose="020B0604020202020204" pitchFamily="34" charset="0"/>
              <a:cs typeface="Arial" panose="020B0604020202020204" pitchFamily="34" charset="0"/>
            </a:rPr>
            <a:t>Acceso a la información y solución de controversias:</a:t>
          </a:r>
          <a:r>
            <a:rPr lang="es-CO" sz="800" kern="1200">
              <a:solidFill>
                <a:sysClr val="windowText" lastClr="000000"/>
              </a:solidFill>
              <a:latin typeface="Arial" panose="020B0604020202020204" pitchFamily="34" charset="0"/>
              <a:cs typeface="Arial" panose="020B0604020202020204" pitchFamily="34" charset="0"/>
            </a:rPr>
            <a:t> revisar las condiciones relacionadas con el intercambio de información y los mecanismos establecidos para atender posibles diferencias entre las partes.</a:t>
          </a:r>
          <a:endParaRPr lang="en-US" sz="800" kern="1200">
            <a:solidFill>
              <a:sysClr val="windowText" lastClr="000000"/>
            </a:solidFill>
            <a:latin typeface="Arial" panose="020B0604020202020204" pitchFamily="34" charset="0"/>
            <a:cs typeface="Arial" panose="020B0604020202020204" pitchFamily="34" charset="0"/>
          </a:endParaRPr>
        </a:p>
      </dsp:txBody>
      <dsp:txXfrm rot="10800000">
        <a:off x="1324033" y="4085882"/>
        <a:ext cx="4084938" cy="524220"/>
      </dsp:txXfrm>
    </dsp:sp>
    <dsp:sp modelId="{BD0C06FD-61D3-49AC-997C-DC99796133B5}">
      <dsp:nvSpPr>
        <dsp:cNvPr id="0" name=""/>
        <dsp:cNvSpPr/>
      </dsp:nvSpPr>
      <dsp:spPr>
        <a:xfrm>
          <a:off x="930867" y="4085882"/>
          <a:ext cx="524220" cy="524220"/>
        </a:xfrm>
        <a:prstGeom prst="ellipse">
          <a:avLst/>
        </a:prstGeom>
        <a:blipFill rotWithShape="1">
          <a:blip xmlns:r="http://schemas.openxmlformats.org/officeDocument/2006/relationships" r:embed="rId7"/>
          <a:stretch>
            <a:fillRect/>
          </a:stretch>
        </a:blipFill>
        <a:ln w="25400" cap="flat" cmpd="sng" algn="ctr">
          <a:solidFill>
            <a:schemeClr val="dk2">
              <a:shade val="80000"/>
              <a:hueOff val="0"/>
              <a:satOff val="0"/>
              <a:lumOff val="0"/>
              <a:alphaOff val="0"/>
            </a:schemeClr>
          </a:solidFill>
          <a:prstDash val="solid"/>
        </a:ln>
        <a:effectLst/>
      </dsp:spPr>
      <dsp:style>
        <a:lnRef idx="2">
          <a:scrgbClr r="0" g="0" b="0"/>
        </a:lnRef>
        <a:fillRef idx="1">
          <a:scrgbClr r="0" g="0" b="0"/>
        </a:fillRef>
        <a:effectRef idx="0">
          <a:scrgbClr r="0" g="0" b="0"/>
        </a:effectRef>
        <a:fontRef idx="minor"/>
      </dsp:style>
    </dsp:sp>
  </dsp:spTree>
</dsp:drawing>
</file>

<file path=word/diagrams/drawing7.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B3CB5E27-12FD-4DC1-92D1-7366C1FF3923}">
      <dsp:nvSpPr>
        <dsp:cNvPr id="0" name=""/>
        <dsp:cNvSpPr/>
      </dsp:nvSpPr>
      <dsp:spPr>
        <a:xfrm rot="10800000">
          <a:off x="1158005" y="94"/>
          <a:ext cx="4112958" cy="488140"/>
        </a:xfrm>
        <a:prstGeom prst="homePlate">
          <a:avLst/>
        </a:prstGeom>
        <a:solidFill>
          <a:schemeClr val="lt1">
            <a:hueOff val="0"/>
            <a:satOff val="0"/>
            <a:lumOff val="0"/>
            <a:alphaOff val="0"/>
          </a:schemeClr>
        </a:solidFill>
        <a:ln w="25400" cap="flat" cmpd="sng" algn="ctr">
          <a:solidFill>
            <a:schemeClr val="dk2">
              <a:shade val="80000"/>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215256" tIns="38100" rIns="71120" bIns="38100" numCol="1" spcCol="1270" anchor="ctr" anchorCtr="0">
          <a:noAutofit/>
        </a:bodyPr>
        <a:lstStyle/>
        <a:p>
          <a:pPr lvl="0" algn="ctr" defTabSz="444500">
            <a:lnSpc>
              <a:spcPct val="90000"/>
            </a:lnSpc>
            <a:spcBef>
              <a:spcPct val="0"/>
            </a:spcBef>
            <a:spcAft>
              <a:spcPct val="35000"/>
            </a:spcAft>
          </a:pPr>
          <a:r>
            <a:rPr lang="es-CO" sz="1000" b="1" kern="1200">
              <a:solidFill>
                <a:sysClr val="windowText" lastClr="000000"/>
              </a:solidFill>
              <a:latin typeface="Arial" panose="020B0604020202020204" pitchFamily="34" charset="0"/>
              <a:cs typeface="Arial" panose="020B0604020202020204" pitchFamily="34" charset="0"/>
            </a:rPr>
            <a:t>Cantidades proyectadas:</a:t>
          </a:r>
          <a:r>
            <a:rPr lang="es-CO" sz="1000" kern="1200">
              <a:solidFill>
                <a:sysClr val="windowText" lastClr="000000"/>
              </a:solidFill>
              <a:latin typeface="Arial" panose="020B0604020202020204" pitchFamily="34" charset="0"/>
              <a:cs typeface="Arial" panose="020B0604020202020204" pitchFamily="34" charset="0"/>
            </a:rPr>
            <a:t> verificar que correspondan a las frecuencias de uso y a la población considerada.</a:t>
          </a:r>
          <a:endParaRPr lang="es-ES" sz="1000" kern="1200">
            <a:solidFill>
              <a:sysClr val="windowText" lastClr="000000"/>
            </a:solidFill>
            <a:latin typeface="Arial" panose="020B0604020202020204" pitchFamily="34" charset="0"/>
            <a:cs typeface="Arial" panose="020B0604020202020204" pitchFamily="34" charset="0"/>
          </a:endParaRPr>
        </a:p>
      </dsp:txBody>
      <dsp:txXfrm rot="10800000">
        <a:off x="1280040" y="94"/>
        <a:ext cx="3990923" cy="488140"/>
      </dsp:txXfrm>
    </dsp:sp>
    <dsp:sp modelId="{2890E52C-237D-45A6-B401-0E5239161967}">
      <dsp:nvSpPr>
        <dsp:cNvPr id="0" name=""/>
        <dsp:cNvSpPr/>
      </dsp:nvSpPr>
      <dsp:spPr>
        <a:xfrm>
          <a:off x="913935" y="94"/>
          <a:ext cx="488140" cy="488140"/>
        </a:xfrm>
        <a:prstGeom prst="ellipse">
          <a:avLst/>
        </a:prstGeom>
        <a:blipFill rotWithShape="1">
          <a:blip xmlns:r="http://schemas.openxmlformats.org/officeDocument/2006/relationships" r:embed="rId1"/>
          <a:stretch>
            <a:fillRect/>
          </a:stretch>
        </a:blipFill>
        <a:ln w="25400" cap="flat" cmpd="sng" algn="ctr">
          <a:solidFill>
            <a:schemeClr val="dk2">
              <a:shade val="80000"/>
              <a:hueOff val="0"/>
              <a:satOff val="0"/>
              <a:lumOff val="0"/>
              <a:alphaOff val="0"/>
            </a:schemeClr>
          </a:solidFill>
          <a:prstDash val="solid"/>
        </a:ln>
        <a:effectLst/>
      </dsp:spPr>
      <dsp:style>
        <a:lnRef idx="2">
          <a:scrgbClr r="0" g="0" b="0"/>
        </a:lnRef>
        <a:fillRef idx="1">
          <a:scrgbClr r="0" g="0" b="0"/>
        </a:fillRef>
        <a:effectRef idx="0">
          <a:scrgbClr r="0" g="0" b="0"/>
        </a:effectRef>
        <a:fontRef idx="minor"/>
      </dsp:style>
    </dsp:sp>
    <dsp:sp modelId="{0E027463-CDC1-4CED-9DD6-120BD1261109}">
      <dsp:nvSpPr>
        <dsp:cNvPr id="0" name=""/>
        <dsp:cNvSpPr/>
      </dsp:nvSpPr>
      <dsp:spPr>
        <a:xfrm rot="10800000">
          <a:off x="1158005" y="633948"/>
          <a:ext cx="4112958" cy="488140"/>
        </a:xfrm>
        <a:prstGeom prst="homePlate">
          <a:avLst/>
        </a:prstGeom>
        <a:solidFill>
          <a:schemeClr val="lt1">
            <a:hueOff val="0"/>
            <a:satOff val="0"/>
            <a:lumOff val="0"/>
            <a:alphaOff val="0"/>
          </a:schemeClr>
        </a:solidFill>
        <a:ln w="25400" cap="flat" cmpd="sng" algn="ctr">
          <a:solidFill>
            <a:schemeClr val="dk2">
              <a:shade val="80000"/>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215256" tIns="38100" rIns="71120" bIns="38100" numCol="1" spcCol="1270" anchor="ctr" anchorCtr="0">
          <a:noAutofit/>
        </a:bodyPr>
        <a:lstStyle/>
        <a:p>
          <a:pPr lvl="0" algn="ctr" defTabSz="444500">
            <a:lnSpc>
              <a:spcPct val="90000"/>
            </a:lnSpc>
            <a:spcBef>
              <a:spcPct val="0"/>
            </a:spcBef>
            <a:spcAft>
              <a:spcPct val="35000"/>
            </a:spcAft>
          </a:pPr>
          <a:r>
            <a:rPr lang="es-CO" sz="1000" b="1" kern="1200">
              <a:solidFill>
                <a:sysClr val="windowText" lastClr="000000"/>
              </a:solidFill>
              <a:latin typeface="Arial" panose="020B0604020202020204" pitchFamily="34" charset="0"/>
              <a:cs typeface="Arial" panose="020B0604020202020204" pitchFamily="34" charset="0"/>
            </a:rPr>
            <a:t>Costos unitarios:</a:t>
          </a:r>
          <a:r>
            <a:rPr lang="es-CO" sz="1000" kern="1200">
              <a:solidFill>
                <a:sysClr val="windowText" lastClr="000000"/>
              </a:solidFill>
              <a:latin typeface="Arial" panose="020B0604020202020204" pitchFamily="34" charset="0"/>
              <a:cs typeface="Arial" panose="020B0604020202020204" pitchFamily="34" charset="0"/>
            </a:rPr>
            <a:t> comprobar que los valores utilizados correspondan a los servicios o tecnologías identificados.</a:t>
          </a:r>
          <a:endParaRPr lang="en-US" sz="1000" kern="1200">
            <a:solidFill>
              <a:sysClr val="windowText" lastClr="000000"/>
            </a:solidFill>
            <a:latin typeface="Arial" panose="020B0604020202020204" pitchFamily="34" charset="0"/>
            <a:cs typeface="Arial" panose="020B0604020202020204" pitchFamily="34" charset="0"/>
          </a:endParaRPr>
        </a:p>
      </dsp:txBody>
      <dsp:txXfrm rot="10800000">
        <a:off x="1280040" y="633948"/>
        <a:ext cx="3990923" cy="488140"/>
      </dsp:txXfrm>
    </dsp:sp>
    <dsp:sp modelId="{128367FB-82D3-458C-B3CD-A3B0E1D282CD}">
      <dsp:nvSpPr>
        <dsp:cNvPr id="0" name=""/>
        <dsp:cNvSpPr/>
      </dsp:nvSpPr>
      <dsp:spPr>
        <a:xfrm>
          <a:off x="913935" y="633948"/>
          <a:ext cx="488140" cy="488140"/>
        </a:xfrm>
        <a:prstGeom prst="ellipse">
          <a:avLst/>
        </a:prstGeom>
        <a:blipFill rotWithShape="1">
          <a:blip xmlns:r="http://schemas.openxmlformats.org/officeDocument/2006/relationships" r:embed="rId2"/>
          <a:stretch>
            <a:fillRect/>
          </a:stretch>
        </a:blipFill>
        <a:ln w="25400" cap="flat" cmpd="sng" algn="ctr">
          <a:solidFill>
            <a:schemeClr val="dk2">
              <a:shade val="80000"/>
              <a:hueOff val="0"/>
              <a:satOff val="0"/>
              <a:lumOff val="0"/>
              <a:alphaOff val="0"/>
            </a:schemeClr>
          </a:solidFill>
          <a:prstDash val="solid"/>
        </a:ln>
        <a:effectLst/>
      </dsp:spPr>
      <dsp:style>
        <a:lnRef idx="2">
          <a:scrgbClr r="0" g="0" b="0"/>
        </a:lnRef>
        <a:fillRef idx="1">
          <a:scrgbClr r="0" g="0" b="0"/>
        </a:fillRef>
        <a:effectRef idx="0">
          <a:scrgbClr r="0" g="0" b="0"/>
        </a:effectRef>
        <a:fontRef idx="minor"/>
      </dsp:style>
    </dsp:sp>
    <dsp:sp modelId="{73C4AFCD-11C0-4A75-B945-ADEA43434901}">
      <dsp:nvSpPr>
        <dsp:cNvPr id="0" name=""/>
        <dsp:cNvSpPr/>
      </dsp:nvSpPr>
      <dsp:spPr>
        <a:xfrm rot="10800000">
          <a:off x="1158005" y="1267802"/>
          <a:ext cx="4112958" cy="488140"/>
        </a:xfrm>
        <a:prstGeom prst="homePlate">
          <a:avLst/>
        </a:prstGeom>
        <a:solidFill>
          <a:schemeClr val="lt1">
            <a:hueOff val="0"/>
            <a:satOff val="0"/>
            <a:lumOff val="0"/>
            <a:alphaOff val="0"/>
          </a:schemeClr>
        </a:solidFill>
        <a:ln w="25400" cap="flat" cmpd="sng" algn="ctr">
          <a:solidFill>
            <a:schemeClr val="dk2">
              <a:shade val="80000"/>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215256" tIns="38100" rIns="71120" bIns="38100" numCol="1" spcCol="1270" anchor="ctr" anchorCtr="0">
          <a:noAutofit/>
        </a:bodyPr>
        <a:lstStyle/>
        <a:p>
          <a:pPr lvl="0" algn="ctr" defTabSz="444500">
            <a:lnSpc>
              <a:spcPct val="90000"/>
            </a:lnSpc>
            <a:spcBef>
              <a:spcPct val="0"/>
            </a:spcBef>
            <a:spcAft>
              <a:spcPct val="35000"/>
            </a:spcAft>
          </a:pPr>
          <a:r>
            <a:rPr lang="es-CO" sz="1000" b="1" kern="1200">
              <a:solidFill>
                <a:sysClr val="windowText" lastClr="000000"/>
              </a:solidFill>
              <a:latin typeface="Arial" panose="020B0604020202020204" pitchFamily="34" charset="0"/>
              <a:cs typeface="Arial" panose="020B0604020202020204" pitchFamily="34" charset="0"/>
            </a:rPr>
            <a:t>Tarifas:</a:t>
          </a:r>
          <a:r>
            <a:rPr lang="es-CO" sz="1000" kern="1200">
              <a:solidFill>
                <a:sysClr val="windowText" lastClr="000000"/>
              </a:solidFill>
              <a:latin typeface="Arial" panose="020B0604020202020204" pitchFamily="34" charset="0"/>
              <a:cs typeface="Arial" panose="020B0604020202020204" pitchFamily="34" charset="0"/>
            </a:rPr>
            <a:t> revisar la fuente y pertinencia de las tarifas utilizadas para establecer los valores proyectados.</a:t>
          </a:r>
          <a:endParaRPr lang="en-US" sz="1000" kern="1200">
            <a:solidFill>
              <a:sysClr val="windowText" lastClr="000000"/>
            </a:solidFill>
            <a:latin typeface="Arial" panose="020B0604020202020204" pitchFamily="34" charset="0"/>
            <a:cs typeface="Arial" panose="020B0604020202020204" pitchFamily="34" charset="0"/>
          </a:endParaRPr>
        </a:p>
      </dsp:txBody>
      <dsp:txXfrm rot="10800000">
        <a:off x="1280040" y="1267802"/>
        <a:ext cx="3990923" cy="488140"/>
      </dsp:txXfrm>
    </dsp:sp>
    <dsp:sp modelId="{D8B17AE8-5D84-48DC-B404-F2C07C6F0A96}">
      <dsp:nvSpPr>
        <dsp:cNvPr id="0" name=""/>
        <dsp:cNvSpPr/>
      </dsp:nvSpPr>
      <dsp:spPr>
        <a:xfrm>
          <a:off x="913935" y="1267802"/>
          <a:ext cx="488140" cy="488140"/>
        </a:xfrm>
        <a:prstGeom prst="ellipse">
          <a:avLst/>
        </a:prstGeom>
        <a:blipFill rotWithShape="1">
          <a:blip xmlns:r="http://schemas.openxmlformats.org/officeDocument/2006/relationships" r:embed="rId3"/>
          <a:stretch>
            <a:fillRect/>
          </a:stretch>
        </a:blipFill>
        <a:ln w="25400" cap="flat" cmpd="sng" algn="ctr">
          <a:solidFill>
            <a:schemeClr val="dk2">
              <a:shade val="80000"/>
              <a:hueOff val="0"/>
              <a:satOff val="0"/>
              <a:lumOff val="0"/>
              <a:alphaOff val="0"/>
            </a:schemeClr>
          </a:solidFill>
          <a:prstDash val="solid"/>
        </a:ln>
        <a:effectLst/>
      </dsp:spPr>
      <dsp:style>
        <a:lnRef idx="2">
          <a:scrgbClr r="0" g="0" b="0"/>
        </a:lnRef>
        <a:fillRef idx="1">
          <a:scrgbClr r="0" g="0" b="0"/>
        </a:fillRef>
        <a:effectRef idx="0">
          <a:scrgbClr r="0" g="0" b="0"/>
        </a:effectRef>
        <a:fontRef idx="minor"/>
      </dsp:style>
    </dsp:sp>
    <dsp:sp modelId="{12DF91D8-7EE1-4B7D-8813-0F7B4B51E796}">
      <dsp:nvSpPr>
        <dsp:cNvPr id="0" name=""/>
        <dsp:cNvSpPr/>
      </dsp:nvSpPr>
      <dsp:spPr>
        <a:xfrm rot="10800000">
          <a:off x="1158005" y="1901656"/>
          <a:ext cx="4112958" cy="488140"/>
        </a:xfrm>
        <a:prstGeom prst="homePlate">
          <a:avLst/>
        </a:prstGeom>
        <a:solidFill>
          <a:schemeClr val="lt1">
            <a:hueOff val="0"/>
            <a:satOff val="0"/>
            <a:lumOff val="0"/>
            <a:alphaOff val="0"/>
          </a:schemeClr>
        </a:solidFill>
        <a:ln w="25400" cap="flat" cmpd="sng" algn="ctr">
          <a:solidFill>
            <a:schemeClr val="dk2">
              <a:shade val="80000"/>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215256" tIns="38100" rIns="71120" bIns="38100" numCol="1" spcCol="1270" anchor="ctr" anchorCtr="0">
          <a:noAutofit/>
        </a:bodyPr>
        <a:lstStyle/>
        <a:p>
          <a:pPr lvl="0" algn="ctr" defTabSz="444500">
            <a:lnSpc>
              <a:spcPct val="90000"/>
            </a:lnSpc>
            <a:spcBef>
              <a:spcPct val="0"/>
            </a:spcBef>
            <a:spcAft>
              <a:spcPct val="35000"/>
            </a:spcAft>
          </a:pPr>
          <a:r>
            <a:rPr lang="es-CO" sz="1000" b="1" kern="1200">
              <a:solidFill>
                <a:sysClr val="windowText" lastClr="000000"/>
              </a:solidFill>
              <a:latin typeface="Arial" panose="020B0604020202020204" pitchFamily="34" charset="0"/>
              <a:cs typeface="Arial" panose="020B0604020202020204" pitchFamily="34" charset="0"/>
            </a:rPr>
            <a:t>Valor total:</a:t>
          </a:r>
          <a:r>
            <a:rPr lang="es-CO" sz="1000" kern="1200">
              <a:solidFill>
                <a:sysClr val="windowText" lastClr="000000"/>
              </a:solidFill>
              <a:latin typeface="Arial" panose="020B0604020202020204" pitchFamily="34" charset="0"/>
              <a:cs typeface="Arial" panose="020B0604020202020204" pitchFamily="34" charset="0"/>
            </a:rPr>
            <a:t> comprobar las operaciones realizadas y la correspondencia entre cantidades, valores unitarios y totales.</a:t>
          </a:r>
          <a:endParaRPr lang="en-US" sz="1000" kern="1200">
            <a:solidFill>
              <a:sysClr val="windowText" lastClr="000000"/>
            </a:solidFill>
            <a:latin typeface="Arial" panose="020B0604020202020204" pitchFamily="34" charset="0"/>
            <a:cs typeface="Arial" panose="020B0604020202020204" pitchFamily="34" charset="0"/>
          </a:endParaRPr>
        </a:p>
      </dsp:txBody>
      <dsp:txXfrm rot="10800000">
        <a:off x="1280040" y="1901656"/>
        <a:ext cx="3990923" cy="488140"/>
      </dsp:txXfrm>
    </dsp:sp>
    <dsp:sp modelId="{F785257C-DF87-4A99-AD1A-CD54644A08F3}">
      <dsp:nvSpPr>
        <dsp:cNvPr id="0" name=""/>
        <dsp:cNvSpPr/>
      </dsp:nvSpPr>
      <dsp:spPr>
        <a:xfrm>
          <a:off x="913935" y="1901656"/>
          <a:ext cx="488140" cy="488140"/>
        </a:xfrm>
        <a:prstGeom prst="ellipse">
          <a:avLst/>
        </a:prstGeom>
        <a:blipFill rotWithShape="1">
          <a:blip xmlns:r="http://schemas.openxmlformats.org/officeDocument/2006/relationships" r:embed="rId4"/>
          <a:stretch>
            <a:fillRect/>
          </a:stretch>
        </a:blipFill>
        <a:ln w="25400" cap="flat" cmpd="sng" algn="ctr">
          <a:solidFill>
            <a:schemeClr val="dk2">
              <a:shade val="80000"/>
              <a:hueOff val="0"/>
              <a:satOff val="0"/>
              <a:lumOff val="0"/>
              <a:alphaOff val="0"/>
            </a:schemeClr>
          </a:solidFill>
          <a:prstDash val="solid"/>
        </a:ln>
        <a:effectLst/>
      </dsp:spPr>
      <dsp:style>
        <a:lnRef idx="2">
          <a:scrgbClr r="0" g="0" b="0"/>
        </a:lnRef>
        <a:fillRef idx="1">
          <a:scrgbClr r="0" g="0" b="0"/>
        </a:fillRef>
        <a:effectRef idx="0">
          <a:scrgbClr r="0" g="0" b="0"/>
        </a:effectRef>
        <a:fontRef idx="minor"/>
      </dsp:style>
    </dsp:sp>
    <dsp:sp modelId="{B9959A1E-EB0C-404B-9493-03276EEDFD1B}">
      <dsp:nvSpPr>
        <dsp:cNvPr id="0" name=""/>
        <dsp:cNvSpPr/>
      </dsp:nvSpPr>
      <dsp:spPr>
        <a:xfrm rot="10800000">
          <a:off x="1158005" y="2535510"/>
          <a:ext cx="4112958" cy="488140"/>
        </a:xfrm>
        <a:prstGeom prst="homePlate">
          <a:avLst/>
        </a:prstGeom>
        <a:solidFill>
          <a:schemeClr val="lt1">
            <a:hueOff val="0"/>
            <a:satOff val="0"/>
            <a:lumOff val="0"/>
            <a:alphaOff val="0"/>
          </a:schemeClr>
        </a:solidFill>
        <a:ln w="25400" cap="flat" cmpd="sng" algn="ctr">
          <a:solidFill>
            <a:schemeClr val="dk2">
              <a:shade val="80000"/>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215256" tIns="38100" rIns="71120" bIns="38100" numCol="1" spcCol="1270" anchor="ctr" anchorCtr="0">
          <a:noAutofit/>
        </a:bodyPr>
        <a:lstStyle/>
        <a:p>
          <a:pPr lvl="0" algn="ctr" defTabSz="444500">
            <a:lnSpc>
              <a:spcPct val="90000"/>
            </a:lnSpc>
            <a:spcBef>
              <a:spcPct val="0"/>
            </a:spcBef>
            <a:spcAft>
              <a:spcPct val="35000"/>
            </a:spcAft>
          </a:pPr>
          <a:r>
            <a:rPr lang="es-CO" sz="1000" b="1" kern="1200">
              <a:solidFill>
                <a:sysClr val="windowText" lastClr="000000"/>
              </a:solidFill>
              <a:latin typeface="Arial" panose="020B0604020202020204" pitchFamily="34" charset="0"/>
              <a:cs typeface="Arial" panose="020B0604020202020204" pitchFamily="34" charset="0"/>
            </a:rPr>
            <a:t>Sostenibilidad:</a:t>
          </a:r>
          <a:r>
            <a:rPr lang="es-CO" sz="1000" kern="1200">
              <a:solidFill>
                <a:sysClr val="windowText" lastClr="000000"/>
              </a:solidFill>
              <a:latin typeface="Arial" panose="020B0604020202020204" pitchFamily="34" charset="0"/>
              <a:cs typeface="Arial" panose="020B0604020202020204" pitchFamily="34" charset="0"/>
            </a:rPr>
            <a:t> analizar si los valores proyectados guardan relación con los recursos necesarios para la ejecución del acuerdo.</a:t>
          </a:r>
          <a:endParaRPr lang="en-US" sz="1000" kern="1200">
            <a:solidFill>
              <a:sysClr val="windowText" lastClr="000000"/>
            </a:solidFill>
            <a:latin typeface="Arial" panose="020B0604020202020204" pitchFamily="34" charset="0"/>
            <a:cs typeface="Arial" panose="020B0604020202020204" pitchFamily="34" charset="0"/>
          </a:endParaRPr>
        </a:p>
      </dsp:txBody>
      <dsp:txXfrm rot="10800000">
        <a:off x="1280040" y="2535510"/>
        <a:ext cx="3990923" cy="488140"/>
      </dsp:txXfrm>
    </dsp:sp>
    <dsp:sp modelId="{8E7E26EB-BE8B-4764-A1C0-9B26FEFD8EBC}">
      <dsp:nvSpPr>
        <dsp:cNvPr id="0" name=""/>
        <dsp:cNvSpPr/>
      </dsp:nvSpPr>
      <dsp:spPr>
        <a:xfrm>
          <a:off x="913935" y="2535510"/>
          <a:ext cx="488140" cy="488140"/>
        </a:xfrm>
        <a:prstGeom prst="ellipse">
          <a:avLst/>
        </a:prstGeom>
        <a:blipFill rotWithShape="1">
          <a:blip xmlns:r="http://schemas.openxmlformats.org/officeDocument/2006/relationships" r:embed="rId5"/>
          <a:stretch>
            <a:fillRect/>
          </a:stretch>
        </a:blipFill>
        <a:ln w="25400" cap="flat" cmpd="sng" algn="ctr">
          <a:solidFill>
            <a:schemeClr val="dk2">
              <a:shade val="80000"/>
              <a:hueOff val="0"/>
              <a:satOff val="0"/>
              <a:lumOff val="0"/>
              <a:alphaOff val="0"/>
            </a:schemeClr>
          </a:solidFill>
          <a:prstDash val="solid"/>
        </a:ln>
        <a:effectLst/>
      </dsp:spPr>
      <dsp:style>
        <a:lnRef idx="2">
          <a:scrgbClr r="0" g="0" b="0"/>
        </a:lnRef>
        <a:fillRef idx="1">
          <a:scrgbClr r="0" g="0" b="0"/>
        </a:fillRef>
        <a:effectRef idx="0">
          <a:scrgbClr r="0" g="0" b="0"/>
        </a:effectRef>
        <a:fontRef idx="minor"/>
      </dsp:style>
    </dsp:sp>
    <dsp:sp modelId="{D4770196-1818-4C9C-991B-E7C2948DD2BD}">
      <dsp:nvSpPr>
        <dsp:cNvPr id="0" name=""/>
        <dsp:cNvSpPr/>
      </dsp:nvSpPr>
      <dsp:spPr>
        <a:xfrm rot="10800000">
          <a:off x="1158005" y="3169364"/>
          <a:ext cx="4112958" cy="488140"/>
        </a:xfrm>
        <a:prstGeom prst="homePlate">
          <a:avLst/>
        </a:prstGeom>
        <a:solidFill>
          <a:schemeClr val="lt1">
            <a:hueOff val="0"/>
            <a:satOff val="0"/>
            <a:lumOff val="0"/>
            <a:alphaOff val="0"/>
          </a:schemeClr>
        </a:solidFill>
        <a:ln w="25400" cap="flat" cmpd="sng" algn="ctr">
          <a:solidFill>
            <a:schemeClr val="dk2">
              <a:shade val="80000"/>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215256" tIns="38100" rIns="71120" bIns="38100" numCol="1" spcCol="1270" anchor="ctr" anchorCtr="0">
          <a:noAutofit/>
        </a:bodyPr>
        <a:lstStyle/>
        <a:p>
          <a:pPr lvl="0" algn="ctr" defTabSz="444500">
            <a:lnSpc>
              <a:spcPct val="90000"/>
            </a:lnSpc>
            <a:spcBef>
              <a:spcPct val="0"/>
            </a:spcBef>
            <a:spcAft>
              <a:spcPct val="35000"/>
            </a:spcAft>
          </a:pPr>
          <a:r>
            <a:rPr lang="es-CO" sz="1000" b="1" kern="1200">
              <a:solidFill>
                <a:sysClr val="windowText" lastClr="000000"/>
              </a:solidFill>
              <a:latin typeface="Arial" panose="020B0604020202020204" pitchFamily="34" charset="0"/>
              <a:cs typeface="Arial" panose="020B0604020202020204" pitchFamily="34" charset="0"/>
            </a:rPr>
            <a:t>Coherencia</a:t>
          </a:r>
          <a:r>
            <a:rPr lang="es-CO" sz="1000" kern="1200">
              <a:solidFill>
                <a:sysClr val="windowText" lastClr="000000"/>
              </a:solidFill>
              <a:latin typeface="Arial" panose="020B0604020202020204" pitchFamily="34" charset="0"/>
              <a:cs typeface="Arial" panose="020B0604020202020204" pitchFamily="34" charset="0"/>
            </a:rPr>
            <a:t> </a:t>
          </a:r>
          <a:r>
            <a:rPr lang="es-CO" sz="1000" b="1" kern="1200">
              <a:solidFill>
                <a:sysClr val="windowText" lastClr="000000"/>
              </a:solidFill>
              <a:latin typeface="Arial" panose="020B0604020202020204" pitchFamily="34" charset="0"/>
              <a:cs typeface="Arial" panose="020B0604020202020204" pitchFamily="34" charset="0"/>
            </a:rPr>
            <a:t>financiera:</a:t>
          </a:r>
          <a:r>
            <a:rPr lang="es-CO" sz="1000" kern="1200">
              <a:solidFill>
                <a:sysClr val="windowText" lastClr="000000"/>
              </a:solidFill>
              <a:latin typeface="Arial" panose="020B0604020202020204" pitchFamily="34" charset="0"/>
              <a:cs typeface="Arial" panose="020B0604020202020204" pitchFamily="34" charset="0"/>
            </a:rPr>
            <a:t> verificar que los valores consolidados sean consistentes con la modalidad de contratación y las condiciones económicas establecidas.</a:t>
          </a:r>
          <a:endParaRPr lang="en-US" sz="1000" kern="1200">
            <a:solidFill>
              <a:sysClr val="windowText" lastClr="000000"/>
            </a:solidFill>
            <a:latin typeface="Arial" panose="020B0604020202020204" pitchFamily="34" charset="0"/>
            <a:cs typeface="Arial" panose="020B0604020202020204" pitchFamily="34" charset="0"/>
          </a:endParaRPr>
        </a:p>
      </dsp:txBody>
      <dsp:txXfrm rot="10800000">
        <a:off x="1280040" y="3169364"/>
        <a:ext cx="3990923" cy="488140"/>
      </dsp:txXfrm>
    </dsp:sp>
    <dsp:sp modelId="{D8937657-C29D-4727-B653-BB435C05C507}">
      <dsp:nvSpPr>
        <dsp:cNvPr id="0" name=""/>
        <dsp:cNvSpPr/>
      </dsp:nvSpPr>
      <dsp:spPr>
        <a:xfrm>
          <a:off x="913935" y="3169364"/>
          <a:ext cx="488140" cy="488140"/>
        </a:xfrm>
        <a:prstGeom prst="ellipse">
          <a:avLst/>
        </a:prstGeom>
        <a:blipFill rotWithShape="1">
          <a:blip xmlns:r="http://schemas.openxmlformats.org/officeDocument/2006/relationships" r:embed="rId6"/>
          <a:stretch>
            <a:fillRect/>
          </a:stretch>
        </a:blipFill>
        <a:ln w="25400" cap="flat" cmpd="sng" algn="ctr">
          <a:solidFill>
            <a:schemeClr val="dk2">
              <a:shade val="80000"/>
              <a:hueOff val="0"/>
              <a:satOff val="0"/>
              <a:lumOff val="0"/>
              <a:alphaOff val="0"/>
            </a:schemeClr>
          </a:solidFill>
          <a:prstDash val="solid"/>
        </a:ln>
        <a:effectLst/>
      </dsp:spPr>
      <dsp:style>
        <a:lnRef idx="2">
          <a:scrgbClr r="0" g="0" b="0"/>
        </a:lnRef>
        <a:fillRef idx="1">
          <a:scrgbClr r="0" g="0" b="0"/>
        </a:fillRef>
        <a:effectRef idx="0">
          <a:scrgbClr r="0" g="0" b="0"/>
        </a:effectRef>
        <a:fontRef idx="minor"/>
      </dsp:style>
    </dsp:sp>
  </dsp:spTree>
</dsp:drawing>
</file>

<file path=word/diagrams/drawing8.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4D8BA6E7-2D7B-473C-8425-E4ADA0D66339}">
      <dsp:nvSpPr>
        <dsp:cNvPr id="0" name=""/>
        <dsp:cNvSpPr/>
      </dsp:nvSpPr>
      <dsp:spPr>
        <a:xfrm>
          <a:off x="288982" y="2168"/>
          <a:ext cx="1770972" cy="1220200"/>
        </a:xfrm>
        <a:prstGeom prst="roundRect">
          <a:avLst/>
        </a:prstGeom>
        <a:blipFill rotWithShape="1">
          <a:blip xmlns:r="http://schemas.openxmlformats.org/officeDocument/2006/relationships" r:embed="rId1"/>
          <a:stretch>
            <a:fillRect/>
          </a:stretch>
        </a:blip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sp>
    <dsp:sp modelId="{2A95D99C-068F-4BB0-BC7D-088D6C48D104}">
      <dsp:nvSpPr>
        <dsp:cNvPr id="0" name=""/>
        <dsp:cNvSpPr/>
      </dsp:nvSpPr>
      <dsp:spPr>
        <a:xfrm>
          <a:off x="288982" y="1222368"/>
          <a:ext cx="1770972" cy="657030"/>
        </a:xfrm>
        <a:prstGeom prst="rect">
          <a:avLst/>
        </a:prstGeom>
        <a:noFill/>
        <a:ln>
          <a:noFill/>
        </a:ln>
        <a:effectLst/>
      </dsp:spPr>
      <dsp:style>
        <a:lnRef idx="0">
          <a:scrgbClr r="0" g="0" b="0"/>
        </a:lnRef>
        <a:fillRef idx="0">
          <a:scrgbClr r="0" g="0" b="0"/>
        </a:fillRef>
        <a:effectRef idx="0">
          <a:scrgbClr r="0" g="0" b="0"/>
        </a:effectRef>
        <a:fontRef idx="minor"/>
      </dsp:style>
      <dsp:txBody>
        <a:bodyPr spcFirstLastPara="0" vert="horz" wrap="square" lIns="56896" tIns="56896" rIns="56896" bIns="0" numCol="1" spcCol="1270" anchor="t" anchorCtr="0">
          <a:noAutofit/>
        </a:bodyPr>
        <a:lstStyle/>
        <a:p>
          <a:pPr lvl="0" algn="ctr" defTabSz="355600">
            <a:lnSpc>
              <a:spcPct val="90000"/>
            </a:lnSpc>
            <a:spcBef>
              <a:spcPct val="0"/>
            </a:spcBef>
            <a:spcAft>
              <a:spcPct val="35000"/>
            </a:spcAft>
          </a:pPr>
          <a:r>
            <a:rPr lang="es-CO" sz="800" b="1" kern="1200">
              <a:latin typeface="Arial" panose="020B0604020202020204" pitchFamily="34" charset="0"/>
              <a:cs typeface="Arial" panose="020B0604020202020204" pitchFamily="34" charset="0"/>
            </a:rPr>
            <a:t>La población: </a:t>
          </a:r>
          <a:r>
            <a:rPr lang="es-CO" sz="800" kern="1200">
              <a:latin typeface="Arial" panose="020B0604020202020204" pitchFamily="34" charset="0"/>
              <a:cs typeface="Arial" panose="020B0604020202020204" pitchFamily="34" charset="0"/>
            </a:rPr>
            <a:t>variaciones en el número o las características de la población objeto y susceptible.</a:t>
          </a:r>
          <a:endParaRPr lang="es-ES" sz="800" kern="1200">
            <a:latin typeface="Arial" panose="020B0604020202020204" pitchFamily="34" charset="0"/>
            <a:cs typeface="Arial" panose="020B0604020202020204" pitchFamily="34" charset="0"/>
          </a:endParaRPr>
        </a:p>
      </dsp:txBody>
      <dsp:txXfrm>
        <a:off x="288982" y="1222368"/>
        <a:ext cx="1770972" cy="657030"/>
      </dsp:txXfrm>
    </dsp:sp>
    <dsp:sp modelId="{DD34BC4B-CED4-4EA4-875C-3BF321E79F2E}">
      <dsp:nvSpPr>
        <dsp:cNvPr id="0" name=""/>
        <dsp:cNvSpPr/>
      </dsp:nvSpPr>
      <dsp:spPr>
        <a:xfrm>
          <a:off x="2237126" y="2168"/>
          <a:ext cx="1770972" cy="1220200"/>
        </a:xfrm>
        <a:prstGeom prst="roundRect">
          <a:avLst/>
        </a:prstGeom>
        <a:blipFill rotWithShape="1">
          <a:blip xmlns:r="http://schemas.openxmlformats.org/officeDocument/2006/relationships" r:embed="rId2"/>
          <a:stretch>
            <a:fillRect/>
          </a:stretch>
        </a:blip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sp>
    <dsp:sp modelId="{89CD91CD-0162-4CF9-9EE8-928C414E9E2A}">
      <dsp:nvSpPr>
        <dsp:cNvPr id="0" name=""/>
        <dsp:cNvSpPr/>
      </dsp:nvSpPr>
      <dsp:spPr>
        <a:xfrm>
          <a:off x="2237126" y="1222368"/>
          <a:ext cx="1770972" cy="657030"/>
        </a:xfrm>
        <a:prstGeom prst="rect">
          <a:avLst/>
        </a:prstGeom>
        <a:noFill/>
        <a:ln>
          <a:noFill/>
        </a:ln>
        <a:effectLst/>
      </dsp:spPr>
      <dsp:style>
        <a:lnRef idx="0">
          <a:scrgbClr r="0" g="0" b="0"/>
        </a:lnRef>
        <a:fillRef idx="0">
          <a:scrgbClr r="0" g="0" b="0"/>
        </a:fillRef>
        <a:effectRef idx="0">
          <a:scrgbClr r="0" g="0" b="0"/>
        </a:effectRef>
        <a:fontRef idx="minor"/>
      </dsp:style>
      <dsp:txBody>
        <a:bodyPr spcFirstLastPara="0" vert="horz" wrap="square" lIns="56896" tIns="56896" rIns="56896" bIns="0" numCol="1" spcCol="1270" anchor="t" anchorCtr="0">
          <a:noAutofit/>
        </a:bodyPr>
        <a:lstStyle/>
        <a:p>
          <a:pPr lvl="0" algn="ctr" defTabSz="355600">
            <a:lnSpc>
              <a:spcPct val="90000"/>
            </a:lnSpc>
            <a:spcBef>
              <a:spcPct val="0"/>
            </a:spcBef>
            <a:spcAft>
              <a:spcPct val="35000"/>
            </a:spcAft>
          </a:pPr>
          <a:r>
            <a:rPr lang="es-CO" sz="800" b="1" kern="1200">
              <a:latin typeface="Arial" panose="020B0604020202020204" pitchFamily="34" charset="0"/>
              <a:cs typeface="Arial" panose="020B0604020202020204" pitchFamily="34" charset="0"/>
            </a:rPr>
            <a:t>La utilización de servicios: </a:t>
          </a:r>
          <a:r>
            <a:rPr lang="es-CO" sz="800" kern="1200">
              <a:latin typeface="Arial" panose="020B0604020202020204" pitchFamily="34" charset="0"/>
              <a:cs typeface="Arial" panose="020B0604020202020204" pitchFamily="34" charset="0"/>
            </a:rPr>
            <a:t>cambios en las frecuencias o cantidades de servicios y tecnologías utilizadas.</a:t>
          </a:r>
          <a:endParaRPr lang="en-US" sz="800" kern="1200">
            <a:latin typeface="Arial" panose="020B0604020202020204" pitchFamily="34" charset="0"/>
            <a:cs typeface="Arial" panose="020B0604020202020204" pitchFamily="34" charset="0"/>
          </a:endParaRPr>
        </a:p>
      </dsp:txBody>
      <dsp:txXfrm>
        <a:off x="2237126" y="1222368"/>
        <a:ext cx="1770972" cy="657030"/>
      </dsp:txXfrm>
    </dsp:sp>
    <dsp:sp modelId="{468FB51F-502F-4E0C-86AF-F7618361698E}">
      <dsp:nvSpPr>
        <dsp:cNvPr id="0" name=""/>
        <dsp:cNvSpPr/>
      </dsp:nvSpPr>
      <dsp:spPr>
        <a:xfrm>
          <a:off x="4185270" y="2168"/>
          <a:ext cx="1770972" cy="1220200"/>
        </a:xfrm>
        <a:prstGeom prst="roundRect">
          <a:avLst/>
        </a:prstGeom>
        <a:blipFill rotWithShape="1">
          <a:blip xmlns:r="http://schemas.openxmlformats.org/officeDocument/2006/relationships" r:embed="rId3"/>
          <a:stretch>
            <a:fillRect/>
          </a:stretch>
        </a:blip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sp>
    <dsp:sp modelId="{AFD8E98D-BA3D-4B7F-8F37-3E8B2F686D60}">
      <dsp:nvSpPr>
        <dsp:cNvPr id="0" name=""/>
        <dsp:cNvSpPr/>
      </dsp:nvSpPr>
      <dsp:spPr>
        <a:xfrm>
          <a:off x="4185270" y="1222368"/>
          <a:ext cx="1770972" cy="657030"/>
        </a:xfrm>
        <a:prstGeom prst="rect">
          <a:avLst/>
        </a:prstGeom>
        <a:noFill/>
        <a:ln>
          <a:noFill/>
        </a:ln>
        <a:effectLst/>
      </dsp:spPr>
      <dsp:style>
        <a:lnRef idx="0">
          <a:scrgbClr r="0" g="0" b="0"/>
        </a:lnRef>
        <a:fillRef idx="0">
          <a:scrgbClr r="0" g="0" b="0"/>
        </a:fillRef>
        <a:effectRef idx="0">
          <a:scrgbClr r="0" g="0" b="0"/>
        </a:effectRef>
        <a:fontRef idx="minor"/>
      </dsp:style>
      <dsp:txBody>
        <a:bodyPr spcFirstLastPara="0" vert="horz" wrap="square" lIns="56896" tIns="56896" rIns="56896" bIns="0" numCol="1" spcCol="1270" anchor="t" anchorCtr="0">
          <a:noAutofit/>
        </a:bodyPr>
        <a:lstStyle/>
        <a:p>
          <a:pPr lvl="0" algn="ctr" defTabSz="355600">
            <a:lnSpc>
              <a:spcPct val="90000"/>
            </a:lnSpc>
            <a:spcBef>
              <a:spcPct val="0"/>
            </a:spcBef>
            <a:spcAft>
              <a:spcPct val="35000"/>
            </a:spcAft>
          </a:pPr>
          <a:r>
            <a:rPr lang="es-CO" sz="800" b="1" kern="1200">
              <a:latin typeface="Arial" panose="020B0604020202020204" pitchFamily="34" charset="0"/>
              <a:cs typeface="Arial" panose="020B0604020202020204" pitchFamily="34" charset="0"/>
            </a:rPr>
            <a:t>Las condiciones de salud: </a:t>
          </a:r>
          <a:r>
            <a:rPr lang="es-CO" sz="800" kern="1200">
              <a:latin typeface="Arial" panose="020B0604020202020204" pitchFamily="34" charset="0"/>
              <a:cs typeface="Arial" panose="020B0604020202020204" pitchFamily="34" charset="0"/>
            </a:rPr>
            <a:t>modificaciones en el comportamiento de la morbilidad que puedan generar variaciones en las necesidades de atención.</a:t>
          </a:r>
          <a:endParaRPr lang="en-US" sz="800" kern="1200">
            <a:latin typeface="Arial" panose="020B0604020202020204" pitchFamily="34" charset="0"/>
            <a:cs typeface="Arial" panose="020B0604020202020204" pitchFamily="34" charset="0"/>
          </a:endParaRPr>
        </a:p>
      </dsp:txBody>
      <dsp:txXfrm>
        <a:off x="4185270" y="1222368"/>
        <a:ext cx="1770972" cy="657030"/>
      </dsp:txXfrm>
    </dsp:sp>
    <dsp:sp modelId="{EFB8B6B9-84CF-42A0-AB9F-D59F5D64ED7C}">
      <dsp:nvSpPr>
        <dsp:cNvPr id="0" name=""/>
        <dsp:cNvSpPr/>
      </dsp:nvSpPr>
      <dsp:spPr>
        <a:xfrm>
          <a:off x="288982" y="2056496"/>
          <a:ext cx="1770972" cy="1220200"/>
        </a:xfrm>
        <a:prstGeom prst="roundRect">
          <a:avLst/>
        </a:prstGeom>
        <a:blipFill rotWithShape="1">
          <a:blip xmlns:r="http://schemas.openxmlformats.org/officeDocument/2006/relationships" r:embed="rId4"/>
          <a:stretch>
            <a:fillRect/>
          </a:stretch>
        </a:blip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sp>
    <dsp:sp modelId="{FF248393-C764-40A7-855A-4A34F337EAA2}">
      <dsp:nvSpPr>
        <dsp:cNvPr id="0" name=""/>
        <dsp:cNvSpPr/>
      </dsp:nvSpPr>
      <dsp:spPr>
        <a:xfrm>
          <a:off x="288982" y="3276696"/>
          <a:ext cx="1770972" cy="657030"/>
        </a:xfrm>
        <a:prstGeom prst="rect">
          <a:avLst/>
        </a:prstGeom>
        <a:noFill/>
        <a:ln>
          <a:noFill/>
        </a:ln>
        <a:effectLst/>
      </dsp:spPr>
      <dsp:style>
        <a:lnRef idx="0">
          <a:scrgbClr r="0" g="0" b="0"/>
        </a:lnRef>
        <a:fillRef idx="0">
          <a:scrgbClr r="0" g="0" b="0"/>
        </a:fillRef>
        <a:effectRef idx="0">
          <a:scrgbClr r="0" g="0" b="0"/>
        </a:effectRef>
        <a:fontRef idx="minor"/>
      </dsp:style>
      <dsp:txBody>
        <a:bodyPr spcFirstLastPara="0" vert="horz" wrap="square" lIns="56896" tIns="56896" rIns="56896" bIns="0" numCol="1" spcCol="1270" anchor="t" anchorCtr="0">
          <a:noAutofit/>
        </a:bodyPr>
        <a:lstStyle/>
        <a:p>
          <a:pPr lvl="0" algn="ctr" defTabSz="355600">
            <a:lnSpc>
              <a:spcPct val="90000"/>
            </a:lnSpc>
            <a:spcBef>
              <a:spcPct val="0"/>
            </a:spcBef>
            <a:spcAft>
              <a:spcPct val="35000"/>
            </a:spcAft>
          </a:pPr>
          <a:r>
            <a:rPr lang="es-CO" sz="800" b="1" kern="1200">
              <a:latin typeface="Arial" panose="020B0604020202020204" pitchFamily="34" charset="0"/>
              <a:cs typeface="Arial" panose="020B0604020202020204" pitchFamily="34" charset="0"/>
            </a:rPr>
            <a:t>La red de prestadores: </a:t>
          </a:r>
          <a:r>
            <a:rPr lang="es-CO" sz="800" kern="1200">
              <a:latin typeface="Arial" panose="020B0604020202020204" pitchFamily="34" charset="0"/>
              <a:cs typeface="Arial" panose="020B0604020202020204" pitchFamily="34" charset="0"/>
            </a:rPr>
            <a:t>cambios en la disponibilidad o composición de la red que puedan afectar la prestación.</a:t>
          </a:r>
          <a:endParaRPr lang="en-US" sz="800" kern="1200">
            <a:latin typeface="Arial" panose="020B0604020202020204" pitchFamily="34" charset="0"/>
            <a:cs typeface="Arial" panose="020B0604020202020204" pitchFamily="34" charset="0"/>
          </a:endParaRPr>
        </a:p>
      </dsp:txBody>
      <dsp:txXfrm>
        <a:off x="288982" y="3276696"/>
        <a:ext cx="1770972" cy="657030"/>
      </dsp:txXfrm>
    </dsp:sp>
    <dsp:sp modelId="{3738445E-A20D-440D-A216-CB52B2DA387E}">
      <dsp:nvSpPr>
        <dsp:cNvPr id="0" name=""/>
        <dsp:cNvSpPr/>
      </dsp:nvSpPr>
      <dsp:spPr>
        <a:xfrm>
          <a:off x="2237126" y="2056496"/>
          <a:ext cx="1770972" cy="1220200"/>
        </a:xfrm>
        <a:prstGeom prst="roundRect">
          <a:avLst/>
        </a:prstGeom>
        <a:blipFill rotWithShape="1">
          <a:blip xmlns:r="http://schemas.openxmlformats.org/officeDocument/2006/relationships" r:embed="rId5"/>
          <a:stretch>
            <a:fillRect/>
          </a:stretch>
        </a:blip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sp>
    <dsp:sp modelId="{BBB1C279-D0D7-40F4-B48F-EA39B34EBC95}">
      <dsp:nvSpPr>
        <dsp:cNvPr id="0" name=""/>
        <dsp:cNvSpPr/>
      </dsp:nvSpPr>
      <dsp:spPr>
        <a:xfrm>
          <a:off x="2237126" y="3276696"/>
          <a:ext cx="1770972" cy="657030"/>
        </a:xfrm>
        <a:prstGeom prst="rect">
          <a:avLst/>
        </a:prstGeom>
        <a:noFill/>
        <a:ln>
          <a:noFill/>
        </a:ln>
        <a:effectLst/>
      </dsp:spPr>
      <dsp:style>
        <a:lnRef idx="0">
          <a:scrgbClr r="0" g="0" b="0"/>
        </a:lnRef>
        <a:fillRef idx="0">
          <a:scrgbClr r="0" g="0" b="0"/>
        </a:fillRef>
        <a:effectRef idx="0">
          <a:scrgbClr r="0" g="0" b="0"/>
        </a:effectRef>
        <a:fontRef idx="minor"/>
      </dsp:style>
      <dsp:txBody>
        <a:bodyPr spcFirstLastPara="0" vert="horz" wrap="square" lIns="56896" tIns="56896" rIns="56896" bIns="0" numCol="1" spcCol="1270" anchor="t" anchorCtr="0">
          <a:noAutofit/>
        </a:bodyPr>
        <a:lstStyle/>
        <a:p>
          <a:pPr lvl="0" algn="ctr" defTabSz="355600">
            <a:lnSpc>
              <a:spcPct val="90000"/>
            </a:lnSpc>
            <a:spcBef>
              <a:spcPct val="0"/>
            </a:spcBef>
            <a:spcAft>
              <a:spcPct val="35000"/>
            </a:spcAft>
          </a:pPr>
          <a:r>
            <a:rPr lang="es-CO" sz="800" b="1" kern="1200">
              <a:latin typeface="Arial" panose="020B0604020202020204" pitchFamily="34" charset="0"/>
              <a:cs typeface="Arial" panose="020B0604020202020204" pitchFamily="34" charset="0"/>
            </a:rPr>
            <a:t>La cobertura: </a:t>
          </a:r>
          <a:r>
            <a:rPr lang="es-CO" sz="800" kern="1200">
              <a:latin typeface="Arial" panose="020B0604020202020204" pitchFamily="34" charset="0"/>
              <a:cs typeface="Arial" panose="020B0604020202020204" pitchFamily="34" charset="0"/>
            </a:rPr>
            <a:t>modificaciones que generen cambios en el acceso o utilización de los servicios.</a:t>
          </a:r>
          <a:endParaRPr lang="en-US" sz="800" kern="1200">
            <a:latin typeface="Arial" panose="020B0604020202020204" pitchFamily="34" charset="0"/>
            <a:cs typeface="Arial" panose="020B0604020202020204" pitchFamily="34" charset="0"/>
          </a:endParaRPr>
        </a:p>
      </dsp:txBody>
      <dsp:txXfrm>
        <a:off x="2237126" y="3276696"/>
        <a:ext cx="1770972" cy="657030"/>
      </dsp:txXfrm>
    </dsp:sp>
    <dsp:sp modelId="{7AF72A86-6D60-43E0-8A0B-E2C662CBD01B}">
      <dsp:nvSpPr>
        <dsp:cNvPr id="0" name=""/>
        <dsp:cNvSpPr/>
      </dsp:nvSpPr>
      <dsp:spPr>
        <a:xfrm>
          <a:off x="4185270" y="2056496"/>
          <a:ext cx="1770972" cy="1220200"/>
        </a:xfrm>
        <a:prstGeom prst="roundRect">
          <a:avLst/>
        </a:prstGeom>
        <a:blipFill rotWithShape="1">
          <a:blip xmlns:r="http://schemas.openxmlformats.org/officeDocument/2006/relationships" r:embed="rId6"/>
          <a:stretch>
            <a:fillRect/>
          </a:stretch>
        </a:blip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sp>
    <dsp:sp modelId="{E62A5B2E-6B2F-416C-BFC5-DF64D38F7FBA}">
      <dsp:nvSpPr>
        <dsp:cNvPr id="0" name=""/>
        <dsp:cNvSpPr/>
      </dsp:nvSpPr>
      <dsp:spPr>
        <a:xfrm>
          <a:off x="4185270" y="3276696"/>
          <a:ext cx="1770972" cy="657030"/>
        </a:xfrm>
        <a:prstGeom prst="rect">
          <a:avLst/>
        </a:prstGeom>
        <a:noFill/>
        <a:ln>
          <a:noFill/>
        </a:ln>
        <a:effectLst/>
      </dsp:spPr>
      <dsp:style>
        <a:lnRef idx="0">
          <a:scrgbClr r="0" g="0" b="0"/>
        </a:lnRef>
        <a:fillRef idx="0">
          <a:scrgbClr r="0" g="0" b="0"/>
        </a:fillRef>
        <a:effectRef idx="0">
          <a:scrgbClr r="0" g="0" b="0"/>
        </a:effectRef>
        <a:fontRef idx="minor"/>
      </dsp:style>
      <dsp:txBody>
        <a:bodyPr spcFirstLastPara="0" vert="horz" wrap="square" lIns="56896" tIns="56896" rIns="56896" bIns="0" numCol="1" spcCol="1270" anchor="t" anchorCtr="0">
          <a:noAutofit/>
        </a:bodyPr>
        <a:lstStyle/>
        <a:p>
          <a:pPr lvl="0" algn="ctr" defTabSz="355600">
            <a:lnSpc>
              <a:spcPct val="90000"/>
            </a:lnSpc>
            <a:spcBef>
              <a:spcPct val="0"/>
            </a:spcBef>
            <a:spcAft>
              <a:spcPct val="35000"/>
            </a:spcAft>
          </a:pPr>
          <a:r>
            <a:rPr lang="es-CO" sz="800" b="1" kern="1200">
              <a:latin typeface="Arial" panose="020B0604020202020204" pitchFamily="34" charset="0"/>
              <a:cs typeface="Arial" panose="020B0604020202020204" pitchFamily="34" charset="0"/>
            </a:rPr>
            <a:t>Eventos no previstos: </a:t>
          </a:r>
          <a:r>
            <a:rPr lang="es-CO" sz="800" kern="1200">
              <a:latin typeface="Arial" panose="020B0604020202020204" pitchFamily="34" charset="0"/>
              <a:cs typeface="Arial" panose="020B0604020202020204" pitchFamily="34" charset="0"/>
            </a:rPr>
            <a:t>situaciones que alteren las condiciones bajo las cuales se realizaron las proyecciones iniciales.</a:t>
          </a:r>
          <a:endParaRPr lang="en-US" sz="800" kern="1200">
            <a:latin typeface="Arial" panose="020B0604020202020204" pitchFamily="34" charset="0"/>
            <a:cs typeface="Arial" panose="020B0604020202020204" pitchFamily="34" charset="0"/>
          </a:endParaRPr>
        </a:p>
      </dsp:txBody>
      <dsp:txXfrm>
        <a:off x="4185270" y="3276696"/>
        <a:ext cx="1770972" cy="657030"/>
      </dsp:txXfrm>
    </dsp:sp>
  </dsp:spTree>
</dsp:drawing>
</file>

<file path=word/diagrams/drawing9.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17ED0113-1DC1-4E09-B6AA-0D17D295DCDB}">
      <dsp:nvSpPr>
        <dsp:cNvPr id="0" name=""/>
        <dsp:cNvSpPr/>
      </dsp:nvSpPr>
      <dsp:spPr>
        <a:xfrm>
          <a:off x="732943" y="133453"/>
          <a:ext cx="2412301" cy="753844"/>
        </a:xfrm>
        <a:prstGeom prst="rect">
          <a:avLst/>
        </a:prstGeom>
        <a:solidFill>
          <a:schemeClr val="lt1">
            <a:alpha val="40000"/>
            <a:hueOff val="0"/>
            <a:satOff val="0"/>
            <a:lumOff val="0"/>
            <a:alphaOff val="0"/>
          </a:schemeClr>
        </a:solidFill>
        <a:ln w="9525" cap="flat" cmpd="sng" algn="ctr">
          <a:solidFill>
            <a:schemeClr val="accent1">
              <a:hueOff val="0"/>
              <a:satOff val="0"/>
              <a:lumOff val="0"/>
              <a:alphaOff val="0"/>
            </a:schemeClr>
          </a:solidFill>
          <a:prstDash val="solid"/>
        </a:ln>
        <a:effectLst/>
      </dsp:spPr>
      <dsp:style>
        <a:lnRef idx="1">
          <a:scrgbClr r="0" g="0" b="0"/>
        </a:lnRef>
        <a:fillRef idx="1">
          <a:scrgbClr r="0" g="0" b="0"/>
        </a:fillRef>
        <a:effectRef idx="0">
          <a:scrgbClr r="0" g="0" b="0"/>
        </a:effectRef>
        <a:fontRef idx="minor"/>
      </dsp:style>
      <dsp:txBody>
        <a:bodyPr spcFirstLastPara="0" vert="horz" wrap="square" lIns="510604" tIns="45720" rIns="45720" bIns="45720" numCol="1" spcCol="1270" anchor="ctr" anchorCtr="0">
          <a:noAutofit/>
        </a:bodyPr>
        <a:lstStyle/>
        <a:p>
          <a:pPr lvl="0" algn="l" defTabSz="533400">
            <a:lnSpc>
              <a:spcPct val="90000"/>
            </a:lnSpc>
            <a:spcBef>
              <a:spcPct val="0"/>
            </a:spcBef>
            <a:spcAft>
              <a:spcPct val="35000"/>
            </a:spcAft>
          </a:pPr>
          <a:r>
            <a:rPr lang="es-CO" sz="1200" b="1" kern="1200">
              <a:latin typeface="Arial" panose="020B0604020202020204" pitchFamily="34" charset="0"/>
              <a:cs typeface="Arial" panose="020B0604020202020204" pitchFamily="34" charset="0"/>
            </a:rPr>
            <a:t>Hallazgo:</a:t>
          </a:r>
          <a:r>
            <a:rPr lang="es-CO" sz="1200" kern="1200">
              <a:latin typeface="Arial" panose="020B0604020202020204" pitchFamily="34" charset="0"/>
              <a:cs typeface="Arial" panose="020B0604020202020204" pitchFamily="34" charset="0"/>
            </a:rPr>
            <a:t> situación identificada que requiere intervención.</a:t>
          </a:r>
          <a:endParaRPr lang="en-US" sz="1200" kern="1200">
            <a:latin typeface="Arial" panose="020B0604020202020204" pitchFamily="34" charset="0"/>
            <a:cs typeface="Arial" panose="020B0604020202020204" pitchFamily="34" charset="0"/>
          </a:endParaRPr>
        </a:p>
      </dsp:txBody>
      <dsp:txXfrm>
        <a:off x="732943" y="133453"/>
        <a:ext cx="2412301" cy="753844"/>
      </dsp:txXfrm>
    </dsp:sp>
    <dsp:sp modelId="{436BB2DC-5DC5-471C-8756-EC89894462CF}">
      <dsp:nvSpPr>
        <dsp:cNvPr id="0" name=""/>
        <dsp:cNvSpPr/>
      </dsp:nvSpPr>
      <dsp:spPr>
        <a:xfrm>
          <a:off x="632431" y="24564"/>
          <a:ext cx="527690" cy="791536"/>
        </a:xfrm>
        <a:prstGeom prst="rect">
          <a:avLst/>
        </a:prstGeom>
        <a:blipFill rotWithShape="1">
          <a:blip xmlns:r="http://schemas.openxmlformats.org/officeDocument/2006/relationships" r:embed="rId1"/>
          <a:stretch>
            <a:fillRect/>
          </a:stretch>
        </a:blip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dsp:style>
    </dsp:sp>
    <dsp:sp modelId="{2E57B876-B401-4F92-8B79-536BBE1D04C6}">
      <dsp:nvSpPr>
        <dsp:cNvPr id="0" name=""/>
        <dsp:cNvSpPr/>
      </dsp:nvSpPr>
      <dsp:spPr>
        <a:xfrm>
          <a:off x="3356067" y="133453"/>
          <a:ext cx="2412301" cy="753844"/>
        </a:xfrm>
        <a:prstGeom prst="rect">
          <a:avLst/>
        </a:prstGeom>
        <a:solidFill>
          <a:schemeClr val="lt1">
            <a:alpha val="40000"/>
            <a:hueOff val="0"/>
            <a:satOff val="0"/>
            <a:lumOff val="0"/>
            <a:alphaOff val="0"/>
          </a:schemeClr>
        </a:solidFill>
        <a:ln w="9525" cap="flat" cmpd="sng" algn="ctr">
          <a:solidFill>
            <a:schemeClr val="accent1">
              <a:hueOff val="0"/>
              <a:satOff val="0"/>
              <a:lumOff val="0"/>
              <a:alphaOff val="0"/>
            </a:schemeClr>
          </a:solidFill>
          <a:prstDash val="solid"/>
        </a:ln>
        <a:effectLst/>
      </dsp:spPr>
      <dsp:style>
        <a:lnRef idx="1">
          <a:scrgbClr r="0" g="0" b="0"/>
        </a:lnRef>
        <a:fillRef idx="1">
          <a:scrgbClr r="0" g="0" b="0"/>
        </a:fillRef>
        <a:effectRef idx="0">
          <a:scrgbClr r="0" g="0" b="0"/>
        </a:effectRef>
        <a:fontRef idx="minor"/>
      </dsp:style>
      <dsp:txBody>
        <a:bodyPr spcFirstLastPara="0" vert="horz" wrap="square" lIns="510604" tIns="45720" rIns="45720" bIns="45720" numCol="1" spcCol="1270" anchor="ctr" anchorCtr="0">
          <a:noAutofit/>
        </a:bodyPr>
        <a:lstStyle/>
        <a:p>
          <a:pPr lvl="0" algn="l" defTabSz="533400">
            <a:lnSpc>
              <a:spcPct val="90000"/>
            </a:lnSpc>
            <a:spcBef>
              <a:spcPct val="0"/>
            </a:spcBef>
            <a:spcAft>
              <a:spcPct val="35000"/>
            </a:spcAft>
          </a:pPr>
          <a:r>
            <a:rPr lang="es-CO" sz="1200" b="1" kern="1200">
              <a:latin typeface="Arial" panose="020B0604020202020204" pitchFamily="34" charset="0"/>
              <a:cs typeface="Arial" panose="020B0604020202020204" pitchFamily="34" charset="0"/>
            </a:rPr>
            <a:t>Acción:</a:t>
          </a:r>
          <a:r>
            <a:rPr lang="es-CO" sz="1200" kern="1200">
              <a:latin typeface="Arial" panose="020B0604020202020204" pitchFamily="34" charset="0"/>
              <a:cs typeface="Arial" panose="020B0604020202020204" pitchFamily="34" charset="0"/>
            </a:rPr>
            <a:t> actividad que se realizará para atender el hallazgo.</a:t>
          </a:r>
          <a:endParaRPr lang="en-US" sz="1200" kern="1200">
            <a:latin typeface="Arial" panose="020B0604020202020204" pitchFamily="34" charset="0"/>
            <a:cs typeface="Arial" panose="020B0604020202020204" pitchFamily="34" charset="0"/>
          </a:endParaRPr>
        </a:p>
      </dsp:txBody>
      <dsp:txXfrm>
        <a:off x="3356067" y="133453"/>
        <a:ext cx="2412301" cy="753844"/>
      </dsp:txXfrm>
    </dsp:sp>
    <dsp:sp modelId="{EE6F4DEC-711F-45BC-9299-511D071479F1}">
      <dsp:nvSpPr>
        <dsp:cNvPr id="0" name=""/>
        <dsp:cNvSpPr/>
      </dsp:nvSpPr>
      <dsp:spPr>
        <a:xfrm>
          <a:off x="3255554" y="24564"/>
          <a:ext cx="527690" cy="791536"/>
        </a:xfrm>
        <a:prstGeom prst="rect">
          <a:avLst/>
        </a:prstGeom>
        <a:blipFill rotWithShape="1">
          <a:blip xmlns:r="http://schemas.openxmlformats.org/officeDocument/2006/relationships" r:embed="rId2"/>
          <a:stretch>
            <a:fillRect/>
          </a:stretch>
        </a:blip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dsp:style>
    </dsp:sp>
    <dsp:sp modelId="{E69609D2-15B9-4570-A64D-A51BC65C1F89}">
      <dsp:nvSpPr>
        <dsp:cNvPr id="0" name=""/>
        <dsp:cNvSpPr/>
      </dsp:nvSpPr>
      <dsp:spPr>
        <a:xfrm>
          <a:off x="732943" y="1082459"/>
          <a:ext cx="2412301" cy="753844"/>
        </a:xfrm>
        <a:prstGeom prst="rect">
          <a:avLst/>
        </a:prstGeom>
        <a:solidFill>
          <a:schemeClr val="lt1">
            <a:alpha val="40000"/>
            <a:hueOff val="0"/>
            <a:satOff val="0"/>
            <a:lumOff val="0"/>
            <a:alphaOff val="0"/>
          </a:schemeClr>
        </a:solidFill>
        <a:ln w="9525" cap="flat" cmpd="sng" algn="ctr">
          <a:solidFill>
            <a:schemeClr val="accent1">
              <a:hueOff val="0"/>
              <a:satOff val="0"/>
              <a:lumOff val="0"/>
              <a:alphaOff val="0"/>
            </a:schemeClr>
          </a:solidFill>
          <a:prstDash val="solid"/>
        </a:ln>
        <a:effectLst/>
      </dsp:spPr>
      <dsp:style>
        <a:lnRef idx="1">
          <a:scrgbClr r="0" g="0" b="0"/>
        </a:lnRef>
        <a:fillRef idx="1">
          <a:scrgbClr r="0" g="0" b="0"/>
        </a:fillRef>
        <a:effectRef idx="0">
          <a:scrgbClr r="0" g="0" b="0"/>
        </a:effectRef>
        <a:fontRef idx="minor"/>
      </dsp:style>
      <dsp:txBody>
        <a:bodyPr spcFirstLastPara="0" vert="horz" wrap="square" lIns="510604" tIns="45720" rIns="45720" bIns="45720" numCol="1" spcCol="1270" anchor="ctr" anchorCtr="0">
          <a:noAutofit/>
        </a:bodyPr>
        <a:lstStyle/>
        <a:p>
          <a:pPr lvl="0" algn="l" defTabSz="533400">
            <a:lnSpc>
              <a:spcPct val="90000"/>
            </a:lnSpc>
            <a:spcBef>
              <a:spcPct val="0"/>
            </a:spcBef>
            <a:spcAft>
              <a:spcPct val="35000"/>
            </a:spcAft>
          </a:pPr>
          <a:r>
            <a:rPr lang="es-CO" sz="1200" b="1" kern="1200">
              <a:latin typeface="Arial" panose="020B0604020202020204" pitchFamily="34" charset="0"/>
              <a:cs typeface="Arial" panose="020B0604020202020204" pitchFamily="34" charset="0"/>
            </a:rPr>
            <a:t>Responsable:</a:t>
          </a:r>
          <a:r>
            <a:rPr lang="es-CO" sz="1200" kern="1200">
              <a:latin typeface="Arial" panose="020B0604020202020204" pitchFamily="34" charset="0"/>
              <a:cs typeface="Arial" panose="020B0604020202020204" pitchFamily="34" charset="0"/>
            </a:rPr>
            <a:t> persona o área encargada de ejecutar la acción.</a:t>
          </a:r>
          <a:endParaRPr lang="en-US" sz="1200" kern="1200">
            <a:latin typeface="Arial" panose="020B0604020202020204" pitchFamily="34" charset="0"/>
            <a:cs typeface="Arial" panose="020B0604020202020204" pitchFamily="34" charset="0"/>
          </a:endParaRPr>
        </a:p>
      </dsp:txBody>
      <dsp:txXfrm>
        <a:off x="732943" y="1082459"/>
        <a:ext cx="2412301" cy="753844"/>
      </dsp:txXfrm>
    </dsp:sp>
    <dsp:sp modelId="{66682443-B7EF-4760-9D70-D4C5857ECB00}">
      <dsp:nvSpPr>
        <dsp:cNvPr id="0" name=""/>
        <dsp:cNvSpPr/>
      </dsp:nvSpPr>
      <dsp:spPr>
        <a:xfrm>
          <a:off x="632431" y="973571"/>
          <a:ext cx="527690" cy="791536"/>
        </a:xfrm>
        <a:prstGeom prst="rect">
          <a:avLst/>
        </a:prstGeom>
        <a:blipFill rotWithShape="1">
          <a:blip xmlns:r="http://schemas.openxmlformats.org/officeDocument/2006/relationships" r:embed="rId3"/>
          <a:stretch>
            <a:fillRect/>
          </a:stretch>
        </a:blip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dsp:style>
    </dsp:sp>
    <dsp:sp modelId="{AE0780D4-0AE1-4E42-A01A-EE1FF75019EF}">
      <dsp:nvSpPr>
        <dsp:cNvPr id="0" name=""/>
        <dsp:cNvSpPr/>
      </dsp:nvSpPr>
      <dsp:spPr>
        <a:xfrm>
          <a:off x="3356067" y="1082459"/>
          <a:ext cx="2412301" cy="753844"/>
        </a:xfrm>
        <a:prstGeom prst="rect">
          <a:avLst/>
        </a:prstGeom>
        <a:solidFill>
          <a:schemeClr val="lt1">
            <a:alpha val="40000"/>
            <a:hueOff val="0"/>
            <a:satOff val="0"/>
            <a:lumOff val="0"/>
            <a:alphaOff val="0"/>
          </a:schemeClr>
        </a:solidFill>
        <a:ln w="9525" cap="flat" cmpd="sng" algn="ctr">
          <a:solidFill>
            <a:schemeClr val="accent1">
              <a:hueOff val="0"/>
              <a:satOff val="0"/>
              <a:lumOff val="0"/>
              <a:alphaOff val="0"/>
            </a:schemeClr>
          </a:solidFill>
          <a:prstDash val="solid"/>
        </a:ln>
        <a:effectLst/>
      </dsp:spPr>
      <dsp:style>
        <a:lnRef idx="1">
          <a:scrgbClr r="0" g="0" b="0"/>
        </a:lnRef>
        <a:fillRef idx="1">
          <a:scrgbClr r="0" g="0" b="0"/>
        </a:fillRef>
        <a:effectRef idx="0">
          <a:scrgbClr r="0" g="0" b="0"/>
        </a:effectRef>
        <a:fontRef idx="minor"/>
      </dsp:style>
      <dsp:txBody>
        <a:bodyPr spcFirstLastPara="0" vert="horz" wrap="square" lIns="510604" tIns="45720" rIns="45720" bIns="45720" numCol="1" spcCol="1270" anchor="ctr" anchorCtr="0">
          <a:noAutofit/>
        </a:bodyPr>
        <a:lstStyle/>
        <a:p>
          <a:pPr lvl="0" algn="l" defTabSz="533400">
            <a:lnSpc>
              <a:spcPct val="90000"/>
            </a:lnSpc>
            <a:spcBef>
              <a:spcPct val="0"/>
            </a:spcBef>
            <a:spcAft>
              <a:spcPct val="35000"/>
            </a:spcAft>
          </a:pPr>
          <a:r>
            <a:rPr lang="es-CO" sz="1200" b="1" kern="1200">
              <a:latin typeface="Arial" panose="020B0604020202020204" pitchFamily="34" charset="0"/>
              <a:cs typeface="Arial" panose="020B0604020202020204" pitchFamily="34" charset="0"/>
            </a:rPr>
            <a:t>Plazo:</a:t>
          </a:r>
          <a:r>
            <a:rPr lang="es-CO" sz="1200" kern="1200">
              <a:latin typeface="Arial" panose="020B0604020202020204" pitchFamily="34" charset="0"/>
              <a:cs typeface="Arial" panose="020B0604020202020204" pitchFamily="34" charset="0"/>
            </a:rPr>
            <a:t> fecha o periodo establecido para su cumplimiento.</a:t>
          </a:r>
          <a:endParaRPr lang="en-US" sz="1200" kern="1200">
            <a:latin typeface="Arial" panose="020B0604020202020204" pitchFamily="34" charset="0"/>
            <a:cs typeface="Arial" panose="020B0604020202020204" pitchFamily="34" charset="0"/>
          </a:endParaRPr>
        </a:p>
      </dsp:txBody>
      <dsp:txXfrm>
        <a:off x="3356067" y="1082459"/>
        <a:ext cx="2412301" cy="753844"/>
      </dsp:txXfrm>
    </dsp:sp>
    <dsp:sp modelId="{E9DB475D-CAC7-4CF1-B691-F83F9ACFE86F}">
      <dsp:nvSpPr>
        <dsp:cNvPr id="0" name=""/>
        <dsp:cNvSpPr/>
      </dsp:nvSpPr>
      <dsp:spPr>
        <a:xfrm>
          <a:off x="3255554" y="973571"/>
          <a:ext cx="527690" cy="791536"/>
        </a:xfrm>
        <a:prstGeom prst="rect">
          <a:avLst/>
        </a:prstGeom>
        <a:blipFill rotWithShape="1">
          <a:blip xmlns:r="http://schemas.openxmlformats.org/officeDocument/2006/relationships" r:embed="rId4"/>
          <a:stretch>
            <a:fillRect/>
          </a:stretch>
        </a:blip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dsp:style>
    </dsp:sp>
    <dsp:sp modelId="{D9323CBA-486A-4EA4-9D49-D073A8AC2220}">
      <dsp:nvSpPr>
        <dsp:cNvPr id="0" name=""/>
        <dsp:cNvSpPr/>
      </dsp:nvSpPr>
      <dsp:spPr>
        <a:xfrm>
          <a:off x="732943" y="2031465"/>
          <a:ext cx="2412301" cy="753844"/>
        </a:xfrm>
        <a:prstGeom prst="rect">
          <a:avLst/>
        </a:prstGeom>
        <a:solidFill>
          <a:schemeClr val="lt1">
            <a:alpha val="40000"/>
            <a:hueOff val="0"/>
            <a:satOff val="0"/>
            <a:lumOff val="0"/>
            <a:alphaOff val="0"/>
          </a:schemeClr>
        </a:solidFill>
        <a:ln w="9525" cap="flat" cmpd="sng" algn="ctr">
          <a:solidFill>
            <a:schemeClr val="accent1">
              <a:hueOff val="0"/>
              <a:satOff val="0"/>
              <a:lumOff val="0"/>
              <a:alphaOff val="0"/>
            </a:schemeClr>
          </a:solidFill>
          <a:prstDash val="solid"/>
        </a:ln>
        <a:effectLst/>
      </dsp:spPr>
      <dsp:style>
        <a:lnRef idx="1">
          <a:scrgbClr r="0" g="0" b="0"/>
        </a:lnRef>
        <a:fillRef idx="1">
          <a:scrgbClr r="0" g="0" b="0"/>
        </a:fillRef>
        <a:effectRef idx="0">
          <a:scrgbClr r="0" g="0" b="0"/>
        </a:effectRef>
        <a:fontRef idx="minor"/>
      </dsp:style>
      <dsp:txBody>
        <a:bodyPr spcFirstLastPara="0" vert="horz" wrap="square" lIns="510604" tIns="45720" rIns="45720" bIns="45720" numCol="1" spcCol="1270" anchor="ctr" anchorCtr="0">
          <a:noAutofit/>
        </a:bodyPr>
        <a:lstStyle/>
        <a:p>
          <a:pPr lvl="0" algn="l" defTabSz="533400">
            <a:lnSpc>
              <a:spcPct val="90000"/>
            </a:lnSpc>
            <a:spcBef>
              <a:spcPct val="0"/>
            </a:spcBef>
            <a:spcAft>
              <a:spcPct val="35000"/>
            </a:spcAft>
          </a:pPr>
          <a:r>
            <a:rPr lang="es-CO" sz="1200" b="1" kern="1200">
              <a:latin typeface="Arial" panose="020B0604020202020204" pitchFamily="34" charset="0"/>
              <a:cs typeface="Arial" panose="020B0604020202020204" pitchFamily="34" charset="0"/>
            </a:rPr>
            <a:t>Resultado esperado:</a:t>
          </a:r>
          <a:r>
            <a:rPr lang="es-CO" sz="1200" kern="1200">
              <a:latin typeface="Arial" panose="020B0604020202020204" pitchFamily="34" charset="0"/>
              <a:cs typeface="Arial" panose="020B0604020202020204" pitchFamily="34" charset="0"/>
            </a:rPr>
            <a:t> condición que se espera alcanzar con la acción.</a:t>
          </a:r>
          <a:endParaRPr lang="en-US" sz="1200" kern="1200">
            <a:latin typeface="Arial" panose="020B0604020202020204" pitchFamily="34" charset="0"/>
            <a:cs typeface="Arial" panose="020B0604020202020204" pitchFamily="34" charset="0"/>
          </a:endParaRPr>
        </a:p>
      </dsp:txBody>
      <dsp:txXfrm>
        <a:off x="732943" y="2031465"/>
        <a:ext cx="2412301" cy="753844"/>
      </dsp:txXfrm>
    </dsp:sp>
    <dsp:sp modelId="{973000E0-55FC-44D2-994D-D63124846F16}">
      <dsp:nvSpPr>
        <dsp:cNvPr id="0" name=""/>
        <dsp:cNvSpPr/>
      </dsp:nvSpPr>
      <dsp:spPr>
        <a:xfrm>
          <a:off x="632431" y="1922577"/>
          <a:ext cx="527690" cy="791536"/>
        </a:xfrm>
        <a:prstGeom prst="rect">
          <a:avLst/>
        </a:prstGeom>
        <a:blipFill rotWithShape="1">
          <a:blip xmlns:r="http://schemas.openxmlformats.org/officeDocument/2006/relationships" r:embed="rId5"/>
          <a:stretch>
            <a:fillRect/>
          </a:stretch>
        </a:blip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dsp:style>
    </dsp:sp>
    <dsp:sp modelId="{AE599379-528A-4F67-968F-A45101883CF9}">
      <dsp:nvSpPr>
        <dsp:cNvPr id="0" name=""/>
        <dsp:cNvSpPr/>
      </dsp:nvSpPr>
      <dsp:spPr>
        <a:xfrm>
          <a:off x="3356067" y="2031465"/>
          <a:ext cx="2412301" cy="753844"/>
        </a:xfrm>
        <a:prstGeom prst="rect">
          <a:avLst/>
        </a:prstGeom>
        <a:solidFill>
          <a:schemeClr val="lt1">
            <a:alpha val="40000"/>
            <a:hueOff val="0"/>
            <a:satOff val="0"/>
            <a:lumOff val="0"/>
            <a:alphaOff val="0"/>
          </a:schemeClr>
        </a:solidFill>
        <a:ln w="9525" cap="flat" cmpd="sng" algn="ctr">
          <a:solidFill>
            <a:schemeClr val="accent1">
              <a:hueOff val="0"/>
              <a:satOff val="0"/>
              <a:lumOff val="0"/>
              <a:alphaOff val="0"/>
            </a:schemeClr>
          </a:solidFill>
          <a:prstDash val="solid"/>
        </a:ln>
        <a:effectLst/>
      </dsp:spPr>
      <dsp:style>
        <a:lnRef idx="1">
          <a:scrgbClr r="0" g="0" b="0"/>
        </a:lnRef>
        <a:fillRef idx="1">
          <a:scrgbClr r="0" g="0" b="0"/>
        </a:fillRef>
        <a:effectRef idx="0">
          <a:scrgbClr r="0" g="0" b="0"/>
        </a:effectRef>
        <a:fontRef idx="minor"/>
      </dsp:style>
      <dsp:txBody>
        <a:bodyPr spcFirstLastPara="0" vert="horz" wrap="square" lIns="510604" tIns="45720" rIns="45720" bIns="45720" numCol="1" spcCol="1270" anchor="ctr" anchorCtr="0">
          <a:noAutofit/>
        </a:bodyPr>
        <a:lstStyle/>
        <a:p>
          <a:pPr lvl="0" algn="l" defTabSz="533400">
            <a:lnSpc>
              <a:spcPct val="90000"/>
            </a:lnSpc>
            <a:spcBef>
              <a:spcPct val="0"/>
            </a:spcBef>
            <a:spcAft>
              <a:spcPct val="35000"/>
            </a:spcAft>
          </a:pPr>
          <a:r>
            <a:rPr lang="es-CO" sz="1200" b="1" kern="1200">
              <a:latin typeface="Arial" panose="020B0604020202020204" pitchFamily="34" charset="0"/>
              <a:cs typeface="Arial" panose="020B0604020202020204" pitchFamily="34" charset="0"/>
            </a:rPr>
            <a:t>Seguimiento:</a:t>
          </a:r>
          <a:r>
            <a:rPr lang="es-CO" sz="1200" kern="1200">
              <a:latin typeface="Arial" panose="020B0604020202020204" pitchFamily="34" charset="0"/>
              <a:cs typeface="Arial" panose="020B0604020202020204" pitchFamily="34" charset="0"/>
            </a:rPr>
            <a:t> mecanismo utilizado para comprobar su cumplimiento y efectividad.</a:t>
          </a:r>
          <a:endParaRPr lang="en-US" sz="1200" kern="1200">
            <a:latin typeface="Arial" panose="020B0604020202020204" pitchFamily="34" charset="0"/>
            <a:cs typeface="Arial" panose="020B0604020202020204" pitchFamily="34" charset="0"/>
          </a:endParaRPr>
        </a:p>
      </dsp:txBody>
      <dsp:txXfrm>
        <a:off x="3356067" y="2031465"/>
        <a:ext cx="2412301" cy="753844"/>
      </dsp:txXfrm>
    </dsp:sp>
    <dsp:sp modelId="{563C5A36-B10A-4625-BFD0-B581209513A7}">
      <dsp:nvSpPr>
        <dsp:cNvPr id="0" name=""/>
        <dsp:cNvSpPr/>
      </dsp:nvSpPr>
      <dsp:spPr>
        <a:xfrm>
          <a:off x="3255554" y="1922577"/>
          <a:ext cx="527690" cy="791536"/>
        </a:xfrm>
        <a:prstGeom prst="rect">
          <a:avLst/>
        </a:prstGeom>
        <a:blipFill rotWithShape="1">
          <a:blip xmlns:r="http://schemas.openxmlformats.org/officeDocument/2006/relationships" r:embed="rId6"/>
          <a:stretch>
            <a:fillRect/>
          </a:stretch>
        </a:blip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dsp:style>
    </dsp:sp>
  </dsp:spTree>
</dsp:drawing>
</file>

<file path=word/diagrams/layout1.xml><?xml version="1.0" encoding="utf-8"?>
<dgm:layoutDef xmlns:dgm="http://schemas.openxmlformats.org/drawingml/2006/diagram" xmlns:a="http://schemas.openxmlformats.org/drawingml/2006/main" uniqueId="urn:microsoft.com/office/officeart/2005/8/layout/hProcess9">
  <dgm:title val=""/>
  <dgm:desc val=""/>
  <dgm:catLst>
    <dgm:cat type="process" pri="5000"/>
    <dgm:cat type="convert" pri="13000"/>
  </dgm:catLst>
  <dgm:sampData useDef="1">
    <dgm:dataModel>
      <dgm:ptLst/>
      <dgm:bg/>
      <dgm:whole/>
    </dgm:dataModel>
  </dgm:sampData>
  <dgm:styleData>
    <dgm:dataModel>
      <dgm:ptLst>
        <dgm:pt modelId="0" type="doc"/>
        <dgm:pt modelId="1"/>
        <dgm:pt modelId="2"/>
      </dgm:ptLst>
      <dgm:cxnLst>
        <dgm:cxn modelId="3" srcId="0" destId="1" srcOrd="0" destOrd="0"/>
        <dgm:cxn modelId="4" srcId="0" destId="2" srcOrd="1" destOrd="0"/>
      </dgm:cxnLst>
      <dgm:bg/>
      <dgm:whole/>
    </dgm:dataModel>
  </dgm:styleData>
  <dgm:clrData>
    <dgm:dataModel>
      <dgm:ptLst>
        <dgm:pt modelId="0" type="doc"/>
        <dgm:pt modelId="1"/>
        <dgm:pt modelId="2"/>
        <dgm:pt modelId="3"/>
        <dgm:pt modelId="4"/>
      </dgm:ptLst>
      <dgm:cxnLst>
        <dgm:cxn modelId="5" srcId="0" destId="1" srcOrd="0" destOrd="0"/>
        <dgm:cxn modelId="6" srcId="0" destId="2" srcOrd="1" destOrd="0"/>
        <dgm:cxn modelId="7" srcId="0" destId="3" srcOrd="2" destOrd="0"/>
        <dgm:cxn modelId="8" srcId="0" destId="4" srcOrd="3" destOrd="0"/>
      </dgm:cxnLst>
      <dgm:bg/>
      <dgm:whole/>
    </dgm:dataModel>
  </dgm:clrData>
  <dgm:layoutNode name="CompostProcess">
    <dgm:varLst>
      <dgm:dir/>
      <dgm:resizeHandles val="exact"/>
    </dgm:varLst>
    <dgm:alg type="composite">
      <dgm:param type="horzAlign" val="ctr"/>
      <dgm:param type="vertAlign" val="mid"/>
    </dgm:alg>
    <dgm:shape xmlns:r="http://schemas.openxmlformats.org/officeDocument/2006/relationships" r:blip="">
      <dgm:adjLst/>
    </dgm:shape>
    <dgm:presOf/>
    <dgm:constrLst>
      <dgm:constr type="w" for="ch" forName="arrow" refType="w" fact="0.85"/>
      <dgm:constr type="h" for="ch" forName="arrow" refType="h"/>
      <dgm:constr type="ctrX" for="ch" forName="arrow" refType="w" fact="0.5"/>
      <dgm:constr type="ctrY" for="ch" forName="arrow" refType="h" fact="0.5"/>
      <dgm:constr type="w" for="ch" forName="linearProcess" refType="w"/>
      <dgm:constr type="h" for="ch" forName="linearProcess" refType="h" fact="0.4"/>
      <dgm:constr type="ctrX" for="ch" forName="linearProcess" refType="w" fact="0.5"/>
      <dgm:constr type="ctrY" for="ch" forName="linearProcess" refType="h" fact="0.5"/>
    </dgm:constrLst>
    <dgm:ruleLst/>
    <dgm:layoutNode name="arrow" styleLbl="bgShp">
      <dgm:alg type="sp"/>
      <dgm:choose name="Name0">
        <dgm:if name="Name1" func="var" arg="dir" op="equ" val="norm">
          <dgm:shape xmlns:r="http://schemas.openxmlformats.org/officeDocument/2006/relationships" type="rightArrow" r:blip="">
            <dgm:adjLst/>
          </dgm:shape>
        </dgm:if>
        <dgm:else name="Name2">
          <dgm:shape xmlns:r="http://schemas.openxmlformats.org/officeDocument/2006/relationships" type="leftArrow" r:blip="">
            <dgm:adjLst/>
          </dgm:shape>
        </dgm:else>
      </dgm:choose>
      <dgm:presOf/>
      <dgm:constrLst/>
      <dgm:ruleLst/>
    </dgm:layoutNode>
    <dgm:layoutNode name="linearProcess">
      <dgm:choose name="Name3">
        <dgm:if name="Name4" func="var" arg="dir" op="equ" val="norm">
          <dgm:alg type="lin"/>
        </dgm:if>
        <dgm:else name="Name5">
          <dgm:alg type="lin">
            <dgm:param type="linDir" val="fromR"/>
          </dgm:alg>
        </dgm:else>
      </dgm:choose>
      <dgm:shape xmlns:r="http://schemas.openxmlformats.org/officeDocument/2006/relationships" r:blip="">
        <dgm:adjLst/>
      </dgm:shape>
      <dgm:presOf/>
      <dgm:constrLst>
        <dgm:constr type="userA" for="ch" ptType="node" refType="w"/>
        <dgm:constr type="h" for="ch" ptType="node" refType="h"/>
        <dgm:constr type="w" for="ch" ptType="node" op="equ"/>
        <dgm:constr type="w" for="ch" forName="sibTrans" refType="w" fact="0.05"/>
        <dgm:constr type="primFontSz" for="ch" ptType="node" op="equ" val="65"/>
      </dgm:constrLst>
      <dgm:ruleLst/>
      <dgm:forEach name="Name6" axis="ch" ptType="node">
        <dgm:layoutNode name="textNode" styleLbl="node1">
          <dgm:varLst>
            <dgm:bulletEnabled val="1"/>
          </dgm:varLst>
          <dgm:alg type="tx"/>
          <dgm:shape xmlns:r="http://schemas.openxmlformats.org/officeDocument/2006/relationships" type="roundRect" r:blip="">
            <dgm:adjLst/>
          </dgm:shape>
          <dgm:presOf axis="desOrSelf" ptType="node"/>
          <dgm:constrLst>
            <dgm:constr type="userA"/>
            <dgm:constr type="w" refType="userA" fact="0.3"/>
            <dgm:constr type="tMarg" refType="primFontSz" fact="0.3"/>
            <dgm:constr type="bMarg" refType="primFontSz" fact="0.3"/>
            <dgm:constr type="lMarg" refType="primFontSz" fact="0.3"/>
            <dgm:constr type="rMarg" refType="primFontSz" fact="0.3"/>
          </dgm:constrLst>
          <dgm:ruleLst>
            <dgm:rule type="w" val="NaN" fact="1" max="NaN"/>
            <dgm:rule type="primFontSz" val="5" fact="NaN" max="NaN"/>
          </dgm:ruleLst>
        </dgm:layoutNode>
        <dgm:forEach name="Name7" axis="followSib" ptType="sibTrans" cnt="1">
          <dgm:layoutNode name="sibTrans">
            <dgm:alg type="sp"/>
            <dgm:shape xmlns:r="http://schemas.openxmlformats.org/officeDocument/2006/relationships" r:blip="">
              <dgm:adjLst/>
            </dgm:shape>
            <dgm:presOf/>
            <dgm:constrLst/>
            <dgm:ruleLst/>
          </dgm:layoutNode>
        </dgm:forEach>
      </dgm:forEach>
    </dgm:layoutNode>
  </dgm:layoutNode>
</dgm:layoutDef>
</file>

<file path=word/diagrams/layout2.xml><?xml version="1.0" encoding="utf-8"?>
<dgm:layoutDef xmlns:dgm="http://schemas.openxmlformats.org/drawingml/2006/diagram" xmlns:a="http://schemas.openxmlformats.org/drawingml/2006/main" uniqueId="urn:microsoft.com/office/officeart/2005/8/layout/pList1">
  <dgm:title val=""/>
  <dgm:desc val=""/>
  <dgm:catLst>
    <dgm:cat type="list" pri="2000"/>
    <dgm:cat type="picture" pri="2500"/>
    <dgm:cat type="pictureconvert" pri="2500"/>
  </dgm:catLst>
  <dgm:sampData>
    <dgm:dataModel>
      <dgm:ptLst>
        <dgm:pt modelId="0" type="doc"/>
        <dgm:pt modelId="1">
          <dgm:prSet phldr="1"/>
        </dgm:pt>
        <dgm:pt modelId="2">
          <dgm:prSet phldr="1"/>
        </dgm:pt>
        <dgm:pt modelId="3">
          <dgm:prSet phldr="1"/>
        </dgm:pt>
        <dgm:pt modelId="4">
          <dgm:prSet phldr="1"/>
        </dgm:pt>
      </dgm:ptLst>
      <dgm:cxnLst>
        <dgm:cxn modelId="7" srcId="0" destId="1" srcOrd="0" destOrd="0"/>
        <dgm:cxn modelId="8" srcId="0" destId="2" srcOrd="1" destOrd="0"/>
        <dgm:cxn modelId="9" srcId="0" destId="3" srcOrd="2" destOrd="0"/>
        <dgm:cxn modelId="10" srcId="0" destId="4" srcOrd="3" destOrd="0"/>
      </dgm:cxnLst>
      <dgm:bg/>
      <dgm:whole/>
    </dgm:dataModel>
  </dgm:sampData>
  <dgm:styleData>
    <dgm:dataModel>
      <dgm:ptLst>
        <dgm:pt modelId="0" type="doc"/>
        <dgm:pt modelId="1"/>
        <dgm:pt modelId="2"/>
      </dgm:ptLst>
      <dgm:cxnLst>
        <dgm:cxn modelId="3" srcId="0" destId="1" srcOrd="0" destOrd="0"/>
        <dgm:cxn modelId="4" srcId="0" destId="2" srcOrd="1" destOrd="0"/>
      </dgm:cxnLst>
      <dgm:bg/>
      <dgm:whole/>
    </dgm:dataModel>
  </dgm:styleData>
  <dgm:clrData useDef="1">
    <dgm:dataModel>
      <dgm:ptLst/>
      <dgm:bg/>
      <dgm:whole/>
    </dgm:dataModel>
  </dgm:clrData>
  <dgm:layoutNode name="Name0">
    <dgm:varLst>
      <dgm:dir/>
      <dgm:resizeHandles val="exact"/>
    </dgm:varLst>
    <dgm:choose name="Name1">
      <dgm:if name="Name2" axis="self" func="var" arg="dir" op="equ" val="norm">
        <dgm:alg type="snake">
          <dgm:param type="grDir" val="tL"/>
          <dgm:param type="flowDir" val="row"/>
          <dgm:param type="contDir" val="sameDir"/>
          <dgm:param type="off" val="ctr"/>
          <dgm:param type="vertAlign" val="mid"/>
          <dgm:param type="horzAlign" val="ctr"/>
        </dgm:alg>
      </dgm:if>
      <dgm:else name="Name3">
        <dgm:alg type="snake">
          <dgm:param type="grDir" val="tR"/>
          <dgm:param type="flowDir" val="row"/>
          <dgm:param type="contDir" val="sameDir"/>
          <dgm:param type="off" val="ctr"/>
          <dgm:param type="vertAlign" val="mid"/>
          <dgm:param type="horzAlign" val="ctr"/>
        </dgm:alg>
      </dgm:else>
    </dgm:choose>
    <dgm:shape xmlns:r="http://schemas.openxmlformats.org/officeDocument/2006/relationships" r:blip="">
      <dgm:adjLst/>
    </dgm:shape>
    <dgm:presOf/>
    <dgm:constrLst>
      <dgm:constr type="w" for="ch" forName="compNode" refType="w"/>
      <dgm:constr type="w" for="ch" ptType="sibTrans" refType="w" refFor="ch" refForName="compNode" op="equ" fact="0.1"/>
      <dgm:constr type="sp" refType="w" refFor="ch" refForName="compNode" op="equ" fact="0.1"/>
      <dgm:constr type="primFontSz" for="des" ptType="node" op="equ" val="65"/>
    </dgm:constrLst>
    <dgm:ruleLst/>
    <dgm:forEach name="Name4" axis="ch" ptType="node">
      <dgm:layoutNode name="compNode">
        <dgm:alg type="composite">
          <dgm:param type="ar" val="0.943"/>
        </dgm:alg>
        <dgm:shape xmlns:r="http://schemas.openxmlformats.org/officeDocument/2006/relationships" r:blip="">
          <dgm:adjLst/>
        </dgm:shape>
        <dgm:presOf axis="self"/>
        <dgm:constrLst>
          <dgm:constr type="h" refType="w" fact="1.06"/>
          <dgm:constr type="h" for="ch" forName="pictRect" refType="h" fact="0.65"/>
          <dgm:constr type="w" for="ch" forName="pictRect" refType="w"/>
          <dgm:constr type="l" for="ch" forName="pictRect"/>
          <dgm:constr type="t" for="ch" forName="pictRect"/>
          <dgm:constr type="w" for="ch" forName="textRect" refType="w"/>
          <dgm:constr type="h" for="ch" forName="textRect" refType="h" fact="0.35"/>
          <dgm:constr type="l" for="ch" forName="textRect"/>
          <dgm:constr type="t" for="ch" forName="textRect" refType="b" refFor="ch" refForName="pictRect"/>
        </dgm:constrLst>
        <dgm:ruleLst/>
        <dgm:layoutNode name="pictRect">
          <dgm:alg type="sp"/>
          <dgm:shape xmlns:r="http://schemas.openxmlformats.org/officeDocument/2006/relationships" type="roundRect" r:blip="" blipPhldr="1">
            <dgm:adjLst/>
          </dgm:shape>
          <dgm:presOf/>
          <dgm:constrLst/>
          <dgm:ruleLst/>
        </dgm:layoutNode>
        <dgm:layoutNode name="textRect" styleLbl="revTx">
          <dgm:varLst>
            <dgm:bulletEnabled val="1"/>
          </dgm:varLst>
          <dgm:alg type="tx">
            <dgm:param type="txAnchorVert" val="t"/>
          </dgm:alg>
          <dgm:shape xmlns:r="http://schemas.openxmlformats.org/officeDocument/2006/relationships" type="rect" r:blip="">
            <dgm:adjLst/>
          </dgm:shape>
          <dgm:presOf axis="desOrSelf" ptType="node"/>
          <dgm:constrLst>
            <dgm:constr type="bMarg"/>
          </dgm:constrLst>
          <dgm:ruleLst>
            <dgm:rule type="primFontSz" val="5" fact="NaN" max="NaN"/>
          </dgm:ruleLst>
        </dgm:layoutNode>
      </dgm:layoutNode>
      <dgm:forEach name="Name5" axis="followSib" ptType="sibTrans" cnt="1">
        <dgm:layoutNode name="sibTrans">
          <dgm:alg type="sp"/>
          <dgm:shape xmlns:r="http://schemas.openxmlformats.org/officeDocument/2006/relationships" type="rect" r:blip="" hideGeom="1">
            <dgm:adjLst/>
          </dgm:shape>
          <dgm:presOf axis="self"/>
          <dgm:constrLst/>
          <dgm:ruleLst/>
        </dgm:layoutNode>
      </dgm:forEach>
    </dgm:forEach>
  </dgm:layoutNode>
</dgm:layoutDef>
</file>

<file path=word/diagrams/layout3.xml><?xml version="1.0" encoding="utf-8"?>
<dgm:layoutDef xmlns:dgm="http://schemas.openxmlformats.org/drawingml/2006/diagram" xmlns:a="http://schemas.openxmlformats.org/drawingml/2006/main" uniqueId="urn:microsoft.com/office/officeart/2005/8/layout/vList3">
  <dgm:title val=""/>
  <dgm:desc val=""/>
  <dgm:catLst>
    <dgm:cat type="list" pri="14000"/>
    <dgm:cat type="convert" pri="3000"/>
    <dgm:cat type="picture" pri="27000"/>
    <dgm:cat type="pictureconvert" pri="27000"/>
  </dgm:catLst>
  <dgm:sampData useDef="1">
    <dgm:dataModel>
      <dgm:ptLst/>
      <dgm:bg/>
      <dgm:whole/>
    </dgm:dataModel>
  </dgm:sampData>
  <dgm:styleData>
    <dgm:dataModel>
      <dgm:ptLst>
        <dgm:pt modelId="0" type="doc"/>
        <dgm:pt modelId="1"/>
        <dgm:pt modelId="2"/>
      </dgm:ptLst>
      <dgm:cxnLst>
        <dgm:cxn modelId="3" srcId="0" destId="1" srcOrd="0" destOrd="0"/>
        <dgm:cxn modelId="4" srcId="0" destId="2" srcOrd="1" destOrd="0"/>
      </dgm:cxnLst>
      <dgm:bg/>
      <dgm:whole/>
    </dgm:dataModel>
  </dgm:styleData>
  <dgm:clrData>
    <dgm:dataModel>
      <dgm:ptLst>
        <dgm:pt modelId="0" type="doc"/>
        <dgm:pt modelId="1"/>
        <dgm:pt modelId="2"/>
        <dgm:pt modelId="3"/>
        <dgm:pt modelId="4"/>
      </dgm:ptLst>
      <dgm:cxnLst>
        <dgm:cxn modelId="5" srcId="0" destId="1" srcOrd="0" destOrd="0"/>
        <dgm:cxn modelId="6" srcId="0" destId="2" srcOrd="1" destOrd="0"/>
        <dgm:cxn modelId="7" srcId="0" destId="3" srcOrd="2" destOrd="0"/>
        <dgm:cxn modelId="8" srcId="0" destId="4" srcOrd="3" destOrd="0"/>
      </dgm:cxnLst>
      <dgm:bg/>
      <dgm:whole/>
    </dgm:dataModel>
  </dgm:clrData>
  <dgm:layoutNode name="linearFlow">
    <dgm:varLst>
      <dgm:dir/>
      <dgm:resizeHandles val="exact"/>
    </dgm:varLst>
    <dgm:alg type="lin">
      <dgm:param type="linDir" val="fromT"/>
      <dgm:param type="vertAlign" val="mid"/>
      <dgm:param type="horzAlign" val="ctr"/>
    </dgm:alg>
    <dgm:shape xmlns:r="http://schemas.openxmlformats.org/officeDocument/2006/relationships" r:blip="">
      <dgm:adjLst/>
    </dgm:shape>
    <dgm:presOf/>
    <dgm:constrLst>
      <dgm:constr type="w" for="ch" forName="composite" refType="w"/>
      <dgm:constr type="h" for="ch" forName="composite" refType="h"/>
      <dgm:constr type="h" for="ch" forName="spacing" refType="h" refFor="ch" refForName="composite" fact="0.25"/>
      <dgm:constr type="h" for="ch" forName="spacing" refType="w" op="lte" fact="0.1"/>
      <dgm:constr type="primFontSz" for="des" ptType="node" op="equ" val="65"/>
    </dgm:constrLst>
    <dgm:ruleLst/>
    <dgm:forEach name="Name0" axis="ch" ptType="node">
      <dgm:layoutNode name="composite">
        <dgm:alg type="composite"/>
        <dgm:shape xmlns:r="http://schemas.openxmlformats.org/officeDocument/2006/relationships" r:blip="">
          <dgm:adjLst/>
        </dgm:shape>
        <dgm:presOf/>
        <dgm:choose name="Name1">
          <dgm:if name="Name2" func="var" arg="dir" op="equ" val="norm">
            <dgm:constrLst>
              <dgm:constr type="w" for="ch" forName="imgShp" refType="w" fact="0.335"/>
              <dgm:constr type="h" for="ch" forName="imgShp" refType="w" refFor="ch" refForName="imgShp" op="equ"/>
              <dgm:constr type="h" for="ch" forName="imgShp" refType="h" op="lte"/>
              <dgm:constr type="ctrY" for="ch" forName="imgShp" refType="h" fact="0.5"/>
              <dgm:constr type="l" for="ch" forName="imgShp"/>
              <dgm:constr type="w" for="ch" forName="txShp" refType="w" op="equ" fact="0.665"/>
              <dgm:constr type="h" for="ch" forName="txShp" refType="h" refFor="ch" refForName="imgShp" op="equ"/>
              <dgm:constr type="ctrY" for="ch" forName="txShp" refType="h" fact="0.5"/>
              <dgm:constr type="l" for="ch" forName="txShp" refType="w" refFor="ch" refForName="imgShp" fact="0.5"/>
              <dgm:constr type="lMarg" for="ch" forName="txShp" refType="w" refFor="ch" refForName="imgShp" fact="1.25"/>
            </dgm:constrLst>
          </dgm:if>
          <dgm:else name="Name3">
            <dgm:constrLst>
              <dgm:constr type="w" for="ch" forName="imgShp" refType="w" fact="0.335"/>
              <dgm:constr type="h" for="ch" forName="imgShp" refType="w" refFor="ch" refForName="imgShp" op="equ"/>
              <dgm:constr type="h" for="ch" forName="imgShp" refType="h" op="lte"/>
              <dgm:constr type="ctrY" for="ch" forName="imgShp" refType="h" fact="0.5"/>
              <dgm:constr type="r" for="ch" forName="imgShp" refType="w"/>
              <dgm:constr type="w" for="ch" forName="txShp" refType="w" op="equ" fact="0.665"/>
              <dgm:constr type="h" for="ch" forName="txShp" refType="h" refFor="ch" refForName="imgShp" op="equ"/>
              <dgm:constr type="ctrY" for="ch" forName="txShp" refType="h" fact="0.5"/>
              <dgm:constr type="r" for="ch" forName="txShp" refType="ctrX" refFor="ch" refForName="imgShp"/>
              <dgm:constr type="rMarg" for="ch" forName="txShp" refType="w" refFor="ch" refForName="imgShp" fact="1.25"/>
            </dgm:constrLst>
          </dgm:else>
        </dgm:choose>
        <dgm:ruleLst/>
        <dgm:layoutNode name="imgShp" styleLbl="fgImgPlace1">
          <dgm:alg type="sp"/>
          <dgm:shape xmlns:r="http://schemas.openxmlformats.org/officeDocument/2006/relationships" type="ellipse" r:blip="" blipPhldr="1">
            <dgm:adjLst/>
          </dgm:shape>
          <dgm:presOf/>
          <dgm:constrLst/>
          <dgm:ruleLst/>
        </dgm:layoutNode>
        <dgm:layoutNode name="txShp">
          <dgm:varLst>
            <dgm:bulletEnabled val="1"/>
          </dgm:varLst>
          <dgm:alg type="tx"/>
          <dgm:choose name="Name4">
            <dgm:if name="Name5" func="var" arg="dir" op="equ" val="norm">
              <dgm:shape xmlns:r="http://schemas.openxmlformats.org/officeDocument/2006/relationships" rot="180" type="homePlate" r:blip="" zOrderOff="-1">
                <dgm:adjLst/>
              </dgm:shape>
            </dgm:if>
            <dgm:else name="Name6">
              <dgm:shape xmlns:r="http://schemas.openxmlformats.org/officeDocument/2006/relationships" type="homePlate" r:blip="" zOrderOff="-1">
                <dgm:adjLst/>
              </dgm:shape>
            </dgm:else>
          </dgm:choose>
          <dgm:presOf axis="desOrSelf" ptType="node"/>
          <dgm:constrLst>
            <dgm:constr type="tMarg" refType="primFontSz" fact="0.3"/>
            <dgm:constr type="bMarg" refType="primFontSz" fact="0.3"/>
          </dgm:constrLst>
          <dgm:ruleLst>
            <dgm:rule type="primFontSz" val="5" fact="NaN" max="NaN"/>
          </dgm:ruleLst>
        </dgm:layoutNode>
      </dgm:layoutNode>
      <dgm:forEach name="Name7" axis="followSib" ptType="sibTrans" cnt="1">
        <dgm:layoutNode name="spacing">
          <dgm:alg type="sp"/>
          <dgm:shape xmlns:r="http://schemas.openxmlformats.org/officeDocument/2006/relationships" r:blip="">
            <dgm:adjLst/>
          </dgm:shape>
          <dgm:presOf axis="self"/>
          <dgm:constrLst/>
          <dgm:ruleLst/>
        </dgm:layoutNode>
      </dgm:forEach>
    </dgm:forEach>
  </dgm:layoutNode>
</dgm:layoutDef>
</file>

<file path=word/diagrams/layout4.xml><?xml version="1.0" encoding="utf-8"?>
<dgm:layoutDef xmlns:dgm="http://schemas.openxmlformats.org/drawingml/2006/diagram" xmlns:a="http://schemas.openxmlformats.org/drawingml/2006/main" uniqueId="urn:microsoft.com/office/officeart/2005/8/layout/bProcess3">
  <dgm:title val=""/>
  <dgm:desc val=""/>
  <dgm:catLst>
    <dgm:cat type="process" pri="18000"/>
  </dgm:catLst>
  <dgm:sampData>
    <dgm:dataModel>
      <dgm:ptLst>
        <dgm:pt modelId="0" type="doc"/>
        <dgm:pt modelId="1">
          <dgm:prSet phldr="1"/>
        </dgm:pt>
        <dgm:pt modelId="2">
          <dgm:prSet phldr="1"/>
        </dgm:pt>
        <dgm:pt modelId="3">
          <dgm:prSet phldr="1"/>
        </dgm:pt>
        <dgm:pt modelId="4">
          <dgm:prSet phldr="1"/>
        </dgm:pt>
        <dgm:pt modelId="5">
          <dgm:prSet phldr="1"/>
        </dgm:pt>
      </dgm:ptLst>
      <dgm:cxnLst>
        <dgm:cxn modelId="7" srcId="0" destId="1" srcOrd="0" destOrd="0"/>
        <dgm:cxn modelId="8" srcId="0" destId="2" srcOrd="1" destOrd="0"/>
        <dgm:cxn modelId="9" srcId="0" destId="3" srcOrd="2" destOrd="0"/>
        <dgm:cxn modelId="10" srcId="0" destId="4" srcOrd="3" destOrd="0"/>
        <dgm:cxn modelId="11" srcId="0" destId="5" srcOrd="4" destOrd="0"/>
      </dgm:cxnLst>
      <dgm:bg/>
      <dgm:whole/>
    </dgm:dataModel>
  </dgm:sampData>
  <dgm:styleData>
    <dgm:dataModel>
      <dgm:ptLst>
        <dgm:pt modelId="0" type="doc"/>
        <dgm:pt modelId="1"/>
        <dgm:pt modelId="2"/>
      </dgm:ptLst>
      <dgm:cxnLst>
        <dgm:cxn modelId="3" srcId="0" destId="1" srcOrd="0" destOrd="0"/>
        <dgm:cxn modelId="4" srcId="0" destId="2" srcOrd="1" destOrd="0"/>
      </dgm:cxnLst>
      <dgm:bg/>
      <dgm:whole/>
    </dgm:dataModel>
  </dgm:styleData>
  <dgm:clrData>
    <dgm:dataModel>
      <dgm:ptLst>
        <dgm:pt modelId="0" type="doc"/>
        <dgm:pt modelId="1"/>
        <dgm:pt modelId="2"/>
        <dgm:pt modelId="3"/>
        <dgm:pt modelId="4"/>
      </dgm:ptLst>
      <dgm:cxnLst>
        <dgm:cxn modelId="5" srcId="0" destId="1" srcOrd="0" destOrd="0"/>
        <dgm:cxn modelId="6" srcId="0" destId="2" srcOrd="1" destOrd="0"/>
        <dgm:cxn modelId="7" srcId="0" destId="3" srcOrd="2" destOrd="0"/>
        <dgm:cxn modelId="8" srcId="0" destId="4" srcOrd="3" destOrd="0"/>
      </dgm:cxnLst>
      <dgm:bg/>
      <dgm:whole/>
    </dgm:dataModel>
  </dgm:clrData>
  <dgm:layoutNode name="Name0">
    <dgm:varLst>
      <dgm:dir/>
      <dgm:resizeHandles val="exact"/>
    </dgm:varLst>
    <dgm:choose name="Name1">
      <dgm:if name="Name2" axis="self" func="var" arg="dir" op="equ" val="norm">
        <dgm:alg type="snake">
          <dgm:param type="grDir" val="tL"/>
          <dgm:param type="flowDir" val="row"/>
          <dgm:param type="contDir" val="sameDir"/>
          <dgm:param type="bkpt" val="endCnv"/>
        </dgm:alg>
      </dgm:if>
      <dgm:else name="Name3">
        <dgm:alg type="snake">
          <dgm:param type="grDir" val="tR"/>
          <dgm:param type="flowDir" val="row"/>
          <dgm:param type="contDir" val="sameDir"/>
          <dgm:param type="bkpt" val="endCnv"/>
        </dgm:alg>
      </dgm:else>
    </dgm:choose>
    <dgm:shape xmlns:r="http://schemas.openxmlformats.org/officeDocument/2006/relationships" r:blip="">
      <dgm:adjLst/>
    </dgm:shape>
    <dgm:presOf/>
    <dgm:constrLst>
      <dgm:constr type="w" for="ch" ptType="node" refType="w"/>
      <dgm:constr type="w" for="ch" forName="sibTrans" refType="w" refFor="ch" refPtType="node" op="equ" fact="0.23"/>
      <dgm:constr type="sp" refType="w" refFor="ch" refForName="sibTrans" op="equ"/>
      <dgm:constr type="userB" for="des" forName="connectorText" refType="sp"/>
      <dgm:constr type="primFontSz" for="ch" ptType="node" op="equ" val="65"/>
      <dgm:constr type="h" for="ch" ptType="sibTrans" op="equ"/>
      <dgm:constr type="primFontSz" for="des" forName="connectorText" op="equ" val="55"/>
      <dgm:constr type="primFontSz" for="des" forName="connectorText" refType="primFontSz" refFor="ch" refPtType="node" op="lte" fact="0.8"/>
    </dgm:constrLst>
    <dgm:ruleLst/>
    <dgm:forEach name="nodesForEach" axis="ch" ptType="node">
      <dgm:layoutNode name="node">
        <dgm:varLst>
          <dgm:bulletEnabled val="1"/>
        </dgm:varLst>
        <dgm:alg type="tx"/>
        <dgm:shape xmlns:r="http://schemas.openxmlformats.org/officeDocument/2006/relationships" type="rect" r:blip="">
          <dgm:adjLst/>
        </dgm:shape>
        <dgm:presOf axis="desOrSelf" ptType="node"/>
        <dgm:constrLst>
          <dgm:constr type="h" refType="w" fact="0.6"/>
        </dgm:constrLst>
        <dgm:ruleLst>
          <dgm:rule type="primFontSz" val="5" fact="NaN" max="NaN"/>
        </dgm:ruleLst>
      </dgm:layoutNode>
      <dgm:forEach name="sibTransForEach" axis="followSib" ptType="sibTrans" cnt="1">
        <dgm:layoutNode name="sibTrans">
          <dgm:choose name="Name4">
            <dgm:if name="Name5" axis="self" func="var" arg="dir" op="equ" val="norm">
              <dgm:alg type="conn">
                <dgm:param type="connRout" val="bend"/>
                <dgm:param type="dim" val="1D"/>
                <dgm:param type="begPts" val="midR bCtr"/>
                <dgm:param type="endPts" val="midL tCtr"/>
              </dgm:alg>
            </dgm:if>
            <dgm:else name="Name6">
              <dgm:alg type="conn">
                <dgm:param type="connRout" val="bend"/>
                <dgm:param type="dim" val="1D"/>
                <dgm:param type="begPts" val="midL bCtr"/>
                <dgm:param type="endPts" val="midR tCtr"/>
              </dgm:alg>
            </dgm:else>
          </dgm:choose>
          <dgm:shape xmlns:r="http://schemas.openxmlformats.org/officeDocument/2006/relationships" type="conn" r:blip="" zOrderOff="-2">
            <dgm:adjLst/>
          </dgm:shape>
          <dgm:presOf axis="self"/>
          <dgm:constrLst>
            <dgm:constr type="begPad" val="-0.05"/>
            <dgm:constr type="endPad" val="0.9"/>
            <dgm:constr type="userA" for="ch" refType="connDist"/>
          </dgm:constrLst>
          <dgm:ruleLst/>
          <dgm:layoutNode name="connectorText">
            <dgm:alg type="tx">
              <dgm:param type="autoTxRot" val="upr"/>
            </dgm:alg>
            <dgm:shape xmlns:r="http://schemas.openxmlformats.org/officeDocument/2006/relationships" type="rect" r:blip="" hideGeom="1">
              <dgm:adjLst/>
            </dgm:shape>
            <dgm:presOf axis="self"/>
            <dgm:constrLst>
              <dgm:constr type="userA"/>
              <dgm:constr type="userB"/>
              <dgm:constr type="w" refType="userA" fact="0.05"/>
              <dgm:constr type="h" refType="userB" fact="0.01"/>
              <dgm:constr type="lMarg" val="1"/>
              <dgm:constr type="rMarg" val="1"/>
              <dgm:constr type="tMarg"/>
              <dgm:constr type="bMarg"/>
            </dgm:constrLst>
            <dgm:ruleLst>
              <dgm:rule type="w" val="NaN" fact="0.6" max="NaN"/>
              <dgm:rule type="h" val="NaN" fact="0.6" max="NaN"/>
              <dgm:rule type="primFontSz" val="5" fact="NaN" max="NaN"/>
            </dgm:ruleLst>
          </dgm:layoutNode>
        </dgm:layoutNode>
      </dgm:forEach>
    </dgm:forEach>
  </dgm:layoutNode>
</dgm:layoutDef>
</file>

<file path=word/diagrams/layout5.xml><?xml version="1.0" encoding="utf-8"?>
<dgm:layoutDef xmlns:dgm="http://schemas.openxmlformats.org/drawingml/2006/diagram" xmlns:a="http://schemas.openxmlformats.org/drawingml/2006/main" uniqueId="urn:microsoft.com/office/officeart/2005/8/layout/vList3">
  <dgm:title val=""/>
  <dgm:desc val=""/>
  <dgm:catLst>
    <dgm:cat type="list" pri="14000"/>
    <dgm:cat type="convert" pri="3000"/>
    <dgm:cat type="picture" pri="27000"/>
    <dgm:cat type="pictureconvert" pri="27000"/>
  </dgm:catLst>
  <dgm:sampData useDef="1">
    <dgm:dataModel>
      <dgm:ptLst/>
      <dgm:bg/>
      <dgm:whole/>
    </dgm:dataModel>
  </dgm:sampData>
  <dgm:styleData>
    <dgm:dataModel>
      <dgm:ptLst>
        <dgm:pt modelId="0" type="doc"/>
        <dgm:pt modelId="1"/>
        <dgm:pt modelId="2"/>
      </dgm:ptLst>
      <dgm:cxnLst>
        <dgm:cxn modelId="3" srcId="0" destId="1" srcOrd="0" destOrd="0"/>
        <dgm:cxn modelId="4" srcId="0" destId="2" srcOrd="1" destOrd="0"/>
      </dgm:cxnLst>
      <dgm:bg/>
      <dgm:whole/>
    </dgm:dataModel>
  </dgm:styleData>
  <dgm:clrData>
    <dgm:dataModel>
      <dgm:ptLst>
        <dgm:pt modelId="0" type="doc"/>
        <dgm:pt modelId="1"/>
        <dgm:pt modelId="2"/>
        <dgm:pt modelId="3"/>
        <dgm:pt modelId="4"/>
      </dgm:ptLst>
      <dgm:cxnLst>
        <dgm:cxn modelId="5" srcId="0" destId="1" srcOrd="0" destOrd="0"/>
        <dgm:cxn modelId="6" srcId="0" destId="2" srcOrd="1" destOrd="0"/>
        <dgm:cxn modelId="7" srcId="0" destId="3" srcOrd="2" destOrd="0"/>
        <dgm:cxn modelId="8" srcId="0" destId="4" srcOrd="3" destOrd="0"/>
      </dgm:cxnLst>
      <dgm:bg/>
      <dgm:whole/>
    </dgm:dataModel>
  </dgm:clrData>
  <dgm:layoutNode name="linearFlow">
    <dgm:varLst>
      <dgm:dir/>
      <dgm:resizeHandles val="exact"/>
    </dgm:varLst>
    <dgm:alg type="lin">
      <dgm:param type="linDir" val="fromT"/>
      <dgm:param type="vertAlign" val="mid"/>
      <dgm:param type="horzAlign" val="ctr"/>
    </dgm:alg>
    <dgm:shape xmlns:r="http://schemas.openxmlformats.org/officeDocument/2006/relationships" r:blip="">
      <dgm:adjLst/>
    </dgm:shape>
    <dgm:presOf/>
    <dgm:constrLst>
      <dgm:constr type="w" for="ch" forName="composite" refType="w"/>
      <dgm:constr type="h" for="ch" forName="composite" refType="h"/>
      <dgm:constr type="h" for="ch" forName="spacing" refType="h" refFor="ch" refForName="composite" fact="0.25"/>
      <dgm:constr type="h" for="ch" forName="spacing" refType="w" op="lte" fact="0.1"/>
      <dgm:constr type="primFontSz" for="des" ptType="node" op="equ" val="65"/>
    </dgm:constrLst>
    <dgm:ruleLst/>
    <dgm:forEach name="Name0" axis="ch" ptType="node">
      <dgm:layoutNode name="composite">
        <dgm:alg type="composite"/>
        <dgm:shape xmlns:r="http://schemas.openxmlformats.org/officeDocument/2006/relationships" r:blip="">
          <dgm:adjLst/>
        </dgm:shape>
        <dgm:presOf/>
        <dgm:choose name="Name1">
          <dgm:if name="Name2" func="var" arg="dir" op="equ" val="norm">
            <dgm:constrLst>
              <dgm:constr type="w" for="ch" forName="imgShp" refType="w" fact="0.335"/>
              <dgm:constr type="h" for="ch" forName="imgShp" refType="w" refFor="ch" refForName="imgShp" op="equ"/>
              <dgm:constr type="h" for="ch" forName="imgShp" refType="h" op="lte"/>
              <dgm:constr type="ctrY" for="ch" forName="imgShp" refType="h" fact="0.5"/>
              <dgm:constr type="l" for="ch" forName="imgShp"/>
              <dgm:constr type="w" for="ch" forName="txShp" refType="w" op="equ" fact="0.665"/>
              <dgm:constr type="h" for="ch" forName="txShp" refType="h" refFor="ch" refForName="imgShp" op="equ"/>
              <dgm:constr type="ctrY" for="ch" forName="txShp" refType="h" fact="0.5"/>
              <dgm:constr type="l" for="ch" forName="txShp" refType="w" refFor="ch" refForName="imgShp" fact="0.5"/>
              <dgm:constr type="lMarg" for="ch" forName="txShp" refType="w" refFor="ch" refForName="imgShp" fact="1.25"/>
            </dgm:constrLst>
          </dgm:if>
          <dgm:else name="Name3">
            <dgm:constrLst>
              <dgm:constr type="w" for="ch" forName="imgShp" refType="w" fact="0.335"/>
              <dgm:constr type="h" for="ch" forName="imgShp" refType="w" refFor="ch" refForName="imgShp" op="equ"/>
              <dgm:constr type="h" for="ch" forName="imgShp" refType="h" op="lte"/>
              <dgm:constr type="ctrY" for="ch" forName="imgShp" refType="h" fact="0.5"/>
              <dgm:constr type="r" for="ch" forName="imgShp" refType="w"/>
              <dgm:constr type="w" for="ch" forName="txShp" refType="w" op="equ" fact="0.665"/>
              <dgm:constr type="h" for="ch" forName="txShp" refType="h" refFor="ch" refForName="imgShp" op="equ"/>
              <dgm:constr type="ctrY" for="ch" forName="txShp" refType="h" fact="0.5"/>
              <dgm:constr type="r" for="ch" forName="txShp" refType="ctrX" refFor="ch" refForName="imgShp"/>
              <dgm:constr type="rMarg" for="ch" forName="txShp" refType="w" refFor="ch" refForName="imgShp" fact="1.25"/>
            </dgm:constrLst>
          </dgm:else>
        </dgm:choose>
        <dgm:ruleLst/>
        <dgm:layoutNode name="imgShp" styleLbl="fgImgPlace1">
          <dgm:alg type="sp"/>
          <dgm:shape xmlns:r="http://schemas.openxmlformats.org/officeDocument/2006/relationships" type="ellipse" r:blip="" blipPhldr="1">
            <dgm:adjLst/>
          </dgm:shape>
          <dgm:presOf/>
          <dgm:constrLst/>
          <dgm:ruleLst/>
        </dgm:layoutNode>
        <dgm:layoutNode name="txShp">
          <dgm:varLst>
            <dgm:bulletEnabled val="1"/>
          </dgm:varLst>
          <dgm:alg type="tx"/>
          <dgm:choose name="Name4">
            <dgm:if name="Name5" func="var" arg="dir" op="equ" val="norm">
              <dgm:shape xmlns:r="http://schemas.openxmlformats.org/officeDocument/2006/relationships" rot="180" type="homePlate" r:blip="" zOrderOff="-1">
                <dgm:adjLst/>
              </dgm:shape>
            </dgm:if>
            <dgm:else name="Name6">
              <dgm:shape xmlns:r="http://schemas.openxmlformats.org/officeDocument/2006/relationships" type="homePlate" r:blip="" zOrderOff="-1">
                <dgm:adjLst/>
              </dgm:shape>
            </dgm:else>
          </dgm:choose>
          <dgm:presOf axis="desOrSelf" ptType="node"/>
          <dgm:constrLst>
            <dgm:constr type="tMarg" refType="primFontSz" fact="0.3"/>
            <dgm:constr type="bMarg" refType="primFontSz" fact="0.3"/>
          </dgm:constrLst>
          <dgm:ruleLst>
            <dgm:rule type="primFontSz" val="5" fact="NaN" max="NaN"/>
          </dgm:ruleLst>
        </dgm:layoutNode>
      </dgm:layoutNode>
      <dgm:forEach name="Name7" axis="followSib" ptType="sibTrans" cnt="1">
        <dgm:layoutNode name="spacing">
          <dgm:alg type="sp"/>
          <dgm:shape xmlns:r="http://schemas.openxmlformats.org/officeDocument/2006/relationships" r:blip="">
            <dgm:adjLst/>
          </dgm:shape>
          <dgm:presOf axis="self"/>
          <dgm:constrLst/>
          <dgm:ruleLst/>
        </dgm:layoutNode>
      </dgm:forEach>
    </dgm:forEach>
  </dgm:layoutNode>
</dgm:layoutDef>
</file>

<file path=word/diagrams/layout6.xml><?xml version="1.0" encoding="utf-8"?>
<dgm:layoutDef xmlns:dgm="http://schemas.openxmlformats.org/drawingml/2006/diagram" xmlns:a="http://schemas.openxmlformats.org/drawingml/2006/main" uniqueId="urn:microsoft.com/office/officeart/2005/8/layout/vList3">
  <dgm:title val=""/>
  <dgm:desc val=""/>
  <dgm:catLst>
    <dgm:cat type="list" pri="14000"/>
    <dgm:cat type="convert" pri="3000"/>
    <dgm:cat type="picture" pri="27000"/>
    <dgm:cat type="pictureconvert" pri="27000"/>
  </dgm:catLst>
  <dgm:sampData useDef="1">
    <dgm:dataModel>
      <dgm:ptLst/>
      <dgm:bg/>
      <dgm:whole/>
    </dgm:dataModel>
  </dgm:sampData>
  <dgm:styleData>
    <dgm:dataModel>
      <dgm:ptLst>
        <dgm:pt modelId="0" type="doc"/>
        <dgm:pt modelId="1"/>
        <dgm:pt modelId="2"/>
      </dgm:ptLst>
      <dgm:cxnLst>
        <dgm:cxn modelId="3" srcId="0" destId="1" srcOrd="0" destOrd="0"/>
        <dgm:cxn modelId="4" srcId="0" destId="2" srcOrd="1" destOrd="0"/>
      </dgm:cxnLst>
      <dgm:bg/>
      <dgm:whole/>
    </dgm:dataModel>
  </dgm:styleData>
  <dgm:clrData>
    <dgm:dataModel>
      <dgm:ptLst>
        <dgm:pt modelId="0" type="doc"/>
        <dgm:pt modelId="1"/>
        <dgm:pt modelId="2"/>
        <dgm:pt modelId="3"/>
        <dgm:pt modelId="4"/>
      </dgm:ptLst>
      <dgm:cxnLst>
        <dgm:cxn modelId="5" srcId="0" destId="1" srcOrd="0" destOrd="0"/>
        <dgm:cxn modelId="6" srcId="0" destId="2" srcOrd="1" destOrd="0"/>
        <dgm:cxn modelId="7" srcId="0" destId="3" srcOrd="2" destOrd="0"/>
        <dgm:cxn modelId="8" srcId="0" destId="4" srcOrd="3" destOrd="0"/>
      </dgm:cxnLst>
      <dgm:bg/>
      <dgm:whole/>
    </dgm:dataModel>
  </dgm:clrData>
  <dgm:layoutNode name="linearFlow">
    <dgm:varLst>
      <dgm:dir/>
      <dgm:resizeHandles val="exact"/>
    </dgm:varLst>
    <dgm:alg type="lin">
      <dgm:param type="linDir" val="fromT"/>
      <dgm:param type="vertAlign" val="mid"/>
      <dgm:param type="horzAlign" val="ctr"/>
    </dgm:alg>
    <dgm:shape xmlns:r="http://schemas.openxmlformats.org/officeDocument/2006/relationships" r:blip="">
      <dgm:adjLst/>
    </dgm:shape>
    <dgm:presOf/>
    <dgm:constrLst>
      <dgm:constr type="w" for="ch" forName="composite" refType="w"/>
      <dgm:constr type="h" for="ch" forName="composite" refType="h"/>
      <dgm:constr type="h" for="ch" forName="spacing" refType="h" refFor="ch" refForName="composite" fact="0.25"/>
      <dgm:constr type="h" for="ch" forName="spacing" refType="w" op="lte" fact="0.1"/>
      <dgm:constr type="primFontSz" for="des" ptType="node" op="equ" val="65"/>
    </dgm:constrLst>
    <dgm:ruleLst/>
    <dgm:forEach name="Name0" axis="ch" ptType="node">
      <dgm:layoutNode name="composite">
        <dgm:alg type="composite"/>
        <dgm:shape xmlns:r="http://schemas.openxmlformats.org/officeDocument/2006/relationships" r:blip="">
          <dgm:adjLst/>
        </dgm:shape>
        <dgm:presOf/>
        <dgm:choose name="Name1">
          <dgm:if name="Name2" func="var" arg="dir" op="equ" val="norm">
            <dgm:constrLst>
              <dgm:constr type="w" for="ch" forName="imgShp" refType="w" fact="0.335"/>
              <dgm:constr type="h" for="ch" forName="imgShp" refType="w" refFor="ch" refForName="imgShp" op="equ"/>
              <dgm:constr type="h" for="ch" forName="imgShp" refType="h" op="lte"/>
              <dgm:constr type="ctrY" for="ch" forName="imgShp" refType="h" fact="0.5"/>
              <dgm:constr type="l" for="ch" forName="imgShp"/>
              <dgm:constr type="w" for="ch" forName="txShp" refType="w" op="equ" fact="0.665"/>
              <dgm:constr type="h" for="ch" forName="txShp" refType="h" refFor="ch" refForName="imgShp" op="equ"/>
              <dgm:constr type="ctrY" for="ch" forName="txShp" refType="h" fact="0.5"/>
              <dgm:constr type="l" for="ch" forName="txShp" refType="w" refFor="ch" refForName="imgShp" fact="0.5"/>
              <dgm:constr type="lMarg" for="ch" forName="txShp" refType="w" refFor="ch" refForName="imgShp" fact="1.25"/>
            </dgm:constrLst>
          </dgm:if>
          <dgm:else name="Name3">
            <dgm:constrLst>
              <dgm:constr type="w" for="ch" forName="imgShp" refType="w" fact="0.335"/>
              <dgm:constr type="h" for="ch" forName="imgShp" refType="w" refFor="ch" refForName="imgShp" op="equ"/>
              <dgm:constr type="h" for="ch" forName="imgShp" refType="h" op="lte"/>
              <dgm:constr type="ctrY" for="ch" forName="imgShp" refType="h" fact="0.5"/>
              <dgm:constr type="r" for="ch" forName="imgShp" refType="w"/>
              <dgm:constr type="w" for="ch" forName="txShp" refType="w" op="equ" fact="0.665"/>
              <dgm:constr type="h" for="ch" forName="txShp" refType="h" refFor="ch" refForName="imgShp" op="equ"/>
              <dgm:constr type="ctrY" for="ch" forName="txShp" refType="h" fact="0.5"/>
              <dgm:constr type="r" for="ch" forName="txShp" refType="ctrX" refFor="ch" refForName="imgShp"/>
              <dgm:constr type="rMarg" for="ch" forName="txShp" refType="w" refFor="ch" refForName="imgShp" fact="1.25"/>
            </dgm:constrLst>
          </dgm:else>
        </dgm:choose>
        <dgm:ruleLst/>
        <dgm:layoutNode name="imgShp" styleLbl="fgImgPlace1">
          <dgm:alg type="sp"/>
          <dgm:shape xmlns:r="http://schemas.openxmlformats.org/officeDocument/2006/relationships" type="ellipse" r:blip="" blipPhldr="1">
            <dgm:adjLst/>
          </dgm:shape>
          <dgm:presOf/>
          <dgm:constrLst/>
          <dgm:ruleLst/>
        </dgm:layoutNode>
        <dgm:layoutNode name="txShp">
          <dgm:varLst>
            <dgm:bulletEnabled val="1"/>
          </dgm:varLst>
          <dgm:alg type="tx"/>
          <dgm:choose name="Name4">
            <dgm:if name="Name5" func="var" arg="dir" op="equ" val="norm">
              <dgm:shape xmlns:r="http://schemas.openxmlformats.org/officeDocument/2006/relationships" rot="180" type="homePlate" r:blip="" zOrderOff="-1">
                <dgm:adjLst/>
              </dgm:shape>
            </dgm:if>
            <dgm:else name="Name6">
              <dgm:shape xmlns:r="http://schemas.openxmlformats.org/officeDocument/2006/relationships" type="homePlate" r:blip="" zOrderOff="-1">
                <dgm:adjLst/>
              </dgm:shape>
            </dgm:else>
          </dgm:choose>
          <dgm:presOf axis="desOrSelf" ptType="node"/>
          <dgm:constrLst>
            <dgm:constr type="tMarg" refType="primFontSz" fact="0.3"/>
            <dgm:constr type="bMarg" refType="primFontSz" fact="0.3"/>
          </dgm:constrLst>
          <dgm:ruleLst>
            <dgm:rule type="primFontSz" val="5" fact="NaN" max="NaN"/>
          </dgm:ruleLst>
        </dgm:layoutNode>
      </dgm:layoutNode>
      <dgm:forEach name="Name7" axis="followSib" ptType="sibTrans" cnt="1">
        <dgm:layoutNode name="spacing">
          <dgm:alg type="sp"/>
          <dgm:shape xmlns:r="http://schemas.openxmlformats.org/officeDocument/2006/relationships" r:blip="">
            <dgm:adjLst/>
          </dgm:shape>
          <dgm:presOf axis="self"/>
          <dgm:constrLst/>
          <dgm:ruleLst/>
        </dgm:layoutNode>
      </dgm:forEach>
    </dgm:forEach>
  </dgm:layoutNode>
</dgm:layoutDef>
</file>

<file path=word/diagrams/layout7.xml><?xml version="1.0" encoding="utf-8"?>
<dgm:layoutDef xmlns:dgm="http://schemas.openxmlformats.org/drawingml/2006/diagram" xmlns:a="http://schemas.openxmlformats.org/drawingml/2006/main" uniqueId="urn:microsoft.com/office/officeart/2005/8/layout/vList3">
  <dgm:title val=""/>
  <dgm:desc val=""/>
  <dgm:catLst>
    <dgm:cat type="list" pri="14000"/>
    <dgm:cat type="convert" pri="3000"/>
    <dgm:cat type="picture" pri="27000"/>
    <dgm:cat type="pictureconvert" pri="27000"/>
  </dgm:catLst>
  <dgm:sampData useDef="1">
    <dgm:dataModel>
      <dgm:ptLst/>
      <dgm:bg/>
      <dgm:whole/>
    </dgm:dataModel>
  </dgm:sampData>
  <dgm:styleData>
    <dgm:dataModel>
      <dgm:ptLst>
        <dgm:pt modelId="0" type="doc"/>
        <dgm:pt modelId="1"/>
        <dgm:pt modelId="2"/>
      </dgm:ptLst>
      <dgm:cxnLst>
        <dgm:cxn modelId="3" srcId="0" destId="1" srcOrd="0" destOrd="0"/>
        <dgm:cxn modelId="4" srcId="0" destId="2" srcOrd="1" destOrd="0"/>
      </dgm:cxnLst>
      <dgm:bg/>
      <dgm:whole/>
    </dgm:dataModel>
  </dgm:styleData>
  <dgm:clrData>
    <dgm:dataModel>
      <dgm:ptLst>
        <dgm:pt modelId="0" type="doc"/>
        <dgm:pt modelId="1"/>
        <dgm:pt modelId="2"/>
        <dgm:pt modelId="3"/>
        <dgm:pt modelId="4"/>
      </dgm:ptLst>
      <dgm:cxnLst>
        <dgm:cxn modelId="5" srcId="0" destId="1" srcOrd="0" destOrd="0"/>
        <dgm:cxn modelId="6" srcId="0" destId="2" srcOrd="1" destOrd="0"/>
        <dgm:cxn modelId="7" srcId="0" destId="3" srcOrd="2" destOrd="0"/>
        <dgm:cxn modelId="8" srcId="0" destId="4" srcOrd="3" destOrd="0"/>
      </dgm:cxnLst>
      <dgm:bg/>
      <dgm:whole/>
    </dgm:dataModel>
  </dgm:clrData>
  <dgm:layoutNode name="linearFlow">
    <dgm:varLst>
      <dgm:dir/>
      <dgm:resizeHandles val="exact"/>
    </dgm:varLst>
    <dgm:alg type="lin">
      <dgm:param type="linDir" val="fromT"/>
      <dgm:param type="vertAlign" val="mid"/>
      <dgm:param type="horzAlign" val="ctr"/>
    </dgm:alg>
    <dgm:shape xmlns:r="http://schemas.openxmlformats.org/officeDocument/2006/relationships" r:blip="">
      <dgm:adjLst/>
    </dgm:shape>
    <dgm:presOf/>
    <dgm:constrLst>
      <dgm:constr type="w" for="ch" forName="composite" refType="w"/>
      <dgm:constr type="h" for="ch" forName="composite" refType="h"/>
      <dgm:constr type="h" for="ch" forName="spacing" refType="h" refFor="ch" refForName="composite" fact="0.25"/>
      <dgm:constr type="h" for="ch" forName="spacing" refType="w" op="lte" fact="0.1"/>
      <dgm:constr type="primFontSz" for="des" ptType="node" op="equ" val="65"/>
    </dgm:constrLst>
    <dgm:ruleLst/>
    <dgm:forEach name="Name0" axis="ch" ptType="node">
      <dgm:layoutNode name="composite">
        <dgm:alg type="composite"/>
        <dgm:shape xmlns:r="http://schemas.openxmlformats.org/officeDocument/2006/relationships" r:blip="">
          <dgm:adjLst/>
        </dgm:shape>
        <dgm:presOf/>
        <dgm:choose name="Name1">
          <dgm:if name="Name2" func="var" arg="dir" op="equ" val="norm">
            <dgm:constrLst>
              <dgm:constr type="w" for="ch" forName="imgShp" refType="w" fact="0.335"/>
              <dgm:constr type="h" for="ch" forName="imgShp" refType="w" refFor="ch" refForName="imgShp" op="equ"/>
              <dgm:constr type="h" for="ch" forName="imgShp" refType="h" op="lte"/>
              <dgm:constr type="ctrY" for="ch" forName="imgShp" refType="h" fact="0.5"/>
              <dgm:constr type="l" for="ch" forName="imgShp"/>
              <dgm:constr type="w" for="ch" forName="txShp" refType="w" op="equ" fact="0.665"/>
              <dgm:constr type="h" for="ch" forName="txShp" refType="h" refFor="ch" refForName="imgShp" op="equ"/>
              <dgm:constr type="ctrY" for="ch" forName="txShp" refType="h" fact="0.5"/>
              <dgm:constr type="l" for="ch" forName="txShp" refType="w" refFor="ch" refForName="imgShp" fact="0.5"/>
              <dgm:constr type="lMarg" for="ch" forName="txShp" refType="w" refFor="ch" refForName="imgShp" fact="1.25"/>
            </dgm:constrLst>
          </dgm:if>
          <dgm:else name="Name3">
            <dgm:constrLst>
              <dgm:constr type="w" for="ch" forName="imgShp" refType="w" fact="0.335"/>
              <dgm:constr type="h" for="ch" forName="imgShp" refType="w" refFor="ch" refForName="imgShp" op="equ"/>
              <dgm:constr type="h" for="ch" forName="imgShp" refType="h" op="lte"/>
              <dgm:constr type="ctrY" for="ch" forName="imgShp" refType="h" fact="0.5"/>
              <dgm:constr type="r" for="ch" forName="imgShp" refType="w"/>
              <dgm:constr type="w" for="ch" forName="txShp" refType="w" op="equ" fact="0.665"/>
              <dgm:constr type="h" for="ch" forName="txShp" refType="h" refFor="ch" refForName="imgShp" op="equ"/>
              <dgm:constr type="ctrY" for="ch" forName="txShp" refType="h" fact="0.5"/>
              <dgm:constr type="r" for="ch" forName="txShp" refType="ctrX" refFor="ch" refForName="imgShp"/>
              <dgm:constr type="rMarg" for="ch" forName="txShp" refType="w" refFor="ch" refForName="imgShp" fact="1.25"/>
            </dgm:constrLst>
          </dgm:else>
        </dgm:choose>
        <dgm:ruleLst/>
        <dgm:layoutNode name="imgShp" styleLbl="fgImgPlace1">
          <dgm:alg type="sp"/>
          <dgm:shape xmlns:r="http://schemas.openxmlformats.org/officeDocument/2006/relationships" type="ellipse" r:blip="" blipPhldr="1">
            <dgm:adjLst/>
          </dgm:shape>
          <dgm:presOf/>
          <dgm:constrLst/>
          <dgm:ruleLst/>
        </dgm:layoutNode>
        <dgm:layoutNode name="txShp">
          <dgm:varLst>
            <dgm:bulletEnabled val="1"/>
          </dgm:varLst>
          <dgm:alg type="tx"/>
          <dgm:choose name="Name4">
            <dgm:if name="Name5" func="var" arg="dir" op="equ" val="norm">
              <dgm:shape xmlns:r="http://schemas.openxmlformats.org/officeDocument/2006/relationships" rot="180" type="homePlate" r:blip="" zOrderOff="-1">
                <dgm:adjLst/>
              </dgm:shape>
            </dgm:if>
            <dgm:else name="Name6">
              <dgm:shape xmlns:r="http://schemas.openxmlformats.org/officeDocument/2006/relationships" type="homePlate" r:blip="" zOrderOff="-1">
                <dgm:adjLst/>
              </dgm:shape>
            </dgm:else>
          </dgm:choose>
          <dgm:presOf axis="desOrSelf" ptType="node"/>
          <dgm:constrLst>
            <dgm:constr type="tMarg" refType="primFontSz" fact="0.3"/>
            <dgm:constr type="bMarg" refType="primFontSz" fact="0.3"/>
          </dgm:constrLst>
          <dgm:ruleLst>
            <dgm:rule type="primFontSz" val="5" fact="NaN" max="NaN"/>
          </dgm:ruleLst>
        </dgm:layoutNode>
      </dgm:layoutNode>
      <dgm:forEach name="Name7" axis="followSib" ptType="sibTrans" cnt="1">
        <dgm:layoutNode name="spacing">
          <dgm:alg type="sp"/>
          <dgm:shape xmlns:r="http://schemas.openxmlformats.org/officeDocument/2006/relationships" r:blip="">
            <dgm:adjLst/>
          </dgm:shape>
          <dgm:presOf axis="self"/>
          <dgm:constrLst/>
          <dgm:ruleLst/>
        </dgm:layoutNode>
      </dgm:forEach>
    </dgm:forEach>
  </dgm:layoutNode>
</dgm:layoutDef>
</file>

<file path=word/diagrams/layout8.xml><?xml version="1.0" encoding="utf-8"?>
<dgm:layoutDef xmlns:dgm="http://schemas.openxmlformats.org/drawingml/2006/diagram" xmlns:a="http://schemas.openxmlformats.org/drawingml/2006/main" uniqueId="urn:microsoft.com/office/officeart/2005/8/layout/pList1">
  <dgm:title val=""/>
  <dgm:desc val=""/>
  <dgm:catLst>
    <dgm:cat type="list" pri="2000"/>
    <dgm:cat type="picture" pri="2500"/>
    <dgm:cat type="pictureconvert" pri="2500"/>
  </dgm:catLst>
  <dgm:sampData>
    <dgm:dataModel>
      <dgm:ptLst>
        <dgm:pt modelId="0" type="doc"/>
        <dgm:pt modelId="1">
          <dgm:prSet phldr="1"/>
        </dgm:pt>
        <dgm:pt modelId="2">
          <dgm:prSet phldr="1"/>
        </dgm:pt>
        <dgm:pt modelId="3">
          <dgm:prSet phldr="1"/>
        </dgm:pt>
        <dgm:pt modelId="4">
          <dgm:prSet phldr="1"/>
        </dgm:pt>
      </dgm:ptLst>
      <dgm:cxnLst>
        <dgm:cxn modelId="7" srcId="0" destId="1" srcOrd="0" destOrd="0"/>
        <dgm:cxn modelId="8" srcId="0" destId="2" srcOrd="1" destOrd="0"/>
        <dgm:cxn modelId="9" srcId="0" destId="3" srcOrd="2" destOrd="0"/>
        <dgm:cxn modelId="10" srcId="0" destId="4" srcOrd="3" destOrd="0"/>
      </dgm:cxnLst>
      <dgm:bg/>
      <dgm:whole/>
    </dgm:dataModel>
  </dgm:sampData>
  <dgm:styleData>
    <dgm:dataModel>
      <dgm:ptLst>
        <dgm:pt modelId="0" type="doc"/>
        <dgm:pt modelId="1"/>
        <dgm:pt modelId="2"/>
      </dgm:ptLst>
      <dgm:cxnLst>
        <dgm:cxn modelId="3" srcId="0" destId="1" srcOrd="0" destOrd="0"/>
        <dgm:cxn modelId="4" srcId="0" destId="2" srcOrd="1" destOrd="0"/>
      </dgm:cxnLst>
      <dgm:bg/>
      <dgm:whole/>
    </dgm:dataModel>
  </dgm:styleData>
  <dgm:clrData useDef="1">
    <dgm:dataModel>
      <dgm:ptLst/>
      <dgm:bg/>
      <dgm:whole/>
    </dgm:dataModel>
  </dgm:clrData>
  <dgm:layoutNode name="Name0">
    <dgm:varLst>
      <dgm:dir/>
      <dgm:resizeHandles val="exact"/>
    </dgm:varLst>
    <dgm:choose name="Name1">
      <dgm:if name="Name2" axis="self" func="var" arg="dir" op="equ" val="norm">
        <dgm:alg type="snake">
          <dgm:param type="grDir" val="tL"/>
          <dgm:param type="flowDir" val="row"/>
          <dgm:param type="contDir" val="sameDir"/>
          <dgm:param type="off" val="ctr"/>
          <dgm:param type="vertAlign" val="mid"/>
          <dgm:param type="horzAlign" val="ctr"/>
        </dgm:alg>
      </dgm:if>
      <dgm:else name="Name3">
        <dgm:alg type="snake">
          <dgm:param type="grDir" val="tR"/>
          <dgm:param type="flowDir" val="row"/>
          <dgm:param type="contDir" val="sameDir"/>
          <dgm:param type="off" val="ctr"/>
          <dgm:param type="vertAlign" val="mid"/>
          <dgm:param type="horzAlign" val="ctr"/>
        </dgm:alg>
      </dgm:else>
    </dgm:choose>
    <dgm:shape xmlns:r="http://schemas.openxmlformats.org/officeDocument/2006/relationships" r:blip="">
      <dgm:adjLst/>
    </dgm:shape>
    <dgm:presOf/>
    <dgm:constrLst>
      <dgm:constr type="w" for="ch" forName="compNode" refType="w"/>
      <dgm:constr type="w" for="ch" ptType="sibTrans" refType="w" refFor="ch" refForName="compNode" op="equ" fact="0.1"/>
      <dgm:constr type="sp" refType="w" refFor="ch" refForName="compNode" op="equ" fact="0.1"/>
      <dgm:constr type="primFontSz" for="des" ptType="node" op="equ" val="65"/>
    </dgm:constrLst>
    <dgm:ruleLst/>
    <dgm:forEach name="Name4" axis="ch" ptType="node">
      <dgm:layoutNode name="compNode">
        <dgm:alg type="composite">
          <dgm:param type="ar" val="0.943"/>
        </dgm:alg>
        <dgm:shape xmlns:r="http://schemas.openxmlformats.org/officeDocument/2006/relationships" r:blip="">
          <dgm:adjLst/>
        </dgm:shape>
        <dgm:presOf axis="self"/>
        <dgm:constrLst>
          <dgm:constr type="h" refType="w" fact="1.06"/>
          <dgm:constr type="h" for="ch" forName="pictRect" refType="h" fact="0.65"/>
          <dgm:constr type="w" for="ch" forName="pictRect" refType="w"/>
          <dgm:constr type="l" for="ch" forName="pictRect"/>
          <dgm:constr type="t" for="ch" forName="pictRect"/>
          <dgm:constr type="w" for="ch" forName="textRect" refType="w"/>
          <dgm:constr type="h" for="ch" forName="textRect" refType="h" fact="0.35"/>
          <dgm:constr type="l" for="ch" forName="textRect"/>
          <dgm:constr type="t" for="ch" forName="textRect" refType="b" refFor="ch" refForName="pictRect"/>
        </dgm:constrLst>
        <dgm:ruleLst/>
        <dgm:layoutNode name="pictRect">
          <dgm:alg type="sp"/>
          <dgm:shape xmlns:r="http://schemas.openxmlformats.org/officeDocument/2006/relationships" type="roundRect" r:blip="" blipPhldr="1">
            <dgm:adjLst/>
          </dgm:shape>
          <dgm:presOf/>
          <dgm:constrLst/>
          <dgm:ruleLst/>
        </dgm:layoutNode>
        <dgm:layoutNode name="textRect" styleLbl="revTx">
          <dgm:varLst>
            <dgm:bulletEnabled val="1"/>
          </dgm:varLst>
          <dgm:alg type="tx">
            <dgm:param type="txAnchorVert" val="t"/>
          </dgm:alg>
          <dgm:shape xmlns:r="http://schemas.openxmlformats.org/officeDocument/2006/relationships" type="rect" r:blip="">
            <dgm:adjLst/>
          </dgm:shape>
          <dgm:presOf axis="desOrSelf" ptType="node"/>
          <dgm:constrLst>
            <dgm:constr type="bMarg"/>
          </dgm:constrLst>
          <dgm:ruleLst>
            <dgm:rule type="primFontSz" val="5" fact="NaN" max="NaN"/>
          </dgm:ruleLst>
        </dgm:layoutNode>
      </dgm:layoutNode>
      <dgm:forEach name="Name5" axis="followSib" ptType="sibTrans" cnt="1">
        <dgm:layoutNode name="sibTrans">
          <dgm:alg type="sp"/>
          <dgm:shape xmlns:r="http://schemas.openxmlformats.org/officeDocument/2006/relationships" type="rect" r:blip="" hideGeom="1">
            <dgm:adjLst/>
          </dgm:shape>
          <dgm:presOf axis="self"/>
          <dgm:constrLst/>
          <dgm:ruleLst/>
        </dgm:layoutNode>
      </dgm:forEach>
    </dgm:forEach>
  </dgm:layoutNode>
</dgm:layoutDef>
</file>

<file path=word/diagrams/layout9.xml><?xml version="1.0" encoding="utf-8"?>
<dgm:layoutDef xmlns:dgm="http://schemas.openxmlformats.org/drawingml/2006/diagram" xmlns:a="http://schemas.openxmlformats.org/drawingml/2006/main" uniqueId="urn:microsoft.com/office/officeart/2008/layout/PictureStrips">
  <dgm:title val=""/>
  <dgm:desc val=""/>
  <dgm:catLst>
    <dgm:cat type="list" pri="12500"/>
    <dgm:cat type="picture" pri="13000"/>
    <dgm:cat type="pictureconvert" pri="13000"/>
  </dgm:catLst>
  <dgm:sampData>
    <dgm:dataModel>
      <dgm:ptLst>
        <dgm:pt modelId="0" type="doc"/>
        <dgm:pt modelId="10">
          <dgm:prSet phldr="1"/>
        </dgm:pt>
        <dgm:pt modelId="20">
          <dgm:prSet phldr="1"/>
        </dgm:pt>
        <dgm:pt modelId="30">
          <dgm:prSet phldr="1"/>
        </dgm:pt>
      </dgm:ptLst>
      <dgm:cxnLst>
        <dgm:cxn modelId="40" srcId="0" destId="10" srcOrd="0" destOrd="0"/>
        <dgm:cxn modelId="50" srcId="0" destId="20" srcOrd="1" destOrd="0"/>
        <dgm:cxn modelId="60" srcId="0" destId="30" srcOrd="2" destOrd="0"/>
      </dgm:cxnLst>
      <dgm:bg/>
      <dgm:whole/>
    </dgm:dataModel>
  </dgm:sampData>
  <dgm:styleData>
    <dgm:dataModel>
      <dgm:ptLst>
        <dgm:pt modelId="0" type="doc"/>
        <dgm:pt modelId="10">
          <dgm:prSet phldr="1"/>
        </dgm:pt>
        <dgm:pt modelId="20">
          <dgm:prSet phldr="1"/>
        </dgm:pt>
      </dgm:ptLst>
      <dgm:cxnLst>
        <dgm:cxn modelId="40" srcId="0" destId="10" srcOrd="0" destOrd="0"/>
        <dgm:cxn modelId="50" srcId="0" destId="20" srcOrd="1" destOrd="0"/>
      </dgm:cxnLst>
      <dgm:bg/>
      <dgm:whole/>
    </dgm:dataModel>
  </dgm:styleData>
  <dgm:clrData>
    <dgm:dataModel>
      <dgm:ptLst>
        <dgm:pt modelId="0" type="doc"/>
        <dgm:pt modelId="10">
          <dgm:prSet phldr="1"/>
        </dgm:pt>
        <dgm:pt modelId="20">
          <dgm:prSet phldr="1"/>
        </dgm:pt>
        <dgm:pt modelId="30">
          <dgm:prSet phldr="1"/>
        </dgm:pt>
        <dgm:pt modelId="40">
          <dgm:prSet phldr="1"/>
        </dgm:pt>
      </dgm:ptLst>
      <dgm:cxnLst>
        <dgm:cxn modelId="40" srcId="0" destId="10" srcOrd="0" destOrd="0"/>
        <dgm:cxn modelId="50" srcId="0" destId="20" srcOrd="1" destOrd="0"/>
        <dgm:cxn modelId="60" srcId="0" destId="30" srcOrd="2" destOrd="0"/>
        <dgm:cxn modelId="70" srcId="0" destId="40" srcOrd="2" destOrd="0"/>
      </dgm:cxnLst>
      <dgm:bg/>
      <dgm:whole/>
    </dgm:dataModel>
  </dgm:clrData>
  <dgm:layoutNode name="Name0">
    <dgm:varLst>
      <dgm:dir/>
      <dgm:resizeHandles val="exact"/>
    </dgm:varLst>
    <dgm:choose name="Name1">
      <dgm:if name="Name2" func="var" arg="dir" op="equ" val="norm">
        <dgm:alg type="snake">
          <dgm:param type="off" val="ctr"/>
        </dgm:alg>
      </dgm:if>
      <dgm:else name="Name3">
        <dgm:alg type="snake">
          <dgm:param type="off" val="ctr"/>
          <dgm:param type="grDir" val="tR"/>
        </dgm:alg>
      </dgm:else>
    </dgm:choose>
    <dgm:shape xmlns:r="http://schemas.openxmlformats.org/officeDocument/2006/relationships" r:blip="">
      <dgm:adjLst/>
    </dgm:shape>
    <dgm:constrLst>
      <dgm:constr type="primFontSz" for="des" ptType="node" op="equ" val="65"/>
      <dgm:constr type="w" for="ch" forName="composite" refType="w"/>
      <dgm:constr type="h" for="ch" forName="composite" refType="h"/>
      <dgm:constr type="sp" refType="h" refFor="ch" refForName="composite" op="equ" fact="0.1"/>
      <dgm:constr type="h" for="ch" forName="sibTrans" refType="h" refFor="ch" refForName="composite" op="equ" fact="0.1"/>
      <dgm:constr type="w" for="ch" forName="sibTrans" refType="h" refFor="ch" refForName="sibTrans" op="equ"/>
    </dgm:constrLst>
    <dgm:forEach name="nodesForEach" axis="ch" ptType="node">
      <dgm:layoutNode name="composite">
        <dgm:alg type="composite">
          <dgm:param type="ar" val="3"/>
        </dgm:alg>
        <dgm:shape xmlns:r="http://schemas.openxmlformats.org/officeDocument/2006/relationships" r:blip="">
          <dgm:adjLst/>
        </dgm:shape>
        <dgm:choose name="Name4">
          <dgm:if name="Name5" func="var" arg="dir" op="equ" val="norm">
            <dgm:constrLst>
              <dgm:constr type="l" for="ch" forName="rect1" refType="w" fact="0.04"/>
              <dgm:constr type="t" for="ch" forName="rect1" refType="h" fact="0.13"/>
              <dgm:constr type="w" for="ch" forName="rect1" refType="w" fact="0.96"/>
              <dgm:constr type="h" for="ch" forName="rect1" refType="h" fact="0.9"/>
              <dgm:constr type="l" for="ch" forName="rect2" refType="w" fact="0"/>
              <dgm:constr type="t" for="ch" forName="rect2" refType="h" fact="0"/>
              <dgm:constr type="w" for="ch" forName="rect2" refType="w" fact="0.21"/>
              <dgm:constr type="h" for="ch" forName="rect2" refType="w" fact="0.315"/>
            </dgm:constrLst>
          </dgm:if>
          <dgm:else name="Name6">
            <dgm:constrLst>
              <dgm:constr type="l" for="ch" forName="rect1" refType="w" fact="0"/>
              <dgm:constr type="t" for="ch" forName="rect1" refType="h" fact="0.13"/>
              <dgm:constr type="w" for="ch" forName="rect1" refType="w" fact="0.96"/>
              <dgm:constr type="h" for="ch" forName="rect1" refType="h" fact="0.9"/>
              <dgm:constr type="l" for="ch" forName="rect2" refType="w" fact="0.79"/>
              <dgm:constr type="t" for="ch" forName="rect2" refType="h" fact="0"/>
              <dgm:constr type="w" for="ch" forName="rect2" refType="w" fact="0.21"/>
              <dgm:constr type="h" for="ch" forName="rect2" refType="w" fact="0.315"/>
            </dgm:constrLst>
          </dgm:else>
        </dgm:choose>
        <dgm:layoutNode name="rect1" styleLbl="trAlignAcc1">
          <dgm:varLst>
            <dgm:bulletEnabled val="1"/>
          </dgm:varLst>
          <dgm:alg type="tx">
            <dgm:param type="parTxLTRAlign" val="l"/>
          </dgm:alg>
          <dgm:shape xmlns:r="http://schemas.openxmlformats.org/officeDocument/2006/relationships" type="rect" r:blip="">
            <dgm:adjLst/>
          </dgm:shape>
          <dgm:presOf axis="desOrSelf" ptType="node"/>
          <dgm:choose name="Name7">
            <dgm:if name="Name8" func="var" arg="dir" op="equ" val="norm">
              <dgm:constrLst>
                <dgm:constr type="lMarg" refType="w" fact="0.6"/>
                <dgm:constr type="rMarg" refType="primFontSz" fact="0.3"/>
                <dgm:constr type="tMarg" refType="primFontSz" fact="0.3"/>
                <dgm:constr type="bMarg" refType="primFontSz" fact="0.3"/>
              </dgm:constrLst>
            </dgm:if>
            <dgm:else name="Name9">
              <dgm:constrLst>
                <dgm:constr type="lMarg" refType="primFontSz" fact="0.3"/>
                <dgm:constr type="rMarg" refType="w" fact="0.6"/>
                <dgm:constr type="tMarg" refType="primFontSz" fact="0.3"/>
                <dgm:constr type="bMarg" refType="primFontSz" fact="0.3"/>
              </dgm:constrLst>
            </dgm:else>
          </dgm:choose>
          <dgm:ruleLst>
            <dgm:rule type="primFontSz" val="5" fact="NaN" max="NaN"/>
          </dgm:ruleLst>
        </dgm:layoutNode>
        <dgm:layoutNode name="rect2" styleLbl="fgImgPlace1">
          <dgm:alg type="sp"/>
          <dgm:shape xmlns:r="http://schemas.openxmlformats.org/officeDocument/2006/relationships" type="rect" r:blip="" blipPhldr="1">
            <dgm:adjLst/>
          </dgm:shape>
          <dgm:presOf/>
        </dgm:layoutNode>
      </dgm:layoutNode>
      <dgm:forEach name="sibTransForEach" axis="followSib" ptType="sibTrans" cnt="1">
        <dgm:layoutNode name="sibTrans">
          <dgm:alg type="sp"/>
          <dgm:shape xmlns:r="http://schemas.openxmlformats.org/officeDocument/2006/relationships" r:blip="">
            <dgm:adjLst/>
          </dgm:shape>
        </dgm:layoutNode>
      </dgm:forEach>
    </dgm:forEach>
  </dgm:layoutNode>
</dgm:layoutDef>
</file>

<file path=word/diagrams/quickStyle1.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diagrams/quickStyle2.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diagrams/quickStyle3.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diagrams/quickStyle4.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diagrams/quickStyle5.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diagrams/quickStyle6.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diagrams/quickStyle7.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diagrams/quickStyle8.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diagrams/quickStyle9.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o" ma:contentTypeID="0x0101006A81D6BD42E8DF4C91013959704817E1" ma:contentTypeVersion="15" ma:contentTypeDescription="Crear nuevo documento." ma:contentTypeScope="" ma:versionID="bf4f72ffd194f0963ff564daca6869f7">
  <xsd:schema xmlns:xsd="http://www.w3.org/2001/XMLSchema" xmlns:xs="http://www.w3.org/2001/XMLSchema" xmlns:p="http://schemas.microsoft.com/office/2006/metadata/properties" xmlns:ns2="13c90a0b-73bc-4dc0-be5f-28d77b615beb" xmlns:ns3="13c93bba-48ce-428c-bfe5-88b42c19b028" targetNamespace="http://schemas.microsoft.com/office/2006/metadata/properties" ma:root="true" ma:fieldsID="8718d6f4873a5b1392a45044efa78385" ns2:_="" ns3:_="">
    <xsd:import namespace="13c90a0b-73bc-4dc0-be5f-28d77b615beb"/>
    <xsd:import namespace="13c93bba-48ce-428c-bfe5-88b42c19b028"/>
    <xsd:element name="properties">
      <xsd:complexType>
        <xsd:sequence>
          <xsd:element name="documentManagement">
            <xsd:complexType>
              <xsd:all>
                <xsd:element ref="ns2:SharedWithUsers" minOccurs="0"/>
                <xsd:element ref="ns2:SharedWithDetails" minOccurs="0"/>
                <xsd:element ref="ns3:MediaServiceMetadata" minOccurs="0"/>
                <xsd:element ref="ns3:MediaServiceFastMetadata" minOccurs="0"/>
                <xsd:element ref="ns3:MediaServiceSearchProperties" minOccurs="0"/>
                <xsd:element ref="ns3:MediaServiceObjectDetectorVersions" minOccurs="0"/>
                <xsd:element ref="ns3:MediaServiceDateTaken" minOccurs="0"/>
                <xsd:element ref="ns3:MediaServiceGenerationTime" minOccurs="0"/>
                <xsd:element ref="ns3:MediaServiceEventHashCode" minOccurs="0"/>
                <xsd:element ref="ns3:MediaLengthInSeconds" minOccurs="0"/>
                <xsd:element ref="ns3:lcf76f155ced4ddcb4097134ff3c332f" minOccurs="0"/>
                <xsd:element ref="ns2:TaxCatchAll" minOccurs="0"/>
                <xsd:element ref="ns3:MediaServiceOCR" minOccurs="0"/>
                <xsd:element ref="ns3: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3c90a0b-73bc-4dc0-be5f-28d77b615beb" elementFormDefault="qualified">
    <xsd:import namespace="http://schemas.microsoft.com/office/2006/documentManagement/types"/>
    <xsd:import namespace="http://schemas.microsoft.com/office/infopath/2007/PartnerControls"/>
    <xsd:element name="SharedWithUsers" ma:index="8" nillable="true" ma:displayName="Compartido c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Detalles de uso compartido" ma:internalName="SharedWithDetails" ma:readOnly="true">
      <xsd:simpleType>
        <xsd:restriction base="dms:Note">
          <xsd:maxLength value="255"/>
        </xsd:restriction>
      </xsd:simpleType>
    </xsd:element>
    <xsd:element name="TaxCatchAll" ma:index="20" nillable="true" ma:displayName="Taxonomy Catch All Column" ma:hidden="true" ma:list="{a42ca037-5d13-4729-aeec-4237f141d2d6}" ma:internalName="TaxCatchAll" ma:showField="CatchAllData" ma:web="13c90a0b-73bc-4dc0-be5f-28d77b615beb">
      <xsd:complexType>
        <xsd:complexContent>
          <xsd:extension base="dms:MultiChoiceLookup">
            <xsd:sequence>
              <xsd:element name="Value" type="dms:Lookup" maxOccurs="unbounded" minOccurs="0" nillable="true"/>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13c93bba-48ce-428c-bfe5-88b42c19b028" elementFormDefault="qualified">
    <xsd:import namespace="http://schemas.microsoft.com/office/2006/documentManagement/types"/>
    <xsd:import namespace="http://schemas.microsoft.com/office/infopath/2007/PartnerControls"/>
    <xsd:element name="MediaServiceMetadata" ma:index="10" nillable="true" ma:displayName="MediaServiceMetadata" ma:hidden="true" ma:internalName="MediaServiceMetadata" ma:readOnly="true">
      <xsd:simpleType>
        <xsd:restriction base="dms:Note"/>
      </xsd:simpleType>
    </xsd:element>
    <xsd:element name="MediaServiceFastMetadata" ma:index="11" nillable="true" ma:displayName="MediaServiceFastMetadata" ma:hidden="true" ma:internalName="MediaServiceFastMetadata" ma:readOnly="true">
      <xsd:simpleType>
        <xsd:restriction base="dms:Note"/>
      </xsd:simpleType>
    </xsd:element>
    <xsd:element name="MediaServiceSearchProperties" ma:index="12" nillable="true" ma:displayName="MediaServiceSearchProperties" ma:hidden="true" ma:internalName="MediaServiceSearchProperties" ma:readOnly="true">
      <xsd:simpleType>
        <xsd:restriction base="dms:Note"/>
      </xsd:simpleType>
    </xsd:element>
    <xsd:element name="MediaServiceObjectDetectorVersions" ma:index="13" nillable="true" ma:displayName="MediaServiceObjectDetectorVersions" ma:hidden="true" ma:indexed="true" ma:internalName="MediaServiceObjectDetectorVersions" ma:readOnly="true">
      <xsd:simpleType>
        <xsd:restriction base="dms:Text"/>
      </xsd:simpleType>
    </xsd:element>
    <xsd:element name="MediaServiceDateTaken" ma:index="14" nillable="true" ma:displayName="MediaServiceDateTaken" ma:hidden="true" ma:indexed="true" ma:internalName="MediaServiceDateTaken" ma:readOnly="true">
      <xsd:simpleType>
        <xsd:restriction base="dms:Text"/>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LengthInSeconds" ma:index="17" nillable="true" ma:displayName="MediaLengthInSeconds" ma:hidden="true" ma:internalName="MediaLengthInSeconds" ma:readOnly="true">
      <xsd:simpleType>
        <xsd:restriction base="dms:Unknown"/>
      </xsd:simpleType>
    </xsd:element>
    <xsd:element name="lcf76f155ced4ddcb4097134ff3c332f" ma:index="19" nillable="true" ma:taxonomy="true" ma:internalName="lcf76f155ced4ddcb4097134ff3c332f" ma:taxonomyFieldName="MediaServiceImageTags" ma:displayName="Etiquetas de imagen" ma:readOnly="false" ma:fieldId="{5cf76f15-5ced-4ddc-b409-7134ff3c332f}" ma:taxonomyMulti="true" ma:sspId="d33c8c81-5745-4931-bcc4-c2aeafe86780" ma:termSetId="09814cd3-568e-fe90-9814-8d621ff8fb84" ma:anchorId="fba54fb3-c3e1-fe81-a776-ca4b69148c4d" ma:open="true" ma:isKeyword="false">
      <xsd:complexType>
        <xsd:sequence>
          <xsd:element ref="pc:Terms" minOccurs="0" maxOccurs="1"/>
        </xsd:sequence>
      </xsd:complexType>
    </xsd:element>
    <xsd:element name="MediaServiceOCR" ma:index="21" nillable="true" ma:displayName="Extracted Text" ma:internalName="MediaServiceOCR" ma:readOnly="true">
      <xsd:simpleType>
        <xsd:restriction base="dms:Note">
          <xsd:maxLength value="255"/>
        </xsd:restriction>
      </xsd:simpleType>
    </xsd:element>
    <xsd:element name="MediaServiceLocation" ma:index="22" nillable="true" ma:displayName="Location" ma:description="" ma:indexed="true" ma:internalName="MediaServiceLocation"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p:properties xmlns:p="http://schemas.microsoft.com/office/2006/metadata/properties" xmlns:xsi="http://www.w3.org/2001/XMLSchema-instance" xmlns:pc="http://schemas.microsoft.com/office/infopath/2007/PartnerControls">
  <documentManagement>
    <TaxCatchAll xmlns="13c90a0b-73bc-4dc0-be5f-28d77b615beb" xsi:nil="true"/>
    <lcf76f155ced4ddcb4097134ff3c332f xmlns="13c93bba-48ce-428c-bfe5-88b42c19b028">
      <Terms xmlns="http://schemas.microsoft.com/office/infopath/2007/PartnerControls"/>
    </lcf76f155ced4ddcb4097134ff3c332f>
  </documentManagement>
</p:properties>
</file>

<file path=customXml/item5.xml><?xml version="1.0" encoding="utf-8"?>
<go:gDocsCustomXmlDataStorage xmlns:go="http://customooxmlschemas.google.com/" xmlns:r="http://schemas.openxmlformats.org/officeDocument/2006/relationships">
  <go:docsCustomData xmlns:go="http://customooxmlschemas.google.com/" roundtripDataSignature="AMtx7mh3w1sXrKwdjzYCxjbwPkf7wsIk5w==">AMUW2mWhRc/xLonLdtoI8dz4BVu2GREgE7++Eme5Ko+W5/2G+QfXPKxV7NwLPPaJ77IM2LrlHDguxVZnDKcg4iQIvJIe+zJ9DBWjUaWFI+z0k4HbdiCFsJo=</go:docsCustomData>
</go:gDocsCustomXmlDataStorage>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83102ECF-E44F-4F73-A78F-FE313D1BFB9A}">
  <ds:schemaRefs>
    <ds:schemaRef ds:uri="http://schemas.microsoft.com/sharepoint/v3/contenttype/forms"/>
  </ds:schemaRefs>
</ds:datastoreItem>
</file>

<file path=customXml/itemProps3.xml><?xml version="1.0" encoding="utf-8"?>
<ds:datastoreItem xmlns:ds="http://schemas.openxmlformats.org/officeDocument/2006/customXml" ds:itemID="{B3B09B3F-2B44-4AEB-9C68-4A1BD6AD20DB}"/>
</file>

<file path=customXml/itemProps4.xml><?xml version="1.0" encoding="utf-8"?>
<ds:datastoreItem xmlns:ds="http://schemas.openxmlformats.org/officeDocument/2006/customXml" ds:itemID="{9D9B1A75-0210-4935-8179-95DF20A26AD1}">
  <ds:schemaRefs>
    <ds:schemaRef ds:uri="http://schemas.microsoft.com/office/2006/metadata/properties"/>
    <ds:schemaRef ds:uri="http://schemas.microsoft.com/office/infopath/2007/PartnerControls"/>
    <ds:schemaRef ds:uri="13c90a0b-73bc-4dc0-be5f-28d77b615beb"/>
    <ds:schemaRef ds:uri="13c93bba-48ce-428c-bfe5-88b42c19b028"/>
  </ds:schemaRefs>
</ds:datastoreItem>
</file>

<file path=customXml/itemProps5.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3093</TotalTime>
  <Pages>28</Pages>
  <Words>9005</Words>
  <Characters>51333</Characters>
  <Application>Microsoft Office Word</Application>
  <DocSecurity>0</DocSecurity>
  <Lines>427</Lines>
  <Paragraphs>120</Paragraphs>
  <ScaleCrop>false</ScaleCrop>
  <HeadingPairs>
    <vt:vector size="2" baseType="variant">
      <vt:variant>
        <vt:lpstr>Título</vt:lpstr>
      </vt:variant>
      <vt:variant>
        <vt:i4>1</vt:i4>
      </vt:variant>
    </vt:vector>
  </HeadingPairs>
  <TitlesOfParts>
    <vt:vector size="1" baseType="lpstr">
      <vt:lpstr/>
    </vt:vector>
  </TitlesOfParts>
  <Company>InKulpado666</Company>
  <LinksUpToDate>false</LinksUpToDate>
  <CharactersWithSpaces>60218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Viviana Herrera</dc:creator>
  <cp:keywords/>
  <dc:description/>
  <cp:lastModifiedBy>Viviana Herrera</cp:lastModifiedBy>
  <cp:revision>117</cp:revision>
  <dcterms:created xsi:type="dcterms:W3CDTF">2026-02-13T00:17:00Z</dcterms:created>
  <dcterms:modified xsi:type="dcterms:W3CDTF">2026-10-01T19:33:00Z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0x0101006A81D6BD42E8DF4C91013959704817E1</vt:lpwstr>
  </property>
  <property fmtid="{D5CDD505-2E9C-101B-9397-08002B2CF9AE}" pid="3" name="MSIP_Label_1299739c-ad3d-4908-806e-4d91151a6e13_Enabled">
    <vt:lpwstr>true</vt:lpwstr>
  </property>
  <property fmtid="{D5CDD505-2E9C-101B-9397-08002B2CF9AE}" pid="4" name="MSIP_Label_1299739c-ad3d-4908-806e-4d91151a6e13_SetDate">
    <vt:lpwstr>2023-03-31T16:40:52Z</vt:lpwstr>
  </property>
  <property fmtid="{D5CDD505-2E9C-101B-9397-08002B2CF9AE}" pid="5" name="MSIP_Label_1299739c-ad3d-4908-806e-4d91151a6e13_Method">
    <vt:lpwstr>Standard</vt:lpwstr>
  </property>
  <property fmtid="{D5CDD505-2E9C-101B-9397-08002B2CF9AE}" pid="6" name="MSIP_Label_1299739c-ad3d-4908-806e-4d91151a6e13_Name">
    <vt:lpwstr>All Employees (Unrestricted)</vt:lpwstr>
  </property>
  <property fmtid="{D5CDD505-2E9C-101B-9397-08002B2CF9AE}" pid="7" name="MSIP_Label_1299739c-ad3d-4908-806e-4d91151a6e13_SiteId">
    <vt:lpwstr>cbc2c381-2f2e-4d93-91d1-506c9316ace7</vt:lpwstr>
  </property>
  <property fmtid="{D5CDD505-2E9C-101B-9397-08002B2CF9AE}" pid="8" name="MSIP_Label_1299739c-ad3d-4908-806e-4d91151a6e13_ActionId">
    <vt:lpwstr>d5f05d60-61e9-40c3-b59c-2e894f39c892</vt:lpwstr>
  </property>
  <property fmtid="{D5CDD505-2E9C-101B-9397-08002B2CF9AE}" pid="9" name="MSIP_Label_1299739c-ad3d-4908-806e-4d91151a6e13_ContentBits">
    <vt:lpwstr>0</vt:lpwstr>
  </property>
  <property fmtid="{D5CDD505-2E9C-101B-9397-08002B2CF9AE}" pid="10" name="MediaServiceImageTags">
    <vt:lpwstr/>
  </property>
  <property fmtid="{D5CDD505-2E9C-101B-9397-08002B2CF9AE}" pid="11" name="KSOProductBuildVer">
    <vt:lpwstr>2058-12.2.0.20782</vt:lpwstr>
  </property>
  <property fmtid="{D5CDD505-2E9C-101B-9397-08002B2CF9AE}" pid="12" name="ICV">
    <vt:lpwstr>97E81BC1EC1A4578AB7258B7849A5BDB_12</vt:lpwstr>
  </property>
</Properties>
</file>