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7CD54643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Default="006F219D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C0495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AD2166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77932" w:rsidRDefault="006F219D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777932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  <w:p w14:paraId="1B1DE622" w14:textId="77777777" w:rsidR="00C57B0F" w:rsidRPr="00777932" w:rsidRDefault="00C57B0F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64BF23D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  <w:shd w:val="clear" w:color="auto" w:fill="FFE599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BA5C64" w:rsidRPr="00777932"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Fundamentos y factores de continuidad del negocio</w:t>
            </w:r>
            <w:r w:rsidR="006B1407" w:rsidRPr="00777932"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3FEF5E62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5D04B07D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  <w:p w14:paraId="1EC50D8C" w14:textId="08989A63" w:rsidR="00C57B0F" w:rsidRPr="0077793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</w:tc>
      </w:tr>
      <w:tr w:rsidR="00F70AE9" w:rsidRPr="00AD2166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13C4B138" w:rsidR="00F70AE9" w:rsidRPr="00777932" w:rsidRDefault="00BA5C64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Desafío sobre continuidad del negocio</w:t>
            </w:r>
            <w:r w:rsidR="00AD2166" w:rsidRPr="0077793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AD2166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52699CD" w:rsidR="00F70AE9" w:rsidRPr="00777932" w:rsidRDefault="00BA5C64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Evaluar la comprensión de los conceptos, principios y componentes asociados a la continuidad del negocio, la gestión del riesgo y la seguridad de la información, identificando el grado de apropiación de los aprendices frente a los fundamentos, estrategias y normativas que garantizan la sostenibilidad y resiliencia organizacional ante posibles interrupciones operativas.</w:t>
            </w:r>
          </w:p>
        </w:tc>
      </w:tr>
      <w:tr w:rsidR="00F70AE9" w:rsidRPr="00AD2166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777932" w:rsidRDefault="00F70AE9" w:rsidP="00F70AE9">
            <w:pPr>
              <w:rPr>
                <w:rFonts w:ascii="Calibri" w:eastAsia="Calibri" w:hAnsi="Calibri" w:cs="Calibri"/>
                <w:color w:val="595959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000F90AB" w:rsidR="00F70AE9" w:rsidRPr="00777932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AD2166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2166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AD2166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BA5C64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2298A35" w:rsidR="00C57B0F" w:rsidRPr="00BA5C64" w:rsidRDefault="00BA5C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Los activos de información incluyen únicamente los documentos físicos y no los datos digitales.</w:t>
            </w:r>
          </w:p>
        </w:tc>
        <w:tc>
          <w:tcPr>
            <w:tcW w:w="2160" w:type="dxa"/>
          </w:tcPr>
          <w:p w14:paraId="7F132666" w14:textId="77777777" w:rsidR="00C57B0F" w:rsidRPr="00BA5C64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57B0F" w:rsidRPr="00BA5C64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BA5C64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BA5C64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57B0F" w:rsidRPr="00BA5C64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BA5C64" w:rsidRDefault="006F219D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BA5C64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E1F66D7" w:rsidR="00C57B0F" w:rsidRPr="00BA5C64" w:rsidRDefault="00BA5C6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70AE9" w:rsidRPr="00BA5C64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F70AE9" w:rsidRPr="00BA5C64" w:rsidRDefault="00F70AE9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F34EF10" w:rsidR="00F70AE9" w:rsidRPr="00BA5C64" w:rsidRDefault="00777932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8FF94C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BA30067" w:rsidR="00F436F5" w:rsidRPr="00BA5C64" w:rsidRDefault="00BA5C6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confidencialidad, integridad y disponibilidad son principios fundamentales de la seguridad de la información.</w:t>
            </w:r>
          </w:p>
        </w:tc>
      </w:tr>
      <w:tr w:rsidR="00F436F5" w:rsidRPr="00BA5C64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1CAEA303" w:rsidR="00F436F5" w:rsidRPr="00BA5C64" w:rsidRDefault="00BA5C64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52B24930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2DA141B" w:rsidR="00F436F5" w:rsidRPr="00BA5C64" w:rsidRDefault="00777932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¡Excelente trabajo! Se evidencia un buen dominio de los conceptos sobre continuidad del negocio, gestión del riesgo, seguridad de la información y resiliencia organizacional, </w:t>
            </w: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lastRenderedPageBreak/>
              <w:t>demostrando una comprensión integral de los factores que garantizan la sostenibilidad operativa en las organizaciones.</w:t>
            </w:r>
          </w:p>
        </w:tc>
      </w:tr>
      <w:tr w:rsidR="00F436F5" w:rsidRPr="00BA5C64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75CF57E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472A155" w:rsidR="00F436F5" w:rsidRPr="00BA5C64" w:rsidRDefault="00BA5C6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vulnerabilidad de un activo se refiere al grado de exposición frente a amenazas o incidentes de seguridad.</w:t>
            </w:r>
          </w:p>
        </w:tc>
      </w:tr>
      <w:tr w:rsidR="00F436F5" w:rsidRPr="00BA5C64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5BD263D4" w:rsidR="00F436F5" w:rsidRPr="00BA5C64" w:rsidRDefault="00BA5C64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83F8548" w:rsidR="00F436F5" w:rsidRPr="00BA5C64" w:rsidRDefault="00777932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39FC1F2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6A8CDC3" w:rsidR="00F436F5" w:rsidRPr="00BA5C64" w:rsidRDefault="00BA5C6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continuidad del negocio busca garantizar que la organización pueda mantener operaciones críticas ante interrupciones.</w:t>
            </w:r>
          </w:p>
        </w:tc>
      </w:tr>
      <w:tr w:rsidR="00F436F5" w:rsidRPr="00BA5C64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B5E57FF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754D8E70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436F5" w:rsidRPr="00BA5C64" w:rsidRDefault="00F436F5" w:rsidP="0077793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4EF9758" w:rsidR="00F436F5" w:rsidRPr="00BA5C64" w:rsidRDefault="00777932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CA6C40A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2ED3ACFB" w:rsidR="00F436F5" w:rsidRPr="00BA5C64" w:rsidRDefault="00BA5C6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resiliencia organizacional se enfoca únicamente en la infraestructura tecnológica.</w:t>
            </w:r>
          </w:p>
        </w:tc>
      </w:tr>
      <w:tr w:rsidR="00F436F5" w:rsidRPr="00BA5C64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6B0A7939" w:rsidR="00F436F5" w:rsidRPr="00BA5C64" w:rsidRDefault="00BA5C64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A848268" w:rsidR="00F436F5" w:rsidRPr="00BA5C64" w:rsidRDefault="00777932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60E1B65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E31FD54" w:rsidR="00F436F5" w:rsidRPr="00BA5C64" w:rsidRDefault="00BA5C6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Los procesos críticos son aquellos que pueden interrumpirse sin afectar el cumplimiento de los objetivos estratégicos.</w:t>
            </w:r>
          </w:p>
        </w:tc>
      </w:tr>
      <w:tr w:rsidR="00F436F5" w:rsidRPr="00BA5C64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297D61F5" w:rsidR="00F436F5" w:rsidRPr="00BA5C64" w:rsidRDefault="00BA5C64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41066D1" w:rsidR="00F436F5" w:rsidRPr="00BA5C64" w:rsidRDefault="00777932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2B8DC525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9512BCE" w:rsidR="00F436F5" w:rsidRPr="00BA5C64" w:rsidRDefault="00BA5C6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análisis de impacto en el negocio (BIA) permite identificar los procesos esenciales y estimar los tiempos máximos de recuperación.</w:t>
            </w:r>
          </w:p>
        </w:tc>
      </w:tr>
      <w:tr w:rsidR="00F436F5" w:rsidRPr="00BA5C64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8D9AD2A" w:rsidR="00F436F5" w:rsidRPr="00BA5C64" w:rsidRDefault="00BA5C64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C05A590" w:rsidR="00F436F5" w:rsidRPr="00BA5C64" w:rsidRDefault="00777932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¡Excelente trabajo! Se evidencia un buen dominio de los conceptos sobre continuidad del negocio, gestión del riesgo, seguridad de la información y resiliencia organizacional, </w:t>
            </w: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lastRenderedPageBreak/>
              <w:t>demostrando una comprensión integral de los factores que garantizan la sostenibilidad operativa en las organizaciones.</w:t>
            </w:r>
          </w:p>
        </w:tc>
      </w:tr>
      <w:tr w:rsidR="00F436F5" w:rsidRPr="00BA5C64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558C7280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7E43131" w:rsidR="00F436F5" w:rsidRPr="00BA5C64" w:rsidRDefault="00BA5C6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Tiempo Máximo de Recuperación (RTO) indica cuánto tarda una organización en volver a operar después de una interrupción.</w:t>
            </w:r>
          </w:p>
        </w:tc>
      </w:tr>
      <w:tr w:rsidR="00F436F5" w:rsidRPr="00BA5C64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7777777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77777777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52E9A9F" w:rsidR="00F436F5" w:rsidRPr="00BA5C64" w:rsidRDefault="00777932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53A4F0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  <w:lang w:val="es-CO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3BA7C44" w:rsidR="00F436F5" w:rsidRPr="00BA5C64" w:rsidRDefault="00BA5C6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Los proyectos de continuidad del negocio no requieren alinearse con los objetivos estratégicos de la organización.</w:t>
            </w:r>
          </w:p>
        </w:tc>
      </w:tr>
      <w:tr w:rsidR="00F436F5" w:rsidRPr="00BA5C64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23A20589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F436F5" w:rsidRPr="00BA5C64" w:rsidRDefault="00F436F5" w:rsidP="0077793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3AFAA46" w:rsidR="00F436F5" w:rsidRPr="00BA5C64" w:rsidRDefault="00777932" w:rsidP="00777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B649290" w:rsidR="00F436F5" w:rsidRPr="00BA5C64" w:rsidRDefault="009F77A1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AA2F049" w:rsidR="00F436F5" w:rsidRPr="00BA5C64" w:rsidRDefault="00BA5C6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 planificación de la continuidad del negocio reduce la improvisación y mejora la coordinación entre áreas ante emergencias.</w:t>
            </w:r>
          </w:p>
        </w:tc>
      </w:tr>
      <w:tr w:rsidR="00F436F5" w:rsidRPr="00BA5C64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45023A92" w:rsidR="00F436F5" w:rsidRPr="00BA5C64" w:rsidRDefault="00F436F5" w:rsidP="00F436F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F436F5" w:rsidRPr="00BA5C64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F436F5" w:rsidRPr="00BA5C64" w:rsidRDefault="00F436F5" w:rsidP="00F436F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F436F5" w:rsidRPr="00BA5C64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00751116" w:rsidR="00F436F5" w:rsidRPr="00BA5C64" w:rsidRDefault="00777932" w:rsidP="00777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521E454D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BA5C64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CDDD682" w:rsidR="009921BA" w:rsidRPr="00BA5C64" w:rsidRDefault="00BA5C64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gestión del riesgo en la continuidad del negocio solo considera amenazas externas.</w:t>
            </w:r>
          </w:p>
        </w:tc>
      </w:tr>
      <w:tr w:rsidR="009921BA" w:rsidRPr="00BA5C64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9921BA" w:rsidRPr="00BA5C64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9921BA" w:rsidRPr="00BA5C64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2F6128D" w:rsidR="009921BA" w:rsidRPr="00BA5C64" w:rsidRDefault="00BA5C64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BA5C64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BA5C64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6292152" w:rsidR="009921BA" w:rsidRPr="00BA5C64" w:rsidRDefault="00777932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2E91211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2325DEF" w:rsidR="00F436F5" w:rsidRPr="00BA5C64" w:rsidRDefault="00BA5C64" w:rsidP="00F436F5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evaluación de probabilidad e impacto permite priorizar los riesgos más críticos para la organización.</w:t>
            </w:r>
          </w:p>
        </w:tc>
      </w:tr>
      <w:tr w:rsidR="00F436F5" w:rsidRPr="00BA5C64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753D744" w:rsidR="00F436F5" w:rsidRPr="00BA5C64" w:rsidRDefault="00BA5C64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F436F5" w:rsidRPr="00BA5C64" w:rsidRDefault="00F436F5" w:rsidP="0077793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2ABD06A" w:rsidR="00F436F5" w:rsidRPr="00BA5C64" w:rsidRDefault="00777932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A20B222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73A3107" w:rsidR="00F436F5" w:rsidRPr="00BA5C64" w:rsidRDefault="00BD53A3" w:rsidP="00F436F5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BD53A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Las estrategias de mitigación buscan reducir tanto la probabilidad como el impacto de los riesgos identificados.</w:t>
            </w:r>
          </w:p>
        </w:tc>
      </w:tr>
      <w:tr w:rsidR="00F436F5" w:rsidRPr="00BA5C64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06D0C4C9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BAEEF93" w:rsidR="00F436F5" w:rsidRPr="00BA5C64" w:rsidRDefault="00777932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1A90B40F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F4846F6" w:rsidR="00F436F5" w:rsidRPr="00BA5C64" w:rsidRDefault="00BD53A3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D53A3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El Sistema de Gestión de Continuidad del Negocio (SGCN) se basa en el ciclo PHVA (Planear, Hacer, Verificar, Actuar).</w:t>
            </w:r>
          </w:p>
        </w:tc>
      </w:tr>
      <w:tr w:rsidR="00F436F5" w:rsidRPr="00BA5C64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6EAA2058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A21FA92" w:rsidR="00F436F5" w:rsidRPr="00BA5C64" w:rsidRDefault="00777932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6C9792D6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081E954" w:rsidR="00F436F5" w:rsidRPr="00BA5C64" w:rsidRDefault="00BD53A3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D53A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norma ISO 22301 establece los requisitos específicos para implementar un SGCN efectivo.</w:t>
            </w:r>
          </w:p>
        </w:tc>
      </w:tr>
      <w:tr w:rsidR="00F436F5" w:rsidRPr="00BA5C64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04BD147C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F201FFB" w:rsidR="00F436F5" w:rsidRPr="00BA5C64" w:rsidRDefault="00777932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6A0964D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06545C8" w:rsidR="00F436F5" w:rsidRPr="00BA5C64" w:rsidRDefault="00BD53A3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D53A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norma ISO 27001 se enfoca en la gestión de la seguridad de la información.</w:t>
            </w:r>
          </w:p>
        </w:tc>
      </w:tr>
      <w:tr w:rsidR="00F436F5" w:rsidRPr="00BA5C64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221CAD5A" w:rsidR="00F436F5" w:rsidRPr="00BA5C64" w:rsidRDefault="00BD53A3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ECFCC5A" w:rsidR="00F436F5" w:rsidRPr="00BA5C64" w:rsidRDefault="00777932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2574604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6EAC227" w:rsidR="00F436F5" w:rsidRPr="00BA5C64" w:rsidRDefault="00BD53A3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D53A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En Colombia no existe normativa relacionada con la gestión de riesgos o la continuidad del negocio.</w:t>
            </w:r>
          </w:p>
        </w:tc>
      </w:tr>
      <w:tr w:rsidR="00F436F5" w:rsidRPr="00BA5C64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20B41BC6" w:rsidR="00F436F5" w:rsidRPr="00BA5C64" w:rsidRDefault="00BD53A3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8A4A130" w:rsidR="00F436F5" w:rsidRPr="00BA5C64" w:rsidRDefault="00777932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C7E6B89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A879784" w:rsidR="00F436F5" w:rsidRPr="00BA5C64" w:rsidRDefault="00BD53A3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D53A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identificación de activos críticos es una etapa opcional dentro del SGCN.</w:t>
            </w:r>
          </w:p>
        </w:tc>
      </w:tr>
      <w:tr w:rsidR="00F436F5" w:rsidRPr="00BA5C64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67BB2E66" w:rsidR="00F436F5" w:rsidRPr="00BA5C64" w:rsidRDefault="00BD53A3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C6071A5" w:rsidR="00F436F5" w:rsidRPr="00BA5C64" w:rsidRDefault="00777932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0B7E1A9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B27A9BF" w:rsidR="00F436F5" w:rsidRPr="00BA5C64" w:rsidRDefault="00BD53A3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D53A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ejercicios prácticos de continuidad ayudan a validar los planes y mejorar la capacidad de respuesta institucional.</w:t>
            </w:r>
          </w:p>
        </w:tc>
      </w:tr>
      <w:tr w:rsidR="00F436F5" w:rsidRPr="00BA5C64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2FBF8B66" w:rsidR="00F436F5" w:rsidRPr="00BA5C64" w:rsidRDefault="00BD53A3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E937D5B" w:rsidR="00F436F5" w:rsidRPr="00BA5C64" w:rsidRDefault="00777932" w:rsidP="0077793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468D0E9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BA5C64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2EE51AC" w:rsidR="00F436F5" w:rsidRPr="00BA5C64" w:rsidRDefault="00BD53A3" w:rsidP="00F436F5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BD53A3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caracterización de necesidades de seguridad permite definir medidas de protección acordes con los riesgos y recursos disponibles.</w:t>
            </w:r>
          </w:p>
        </w:tc>
      </w:tr>
      <w:tr w:rsidR="00F436F5" w:rsidRPr="00BA5C64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0C2AC954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F436F5" w:rsidRPr="00BA5C64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F436F5" w:rsidRPr="00BA5C64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E1BB310" w:rsidR="00F436F5" w:rsidRPr="00BA5C64" w:rsidRDefault="00777932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777932">
              <w:rPr>
                <w:rFonts w:asciiTheme="majorHAnsi" w:eastAsia="Calibri" w:hAnsiTheme="majorHAnsi" w:cstheme="majorHAnsi"/>
                <w:bCs/>
                <w:sz w:val="20"/>
                <w:szCs w:val="20"/>
              </w:rPr>
              <w:t>¡Excelente trabajo! Se evidencia un buen dominio de los conceptos sobre continuidad del negocio, gestión del riesgo, seguridad de la información y resiliencia organizacional, demostrando una comprensión integral de los factores que garantizan la sostenibilidad operativa en las organizaciones.</w:t>
            </w:r>
          </w:p>
        </w:tc>
      </w:tr>
      <w:tr w:rsidR="00F436F5" w:rsidRPr="00BA5C64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BA5C64" w:rsidRDefault="00F436F5" w:rsidP="00F436F5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BA5C64" w:rsidRDefault="00F436F5" w:rsidP="00F436F5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BA5C64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BA5C64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BA5C64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 xml:space="preserve">Mensaje cuando supera el 70 % de respuestas </w:t>
            </w: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BA5C64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Ha superado la actividad y demuestra sólidos conocimientos sobre el componente formativo.</w:t>
            </w:r>
          </w:p>
        </w:tc>
      </w:tr>
      <w:tr w:rsidR="00F436F5" w:rsidRPr="00BA5C64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BA5C64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BA5C64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F3357D1" w:rsidR="00A9514B" w:rsidRDefault="00A9514B" w:rsidP="00E811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C5D822C" w:rsidR="00A9514B" w:rsidRDefault="007564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75648A">
              <w:rPr>
                <w:rFonts w:ascii="Calibri" w:eastAsia="Calibri" w:hAnsi="Calibri" w:cs="Calibri"/>
                <w:b/>
                <w:color w:val="595959"/>
              </w:rPr>
              <w:t>Armando Javier López Sierra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96E6EC4" w:rsidR="00A9514B" w:rsidRDefault="007564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Octubre</w:t>
            </w:r>
            <w:r w:rsidR="00A9514B">
              <w:rPr>
                <w:rFonts w:ascii="Calibri" w:eastAsia="Calibri" w:hAnsi="Calibri" w:cs="Calibri"/>
                <w:b/>
                <w:color w:val="595959"/>
              </w:rPr>
              <w:t xml:space="preserve"> de 202</w:t>
            </w:r>
            <w:r w:rsidR="00814E3C">
              <w:rPr>
                <w:rFonts w:ascii="Calibri" w:eastAsia="Calibri" w:hAnsi="Calibri" w:cs="Calibri"/>
                <w:b/>
                <w:color w:val="595959"/>
              </w:rPr>
              <w:t>5</w:t>
            </w: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3BBCEC3B" w:rsidR="00C0495F" w:rsidRDefault="006B1407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3CF02CD" w:rsidR="00C0495F" w:rsidRDefault="0075648A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Octubre de 2025</w:t>
            </w:r>
            <w:bookmarkStart w:id="0" w:name="_GoBack"/>
            <w:bookmarkEnd w:id="0"/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22455A" w14:textId="77777777" w:rsidR="002C72F8" w:rsidRDefault="002C72F8">
      <w:pPr>
        <w:spacing w:line="240" w:lineRule="auto"/>
      </w:pPr>
      <w:r>
        <w:separator/>
      </w:r>
    </w:p>
  </w:endnote>
  <w:endnote w:type="continuationSeparator" w:id="0">
    <w:p w14:paraId="234A5BB9" w14:textId="77777777" w:rsidR="002C72F8" w:rsidRDefault="002C72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4422AA" w14:textId="77777777" w:rsidR="002C72F8" w:rsidRDefault="002C72F8">
      <w:pPr>
        <w:spacing w:line="240" w:lineRule="auto"/>
      </w:pPr>
      <w:r>
        <w:separator/>
      </w:r>
    </w:p>
  </w:footnote>
  <w:footnote w:type="continuationSeparator" w:id="0">
    <w:p w14:paraId="43144BA8" w14:textId="77777777" w:rsidR="002C72F8" w:rsidRDefault="002C72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A00B2"/>
    <w:rsid w:val="004E274A"/>
    <w:rsid w:val="0057369A"/>
    <w:rsid w:val="0058457B"/>
    <w:rsid w:val="005861AB"/>
    <w:rsid w:val="005D6C01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D183E"/>
    <w:rsid w:val="00BD53A3"/>
    <w:rsid w:val="00BE1AF5"/>
    <w:rsid w:val="00BE7AE1"/>
    <w:rsid w:val="00C0495F"/>
    <w:rsid w:val="00C05A27"/>
    <w:rsid w:val="00C33AF7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E23F58"/>
    <w:rsid w:val="00E53E0B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0FDF3AA0-ED74-4ED9-AC1A-42592C1AEA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2089</Words>
  <Characters>11912</Characters>
  <Application>Microsoft Office Word</Application>
  <DocSecurity>0</DocSecurity>
  <Lines>99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73</cp:revision>
  <dcterms:created xsi:type="dcterms:W3CDTF">2025-03-27T19:21:00Z</dcterms:created>
  <dcterms:modified xsi:type="dcterms:W3CDTF">2025-10-15T02:06:00Z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