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932FDB" w14:textId="791B8E04" w:rsidR="00422835" w:rsidRPr="00487091" w:rsidRDefault="000E1175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E14988" w:rsidRPr="00487091">
        <w:rPr>
          <w:rFonts w:ascii="Arial" w:hAnsi="Arial" w:cs="Arial"/>
          <w:b/>
          <w:sz w:val="20"/>
          <w:szCs w:val="20"/>
          <w:lang w:val="es-ES_tradnl"/>
        </w:rPr>
        <w:t>INT</w:t>
      </w:r>
      <w:r w:rsidR="00101A68" w:rsidRPr="00487091">
        <w:rPr>
          <w:rFonts w:ascii="Arial" w:hAnsi="Arial" w:cs="Arial"/>
          <w:b/>
          <w:sz w:val="20"/>
          <w:szCs w:val="20"/>
          <w:lang w:val="es-ES_tradnl"/>
        </w:rPr>
        <w:t>RODUCCIÓN COMPONENTE FORMATIVO 1</w:t>
      </w:r>
    </w:p>
    <w:p w14:paraId="66DBF546" w14:textId="6688DDB8" w:rsidR="0095335A" w:rsidRPr="00487091" w:rsidRDefault="007B608A" w:rsidP="0001072E">
      <w:pPr>
        <w:jc w:val="both"/>
        <w:rPr>
          <w:rFonts w:ascii="Arial" w:hAnsi="Arial" w:cs="Arial"/>
          <w:b/>
          <w:sz w:val="20"/>
          <w:szCs w:val="20"/>
        </w:rPr>
      </w:pPr>
      <w:r w:rsidRPr="00487091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CE30D2" w:rsidRPr="00CE30D2">
        <w:rPr>
          <w:rFonts w:ascii="Arial" w:hAnsi="Arial" w:cs="Arial"/>
          <w:b/>
          <w:bCs/>
          <w:color w:val="000000" w:themeColor="text1"/>
          <w:sz w:val="20"/>
          <w:szCs w:val="20"/>
        </w:rPr>
        <w:t>Fundamentos y elementos clave para la gestión de continuidad del negocio</w:t>
      </w:r>
    </w:p>
    <w:p w14:paraId="5E595C68" w14:textId="77777777" w:rsidR="00CE30D2" w:rsidRPr="00CE30D2" w:rsidRDefault="00CE30D2" w:rsidP="00CE30D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E30D2">
        <w:rPr>
          <w:rFonts w:ascii="Arial" w:eastAsia="Times New Roman" w:hAnsi="Arial" w:cs="Arial"/>
          <w:sz w:val="20"/>
          <w:szCs w:val="20"/>
          <w:lang w:eastAsia="es-CO"/>
        </w:rPr>
        <w:t xml:space="preserve">En un entorno digital cada vez más vulnerable a los incidentes de </w:t>
      </w:r>
      <w:proofErr w:type="spellStart"/>
      <w:r w:rsidRPr="00CE30D2">
        <w:rPr>
          <w:rFonts w:ascii="Arial" w:eastAsia="Times New Roman" w:hAnsi="Arial" w:cs="Arial"/>
          <w:sz w:val="20"/>
          <w:szCs w:val="20"/>
          <w:lang w:eastAsia="es-CO"/>
        </w:rPr>
        <w:t>ciberseguridad</w:t>
      </w:r>
      <w:proofErr w:type="spellEnd"/>
      <w:r w:rsidRPr="00CE30D2">
        <w:rPr>
          <w:rFonts w:ascii="Arial" w:eastAsia="Times New Roman" w:hAnsi="Arial" w:cs="Arial"/>
          <w:sz w:val="20"/>
          <w:szCs w:val="20"/>
          <w:lang w:eastAsia="es-CO"/>
        </w:rPr>
        <w:t>, garantizar la protección de la información y la continuidad de las operaciones se ha convertido en una prioridad para las organizaciones modernas. Este componente formativo invita a comprender la seguridad de la información desde sus fundamentos, analizando los activos informáticos, los riesgos que los amenazan y los principios que aseguran su confidencialidad, integridad y disponibilidad.</w:t>
      </w:r>
    </w:p>
    <w:p w14:paraId="253AFBEB" w14:textId="77777777" w:rsidR="00CE30D2" w:rsidRPr="00CE30D2" w:rsidRDefault="00CE30D2" w:rsidP="00CE30D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E30D2">
        <w:rPr>
          <w:rFonts w:ascii="Arial" w:eastAsia="Times New Roman" w:hAnsi="Arial" w:cs="Arial"/>
          <w:sz w:val="20"/>
          <w:szCs w:val="20"/>
          <w:lang w:eastAsia="es-CO"/>
        </w:rPr>
        <w:t>A lo largo del aprendizaje, se abordará la importancia de la continuidad del negocio como una estrategia esencial para mantener la estabilidad operativa frente a eventos disruptivos. Los aprendices conocerán su relación directa con la resiliencia organizacional, los beneficios que aporta a las empresas y las etapas clave para gestionar adecuadamente los procesos críticos y los riesgos asociados.</w:t>
      </w:r>
    </w:p>
    <w:p w14:paraId="62DF1CB1" w14:textId="77777777" w:rsidR="00CE30D2" w:rsidRPr="00CE30D2" w:rsidRDefault="00CE30D2" w:rsidP="00CE30D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E30D2">
        <w:rPr>
          <w:rFonts w:ascii="Arial" w:eastAsia="Times New Roman" w:hAnsi="Arial" w:cs="Arial"/>
          <w:sz w:val="20"/>
          <w:szCs w:val="20"/>
          <w:lang w:eastAsia="es-CO"/>
        </w:rPr>
        <w:t>Asimismo, se explorará el funcionamiento del Sistema de Gestión de Continuidad del Negocio (SGCN), su propósito, ventajas y el marco normativo que lo regula, permitiendo comprender cómo este sistema contribuye a la preparación, respuesta y recuperación ante incidentes.</w:t>
      </w:r>
    </w:p>
    <w:p w14:paraId="245CA697" w14:textId="77777777" w:rsidR="00CE30D2" w:rsidRPr="00CE30D2" w:rsidRDefault="00CE30D2" w:rsidP="00CE30D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E30D2">
        <w:rPr>
          <w:rFonts w:ascii="Arial" w:eastAsia="Times New Roman" w:hAnsi="Arial" w:cs="Arial"/>
          <w:sz w:val="20"/>
          <w:szCs w:val="20"/>
          <w:lang w:eastAsia="es-CO"/>
        </w:rPr>
        <w:t>De esta manera, los participantes desarrollarán una visión integral y práctica que les permitirá fortalecer la capacidad de respuesta organizacional, proteger los activos de información y promover la mejora continua como base de la resiliencia cibernética en entornos empresariales dinámicos y digitales.</w:t>
      </w:r>
      <w:bookmarkStart w:id="0" w:name="_GoBack"/>
      <w:bookmarkEnd w:id="0"/>
    </w:p>
    <w:p w14:paraId="4A1B9BE0" w14:textId="77777777" w:rsidR="000026AF" w:rsidRDefault="000026AF" w:rsidP="002042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2C593512" w14:textId="376E644F" w:rsidR="0095335A" w:rsidRPr="0095335A" w:rsidRDefault="0095335A" w:rsidP="009533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95335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TOTAL PALABRAS: </w:t>
      </w:r>
      <w:r w:rsidR="00CE30D2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206</w:t>
      </w:r>
    </w:p>
    <w:p w14:paraId="5B9A3188" w14:textId="77777777" w:rsidR="0095335A" w:rsidRPr="0095335A" w:rsidRDefault="0095335A" w:rsidP="0095335A">
      <w:pPr>
        <w:jc w:val="both"/>
        <w:rPr>
          <w:rFonts w:ascii="Arial" w:hAnsi="Arial" w:cs="Arial"/>
          <w:b/>
          <w:sz w:val="20"/>
          <w:szCs w:val="20"/>
        </w:rPr>
      </w:pPr>
    </w:p>
    <w:p w14:paraId="10970E01" w14:textId="77777777" w:rsidR="00FF7EFF" w:rsidRPr="0095335A" w:rsidRDefault="00FF7EFF" w:rsidP="002F68D8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sectPr w:rsidR="00FF7EFF" w:rsidRPr="00953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2835"/>
    <w:rsid w:val="00475DC3"/>
    <w:rsid w:val="00487091"/>
    <w:rsid w:val="0055721D"/>
    <w:rsid w:val="005B5967"/>
    <w:rsid w:val="005D116B"/>
    <w:rsid w:val="006353EE"/>
    <w:rsid w:val="00666672"/>
    <w:rsid w:val="00713224"/>
    <w:rsid w:val="00716C95"/>
    <w:rsid w:val="007419FB"/>
    <w:rsid w:val="00750864"/>
    <w:rsid w:val="007767C2"/>
    <w:rsid w:val="00776ED2"/>
    <w:rsid w:val="0077777A"/>
    <w:rsid w:val="007B608A"/>
    <w:rsid w:val="00814543"/>
    <w:rsid w:val="00844D29"/>
    <w:rsid w:val="0084524D"/>
    <w:rsid w:val="00847851"/>
    <w:rsid w:val="00856931"/>
    <w:rsid w:val="00870799"/>
    <w:rsid w:val="00896F06"/>
    <w:rsid w:val="008A7140"/>
    <w:rsid w:val="00906060"/>
    <w:rsid w:val="00953207"/>
    <w:rsid w:val="0095335A"/>
    <w:rsid w:val="00987D84"/>
    <w:rsid w:val="00991D28"/>
    <w:rsid w:val="009925D4"/>
    <w:rsid w:val="009D760E"/>
    <w:rsid w:val="00A93F57"/>
    <w:rsid w:val="00AB0F5A"/>
    <w:rsid w:val="00AB68BC"/>
    <w:rsid w:val="00AC5668"/>
    <w:rsid w:val="00B37054"/>
    <w:rsid w:val="00B76F52"/>
    <w:rsid w:val="00B823BC"/>
    <w:rsid w:val="00BD5271"/>
    <w:rsid w:val="00BD7BF1"/>
    <w:rsid w:val="00C009FD"/>
    <w:rsid w:val="00C75EF4"/>
    <w:rsid w:val="00CA7AA0"/>
    <w:rsid w:val="00CB0677"/>
    <w:rsid w:val="00CE30D2"/>
    <w:rsid w:val="00D2797B"/>
    <w:rsid w:val="00D7435E"/>
    <w:rsid w:val="00D81B87"/>
    <w:rsid w:val="00DD2A4C"/>
    <w:rsid w:val="00E14988"/>
    <w:rsid w:val="00E165E1"/>
    <w:rsid w:val="00E91C80"/>
    <w:rsid w:val="00EC505C"/>
    <w:rsid w:val="00ED0679"/>
    <w:rsid w:val="00ED2886"/>
    <w:rsid w:val="00F8680C"/>
    <w:rsid w:val="00FA7096"/>
    <w:rsid w:val="00FF7EFF"/>
    <w:rsid w:val="0D07F5A2"/>
    <w:rsid w:val="1839B09C"/>
    <w:rsid w:val="18739BB1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52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CD104D-9852-4567-A00B-0575B6BEBEF8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Cuenta Microsoft</cp:lastModifiedBy>
  <cp:revision>16</cp:revision>
  <dcterms:created xsi:type="dcterms:W3CDTF">2025-06-16T19:40:00Z</dcterms:created>
  <dcterms:modified xsi:type="dcterms:W3CDTF">2025-10-08T11:11:00Z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