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7CD5464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AD216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77932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777932" w:rsidRDefault="00C57B0F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  <w:p w14:paraId="1B1DE622" w14:textId="77777777" w:rsidR="00C57B0F" w:rsidRPr="00777932" w:rsidRDefault="00C57B0F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3501CF69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E599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CB2378" w:rsidRPr="00CB2378"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Estrategias y planes de continuidad del negocio</w:t>
            </w:r>
            <w:r w:rsidR="006B1407" w:rsidRPr="00777932"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5D04B07D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1EC50D8C" w14:textId="08989A63" w:rsidR="00C57B0F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F70AE9" w:rsidRPr="00AD2166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72D4746" w:rsidR="00F70AE9" w:rsidRPr="00777932" w:rsidRDefault="00CB237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B237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Estrategias que garantizan la continuidad</w:t>
            </w:r>
            <w:r w:rsidR="00AD2166" w:rsidRPr="0077793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AD2166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E4E2053" w:rsidR="00F70AE9" w:rsidRPr="00777932" w:rsidRDefault="00CB2378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B237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Evaluar la comprensión de los conceptos, metodologías y buenas prácticas relacionadas con la formulación de estrategias de continuidad del negocio, el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análisis de impacto</w:t>
            </w:r>
            <w:r w:rsidRPr="00CB237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, los tiempos de recuperación y la elaboración del Plan de Continuidad del Negocio (PCN), fortaleciendo la capacidad de respuesta y resiliencia organizacional.</w:t>
            </w:r>
          </w:p>
        </w:tc>
      </w:tr>
      <w:tr w:rsidR="00F70AE9" w:rsidRPr="00AD216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777932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AD2166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2166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AD2166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BA5C64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138C3B25" w:rsidR="00C57B0F" w:rsidRPr="00BA5C64" w:rsidRDefault="00CB2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El objetivo principal de las estrategias de continuidad del negocio</w:t>
            </w: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,</w:t>
            </w:r>
            <w:r w:rsidRPr="00CB237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 es garantizar la operación de los procesos críticos ante incidentes o interrupciones.</w:t>
            </w:r>
          </w:p>
        </w:tc>
        <w:tc>
          <w:tcPr>
            <w:tcW w:w="2160" w:type="dxa"/>
          </w:tcPr>
          <w:p w14:paraId="7F132666" w14:textId="77777777" w:rsidR="00C57B0F" w:rsidRPr="00BA5C64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BA5C64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BA5C64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18EB3CE7" w:rsidR="00C57B0F" w:rsidRPr="00BA5C64" w:rsidRDefault="00CB23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BA5C64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BA5C64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34220A20" w:rsidR="00C57B0F" w:rsidRPr="00BA5C64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BA5C64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BA5C64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076898E" w:rsidR="00F70AE9" w:rsidRPr="00BA5C64" w:rsidRDefault="00B50238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8FF94C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AE8F049" w:rsidR="00F436F5" w:rsidRPr="00BA5C64" w:rsidRDefault="00CB237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Las estrategias de mitigación buscan evitar completamente que ocurran eventos adversos.</w:t>
            </w:r>
          </w:p>
        </w:tc>
      </w:tr>
      <w:tr w:rsidR="00F436F5" w:rsidRPr="00BA5C64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4343414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21BEB504" w:rsidR="00F436F5" w:rsidRPr="00BA5C64" w:rsidRDefault="00CB2378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F35E54A" w:rsidR="00F436F5" w:rsidRPr="00BA5C64" w:rsidRDefault="00B50238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75CF57E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F376F84" w:rsidR="00F436F5" w:rsidRPr="00BA5C64" w:rsidRDefault="00CB237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Análisis de Impacto al Negocio (BIA) permite identificar los procesos críticos y priorizar los recursos para su recuperación.</w:t>
            </w:r>
          </w:p>
        </w:tc>
      </w:tr>
      <w:tr w:rsidR="00F436F5" w:rsidRPr="00BA5C64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5BD263D4" w:rsidR="00F436F5" w:rsidRPr="00BA5C64" w:rsidRDefault="00BA5C64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4AE216A" w:rsidR="00F436F5" w:rsidRPr="00BA5C64" w:rsidRDefault="00B50238" w:rsidP="00B50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39FC1F2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CC5930E" w:rsidR="00F436F5" w:rsidRPr="00BA5C64" w:rsidRDefault="00CB237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RTO se refiere al tiempo máximo aceptable que puede estar inactivo un proceso antes de afectar gravemente la operación.</w:t>
            </w:r>
          </w:p>
        </w:tc>
      </w:tr>
      <w:tr w:rsidR="00F436F5" w:rsidRPr="00BA5C64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B5E57FF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BA5C64" w:rsidRDefault="00F436F5" w:rsidP="0077793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458E782" w:rsidR="00F436F5" w:rsidRPr="00BA5C64" w:rsidRDefault="00B50238" w:rsidP="00B50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CA6C40A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0C74D57" w:rsidR="00F436F5" w:rsidRPr="00BA5C64" w:rsidRDefault="00CB237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RPO define el tiempo máximo permitido para recuperar la infraestructura física después de un desastre.</w:t>
            </w:r>
          </w:p>
        </w:tc>
      </w:tr>
      <w:tr w:rsidR="00F436F5" w:rsidRPr="00BA5C64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6B0A7939" w:rsidR="00F436F5" w:rsidRPr="00BA5C64" w:rsidRDefault="00BA5C64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BA5C64" w:rsidRDefault="00F436F5" w:rsidP="00B50238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899F08F" w:rsidR="00F436F5" w:rsidRPr="00BA5C64" w:rsidRDefault="00B50238" w:rsidP="00B50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60E1B65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D7AFFBE" w:rsidR="00F436F5" w:rsidRPr="00BA5C64" w:rsidRDefault="00CB237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planes de continuidad, contingencia y recuperación tienen el mismo propósito y estructura.</w:t>
            </w:r>
          </w:p>
        </w:tc>
      </w:tr>
      <w:tr w:rsidR="00F436F5" w:rsidRPr="00BA5C64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297D61F5" w:rsidR="00F436F5" w:rsidRPr="00BA5C64" w:rsidRDefault="00BA5C64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CBBDDAD" w:rsidR="00F436F5" w:rsidRPr="00BA5C64" w:rsidRDefault="00B50238" w:rsidP="00B50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B8DC525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4C57B43" w:rsidR="00F436F5" w:rsidRPr="00BA5C64" w:rsidRDefault="00CB237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validación de estrategias consiste en probar su efectividad mediante ejercicios o simulaciones controladas.</w:t>
            </w:r>
          </w:p>
        </w:tc>
      </w:tr>
      <w:tr w:rsidR="00F436F5" w:rsidRPr="00BA5C64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8D9AD2A" w:rsidR="00F436F5" w:rsidRPr="00BA5C64" w:rsidRDefault="00BA5C64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1309166" w:rsidR="00F436F5" w:rsidRPr="00BA5C64" w:rsidRDefault="00B50238" w:rsidP="00B50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58C7280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0386645" w:rsidR="00F436F5" w:rsidRPr="00BA5C64" w:rsidRDefault="00CB237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Plan de Continuidad del Negocio (PCN) debe actualizarse solo cuando ocurre una interrupción significativa.</w:t>
            </w:r>
          </w:p>
        </w:tc>
      </w:tr>
      <w:tr w:rsidR="00F436F5" w:rsidRPr="00BA5C64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6A751CEE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29E3BEEA" w:rsidR="00F436F5" w:rsidRPr="00BA5C64" w:rsidRDefault="00CB2378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8472C66" w:rsidR="00F436F5" w:rsidRPr="00BA5C64" w:rsidRDefault="00B50238" w:rsidP="00B50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3A4F0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  <w:lang w:val="es-CO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2B97197" w:rsidR="00F436F5" w:rsidRPr="00BA5C64" w:rsidRDefault="00CB237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gestión del riesgo es una parte fundamental para la formulación de estrategias de continuidad.</w:t>
            </w:r>
          </w:p>
        </w:tc>
      </w:tr>
      <w:tr w:rsidR="00F436F5" w:rsidRPr="00BA5C64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6B28E81E" w:rsidR="00F436F5" w:rsidRPr="00BA5C64" w:rsidRDefault="00CB2378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3239B6DC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F436F5" w:rsidRPr="00BA5C64" w:rsidRDefault="00F436F5" w:rsidP="0077793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DA36D0" w:rsidR="00F436F5" w:rsidRPr="00BA5C64" w:rsidRDefault="00B50238" w:rsidP="00B50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B649290" w:rsidR="00F436F5" w:rsidRPr="00BA5C64" w:rsidRDefault="009F77A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1513C37" w:rsidR="00F436F5" w:rsidRPr="00BA5C64" w:rsidRDefault="00CB237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El BIA es un proceso estático que no requiere revisión constante.</w:t>
            </w:r>
          </w:p>
        </w:tc>
      </w:tr>
      <w:tr w:rsidR="00F436F5" w:rsidRPr="00BA5C64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765B732A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2D5E0EA4" w:rsidR="00F436F5" w:rsidRPr="00BA5C64" w:rsidRDefault="00CB2378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7EF7784" w:rsidR="00F436F5" w:rsidRPr="00BA5C64" w:rsidRDefault="00B50238" w:rsidP="00B50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521E454D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BA5C64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4CBAC0B" w:rsidR="009921BA" w:rsidRPr="00BA5C64" w:rsidRDefault="00CB2378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Las estrategias de transferencia del riesgo consisten en compartirlo con terceros, por ejemplo, a través de seguros.</w:t>
            </w:r>
          </w:p>
        </w:tc>
      </w:tr>
      <w:tr w:rsidR="009921BA" w:rsidRPr="00BA5C64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76C95124" w:rsidR="009921BA" w:rsidRPr="00BA5C64" w:rsidRDefault="00CB2378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BA5C64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0232ED61" w:rsidR="009921BA" w:rsidRPr="00BA5C64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BA5C64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377C8FD" w:rsidR="009921BA" w:rsidRPr="00BA5C64" w:rsidRDefault="00B50238" w:rsidP="00B50238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2E91211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FA7C6A5" w:rsidR="00F436F5" w:rsidRPr="00BA5C64" w:rsidRDefault="00CB2378" w:rsidP="00F436F5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resiliencia organizacional se refiere a la capacidad de prevenir incidentes antes de que ocurran.</w:t>
            </w:r>
          </w:p>
        </w:tc>
      </w:tr>
      <w:tr w:rsidR="00F436F5" w:rsidRPr="00BA5C64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2BD0FB3F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B4367BF" w:rsidR="00F436F5" w:rsidRPr="00BA5C64" w:rsidRDefault="00CB2378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F436F5" w:rsidRPr="00BA5C64" w:rsidRDefault="00F436F5" w:rsidP="0077793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A39B4C6" w:rsidR="00F436F5" w:rsidRPr="00BA5C64" w:rsidRDefault="00B50238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A20B222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F0BEC49" w:rsidR="00F436F5" w:rsidRPr="00BA5C64" w:rsidRDefault="00CB2378" w:rsidP="00F436F5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Un PCN efectivo define responsables, recursos, procedimientos y tiempos de respuesta ante incidentes.</w:t>
            </w:r>
          </w:p>
        </w:tc>
      </w:tr>
      <w:tr w:rsidR="00F436F5" w:rsidRPr="00BA5C64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06D0C4C9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FB96DF0" w:rsidR="00F436F5" w:rsidRPr="00BA5C64" w:rsidRDefault="00B50238" w:rsidP="00B50238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1A90B40F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D51DCD7" w:rsidR="00F436F5" w:rsidRPr="00BA5C64" w:rsidRDefault="00CB2378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Las simulaciones de continuidad permiten medir la capacidad real de respuesta de la organización.</w:t>
            </w:r>
          </w:p>
        </w:tc>
      </w:tr>
      <w:tr w:rsidR="00F436F5" w:rsidRPr="00BA5C64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6EAA2058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57324B5" w:rsidR="00F436F5" w:rsidRPr="00BA5C64" w:rsidRDefault="00B50238" w:rsidP="00B50238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C9792D6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900DFF1" w:rsidR="00F436F5" w:rsidRPr="00BA5C64" w:rsidRDefault="00CB2378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alta dirección no tiene un papel relevante en la implementación del PCN.</w:t>
            </w:r>
          </w:p>
        </w:tc>
      </w:tr>
      <w:tr w:rsidR="00F436F5" w:rsidRPr="00BA5C64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3C53ECCA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7AAFC617" w:rsidR="00F436F5" w:rsidRPr="00BA5C64" w:rsidRDefault="00CB2378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C8ED733" w:rsidR="00F436F5" w:rsidRPr="00BA5C64" w:rsidRDefault="00B50238" w:rsidP="00B50238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6A0964D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739F972" w:rsidR="00F436F5" w:rsidRPr="00BA5C64" w:rsidRDefault="00CB2378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capacitación del personal forma parte de las acciones preventivas dentro de las estrategias de continuidad.</w:t>
            </w:r>
          </w:p>
        </w:tc>
      </w:tr>
      <w:tr w:rsidR="00F436F5" w:rsidRPr="00BA5C64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221CAD5A" w:rsidR="00F436F5" w:rsidRPr="00BA5C64" w:rsidRDefault="00BD53A3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284D2B7" w:rsidR="00F436F5" w:rsidRPr="00BA5C64" w:rsidRDefault="00B50238" w:rsidP="00B50238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2574604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32CE2CE" w:rsidR="00F436F5" w:rsidRPr="00BA5C64" w:rsidRDefault="00CB2378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Un RTO más corto implica una recuperación más rápida, pero también mayores costos de implementación.</w:t>
            </w:r>
          </w:p>
        </w:tc>
      </w:tr>
      <w:tr w:rsidR="00F436F5" w:rsidRPr="00BA5C64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39CAEB09" w:rsidR="00F436F5" w:rsidRPr="00BA5C64" w:rsidRDefault="00CB2378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671F60A1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C9757F1" w:rsidR="00F436F5" w:rsidRPr="00BA5C64" w:rsidRDefault="00B50238" w:rsidP="00B50238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C7E6B89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8DFEDB5" w:rsidR="00F436F5" w:rsidRPr="00BA5C64" w:rsidRDefault="00CB2378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Las estrategias de sustitución temporal son útiles cuando no se dispone de los recursos habituales para operar.</w:t>
            </w:r>
          </w:p>
        </w:tc>
      </w:tr>
      <w:tr w:rsidR="00F436F5" w:rsidRPr="00BA5C64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4FB46B10" w:rsidR="00F436F5" w:rsidRPr="00BA5C64" w:rsidRDefault="00CB2378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65C4F33D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35BE16A" w:rsidR="00F436F5" w:rsidRPr="00BA5C64" w:rsidRDefault="00B50238" w:rsidP="00B50238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0B7E1A9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07E5C72" w:rsidR="00F436F5" w:rsidRPr="00BA5C64" w:rsidRDefault="00CB2378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cumplimiento normativo no influye en el diseño de estrategias de continuidad del negocio.</w:t>
            </w:r>
          </w:p>
        </w:tc>
      </w:tr>
      <w:tr w:rsidR="00F436F5" w:rsidRPr="00BA5C64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520C5DEA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3F7BADB4" w:rsidR="00F436F5" w:rsidRPr="00BA5C64" w:rsidRDefault="00CB2378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8734423" w:rsidR="00F436F5" w:rsidRPr="00BA5C64" w:rsidRDefault="00B50238" w:rsidP="00B50238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5023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468D0E9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1F97EA7" w:rsidR="00F436F5" w:rsidRPr="00BA5C64" w:rsidRDefault="00CB2378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B23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mejora continua es un principio fundamental del Sistema de Gestión de Continuidad del Negocio.</w:t>
            </w:r>
          </w:p>
        </w:tc>
      </w:tr>
      <w:tr w:rsidR="00F436F5" w:rsidRPr="00BA5C64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0C2AC954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90CFB7F" w:rsidR="00F436F5" w:rsidRPr="00BA5C64" w:rsidRDefault="00B50238" w:rsidP="00B50238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bookmarkStart w:id="0" w:name="_GoBack"/>
            <w:bookmarkEnd w:id="0"/>
            <w:r w:rsidRPr="00B5023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una sólida comprensión de las estrategias de continuidad del negocio, el análisis de impacto y la gestión de recuperación, reflejando dominio en la aplicación de buenas prácticas para fortalecer la resiliencia organizacional.</w:t>
            </w:r>
          </w:p>
        </w:tc>
      </w:tr>
      <w:tr w:rsidR="00F436F5" w:rsidRPr="00BA5C64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BA5C64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BA5C64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BA5C64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BA5C64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F3357D1" w:rsidR="00A9514B" w:rsidRDefault="00A9514B" w:rsidP="00E811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C5D822C" w:rsidR="00A9514B" w:rsidRDefault="0075648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5648A">
              <w:rPr>
                <w:rFonts w:ascii="Calibri" w:eastAsia="Calibri" w:hAnsi="Calibri" w:cs="Calibri"/>
                <w:b/>
                <w:color w:val="595959"/>
              </w:rPr>
              <w:t>Armando Javier López Sierra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96E6EC4" w:rsidR="00A9514B" w:rsidRDefault="0075648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Octubre</w:t>
            </w:r>
            <w:r w:rsidR="00A9514B">
              <w:rPr>
                <w:rFonts w:ascii="Calibri" w:eastAsia="Calibri" w:hAnsi="Calibri" w:cs="Calibri"/>
                <w:b/>
                <w:color w:val="595959"/>
              </w:rPr>
              <w:t xml:space="preserve"> de 202</w:t>
            </w:r>
            <w:r w:rsidR="00814E3C"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BBCEC3B" w:rsidR="00C0495F" w:rsidRDefault="006B1407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3CF02CD" w:rsidR="00C0495F" w:rsidRDefault="0075648A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Octubre de 2025</w:t>
            </w: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19A958" w14:textId="77777777" w:rsidR="00120A9B" w:rsidRDefault="00120A9B">
      <w:pPr>
        <w:spacing w:line="240" w:lineRule="auto"/>
      </w:pPr>
      <w:r>
        <w:separator/>
      </w:r>
    </w:p>
  </w:endnote>
  <w:endnote w:type="continuationSeparator" w:id="0">
    <w:p w14:paraId="41B14617" w14:textId="77777777" w:rsidR="00120A9B" w:rsidRDefault="00120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5E7E00" w14:textId="77777777" w:rsidR="00120A9B" w:rsidRDefault="00120A9B">
      <w:pPr>
        <w:spacing w:line="240" w:lineRule="auto"/>
      </w:pPr>
      <w:r>
        <w:separator/>
      </w:r>
    </w:p>
  </w:footnote>
  <w:footnote w:type="continuationSeparator" w:id="0">
    <w:p w14:paraId="038AFA3F" w14:textId="77777777" w:rsidR="00120A9B" w:rsidRDefault="00120A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0A9B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A00B2"/>
    <w:rsid w:val="004E274A"/>
    <w:rsid w:val="0057369A"/>
    <w:rsid w:val="0058457B"/>
    <w:rsid w:val="005861AB"/>
    <w:rsid w:val="005D6C01"/>
    <w:rsid w:val="005F3907"/>
    <w:rsid w:val="005F52C4"/>
    <w:rsid w:val="00616AB3"/>
    <w:rsid w:val="00626669"/>
    <w:rsid w:val="00654A50"/>
    <w:rsid w:val="006750A6"/>
    <w:rsid w:val="00684E23"/>
    <w:rsid w:val="006911B4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92AA0"/>
    <w:rsid w:val="00A9514B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0238"/>
    <w:rsid w:val="00B53BB8"/>
    <w:rsid w:val="00B636EC"/>
    <w:rsid w:val="00B63D1C"/>
    <w:rsid w:val="00BA5C64"/>
    <w:rsid w:val="00BB561B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B2378"/>
    <w:rsid w:val="00CD3981"/>
    <w:rsid w:val="00CE649B"/>
    <w:rsid w:val="00CF6CED"/>
    <w:rsid w:val="00D154B7"/>
    <w:rsid w:val="00D15EFF"/>
    <w:rsid w:val="00D16CEB"/>
    <w:rsid w:val="00D9536A"/>
    <w:rsid w:val="00D96770"/>
    <w:rsid w:val="00E23F58"/>
    <w:rsid w:val="00E53E0B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4d68dff5f0af2e06d66d0a41cb2d734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a226e700be7ccbb404083af0ef816ec1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32D81A-EB4F-4795-93F5-CADFE6DFDBCE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75</cp:revision>
  <dcterms:created xsi:type="dcterms:W3CDTF">2025-03-27T19:21:00Z</dcterms:created>
  <dcterms:modified xsi:type="dcterms:W3CDTF">2025-10-17T22:33:00Z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