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2F9FA350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7176DC">
        <w:rPr>
          <w:rFonts w:ascii="Arial" w:hAnsi="Arial" w:cs="Arial"/>
          <w:b/>
          <w:lang w:val="es-ES"/>
        </w:rPr>
        <w:t>ODUCCIÓN COMPONENTE FORMATIVO 02</w:t>
      </w:r>
    </w:p>
    <w:p w14:paraId="672A6659" w14:textId="25297992" w:rsidR="00750864" w:rsidRPr="004C00F3" w:rsidRDefault="007B608A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7176DC" w:rsidRPr="007176DC">
        <w:rPr>
          <w:rFonts w:ascii="Arial" w:hAnsi="Arial" w:cs="Arial"/>
          <w:b/>
          <w:lang w:val="es-ES"/>
        </w:rPr>
        <w:t>Estrategias y planes de continuidad del negocio</w:t>
      </w:r>
    </w:p>
    <w:p w14:paraId="10970E01" w14:textId="77777777" w:rsidR="00FF7EFF" w:rsidRPr="004C00F3" w:rsidRDefault="00FF7EFF" w:rsidP="002F68D8">
      <w:pPr>
        <w:jc w:val="both"/>
        <w:rPr>
          <w:rFonts w:ascii="Arial" w:hAnsi="Arial" w:cs="Arial"/>
        </w:rPr>
      </w:pPr>
      <w:bookmarkStart w:id="0" w:name="_Int_yEqNJIrk"/>
    </w:p>
    <w:bookmarkEnd w:id="0"/>
    <w:p w14:paraId="4D0D052E" w14:textId="77777777" w:rsidR="009678E7" w:rsidRPr="009678E7" w:rsidRDefault="009678E7" w:rsidP="009678E7">
      <w:pPr>
        <w:rPr>
          <w:rFonts w:ascii="Arial" w:hAnsi="Arial" w:cs="Arial"/>
        </w:rPr>
      </w:pPr>
      <w:r w:rsidRPr="009678E7">
        <w:rPr>
          <w:rFonts w:ascii="Arial" w:hAnsi="Arial" w:cs="Arial"/>
        </w:rPr>
        <w:t xml:space="preserve">Las </w:t>
      </w:r>
      <w:r w:rsidRPr="009678E7">
        <w:rPr>
          <w:rFonts w:ascii="Arial" w:hAnsi="Arial" w:cs="Arial"/>
          <w:b/>
        </w:rPr>
        <w:t>organizaciones actuales</w:t>
      </w:r>
      <w:r w:rsidRPr="009678E7">
        <w:rPr>
          <w:rFonts w:ascii="Arial" w:hAnsi="Arial" w:cs="Arial"/>
        </w:rPr>
        <w:t xml:space="preserve"> enfrentan un entorno lleno de desafíos, desde </w:t>
      </w:r>
      <w:r w:rsidRPr="009678E7">
        <w:rPr>
          <w:rFonts w:ascii="Arial" w:hAnsi="Arial" w:cs="Arial"/>
          <w:b/>
        </w:rPr>
        <w:t>fallas tecnológicas</w:t>
      </w:r>
      <w:r w:rsidRPr="009678E7">
        <w:rPr>
          <w:rFonts w:ascii="Arial" w:hAnsi="Arial" w:cs="Arial"/>
        </w:rPr>
        <w:t xml:space="preserve"> y </w:t>
      </w:r>
      <w:r w:rsidRPr="009678E7">
        <w:rPr>
          <w:rFonts w:ascii="Arial" w:hAnsi="Arial" w:cs="Arial"/>
          <w:b/>
        </w:rPr>
        <w:t>desastres naturales</w:t>
      </w:r>
      <w:r w:rsidRPr="009678E7">
        <w:rPr>
          <w:rFonts w:ascii="Arial" w:hAnsi="Arial" w:cs="Arial"/>
        </w:rPr>
        <w:t xml:space="preserve"> hasta </w:t>
      </w:r>
      <w:r w:rsidRPr="009678E7">
        <w:rPr>
          <w:rFonts w:ascii="Arial" w:hAnsi="Arial" w:cs="Arial"/>
          <w:b/>
        </w:rPr>
        <w:t>incidentes de seguridad o interrupciones logísticas</w:t>
      </w:r>
      <w:r w:rsidRPr="009678E7">
        <w:rPr>
          <w:rFonts w:ascii="Arial" w:hAnsi="Arial" w:cs="Arial"/>
        </w:rPr>
        <w:t xml:space="preserve">. En este contexto, la continuidad del negocio se convierte en un pilar esencial para </w:t>
      </w:r>
      <w:r w:rsidRPr="00381F35">
        <w:rPr>
          <w:rFonts w:ascii="Arial" w:hAnsi="Arial" w:cs="Arial"/>
          <w:b/>
        </w:rPr>
        <w:t>mantener las operaciones</w:t>
      </w:r>
      <w:r w:rsidRPr="009678E7">
        <w:rPr>
          <w:rFonts w:ascii="Arial" w:hAnsi="Arial" w:cs="Arial"/>
        </w:rPr>
        <w:t xml:space="preserve">, </w:t>
      </w:r>
      <w:r w:rsidRPr="00381F35">
        <w:rPr>
          <w:rFonts w:ascii="Arial" w:hAnsi="Arial" w:cs="Arial"/>
          <w:b/>
        </w:rPr>
        <w:t>proteger los activos</w:t>
      </w:r>
      <w:r w:rsidRPr="009678E7">
        <w:rPr>
          <w:rFonts w:ascii="Arial" w:hAnsi="Arial" w:cs="Arial"/>
        </w:rPr>
        <w:t xml:space="preserve"> y </w:t>
      </w:r>
      <w:r w:rsidRPr="00381F35">
        <w:rPr>
          <w:rFonts w:ascii="Arial" w:hAnsi="Arial" w:cs="Arial"/>
          <w:b/>
        </w:rPr>
        <w:t>garantizar la confianza</w:t>
      </w:r>
      <w:r w:rsidRPr="009678E7">
        <w:rPr>
          <w:rFonts w:ascii="Arial" w:hAnsi="Arial" w:cs="Arial"/>
        </w:rPr>
        <w:t xml:space="preserve"> de clientes y aliados.</w:t>
      </w:r>
    </w:p>
    <w:p w14:paraId="078CA6A2" w14:textId="77777777" w:rsidR="009678E7" w:rsidRPr="009678E7" w:rsidRDefault="009678E7" w:rsidP="009678E7">
      <w:pPr>
        <w:rPr>
          <w:rFonts w:ascii="Arial" w:hAnsi="Arial" w:cs="Arial"/>
        </w:rPr>
      </w:pPr>
    </w:p>
    <w:p w14:paraId="39E13E10" w14:textId="77777777" w:rsidR="009678E7" w:rsidRPr="009678E7" w:rsidRDefault="009678E7" w:rsidP="009678E7">
      <w:pPr>
        <w:rPr>
          <w:rFonts w:ascii="Arial" w:hAnsi="Arial" w:cs="Arial"/>
        </w:rPr>
      </w:pPr>
      <w:r w:rsidRPr="009678E7">
        <w:rPr>
          <w:rFonts w:ascii="Arial" w:hAnsi="Arial" w:cs="Arial"/>
        </w:rPr>
        <w:t xml:space="preserve">El proceso inicia con la definición de </w:t>
      </w:r>
      <w:r w:rsidRPr="00280572">
        <w:rPr>
          <w:rFonts w:ascii="Arial" w:hAnsi="Arial" w:cs="Arial"/>
          <w:b/>
        </w:rPr>
        <w:t>estrategias de continuidad</w:t>
      </w:r>
      <w:r w:rsidRPr="009678E7">
        <w:rPr>
          <w:rFonts w:ascii="Arial" w:hAnsi="Arial" w:cs="Arial"/>
        </w:rPr>
        <w:t xml:space="preserve">, las cuales pueden ser </w:t>
      </w:r>
      <w:r w:rsidRPr="00280572">
        <w:rPr>
          <w:rFonts w:ascii="Arial" w:hAnsi="Arial" w:cs="Arial"/>
          <w:b/>
        </w:rPr>
        <w:t>preventivas, de mitigación, recuperación o transferencia del riesgo</w:t>
      </w:r>
      <w:r w:rsidRPr="009678E7">
        <w:rPr>
          <w:rFonts w:ascii="Arial" w:hAnsi="Arial" w:cs="Arial"/>
        </w:rPr>
        <w:t xml:space="preserve">. Su aplicación depende de la </w:t>
      </w:r>
      <w:r w:rsidRPr="00280572">
        <w:rPr>
          <w:rFonts w:ascii="Arial" w:hAnsi="Arial" w:cs="Arial"/>
          <w:b/>
        </w:rPr>
        <w:t>naturaleza</w:t>
      </w:r>
      <w:r w:rsidRPr="009678E7">
        <w:rPr>
          <w:rFonts w:ascii="Arial" w:hAnsi="Arial" w:cs="Arial"/>
        </w:rPr>
        <w:t xml:space="preserve"> de cada organización, los </w:t>
      </w:r>
      <w:r w:rsidRPr="00280572">
        <w:rPr>
          <w:rFonts w:ascii="Arial" w:hAnsi="Arial" w:cs="Arial"/>
          <w:b/>
        </w:rPr>
        <w:t xml:space="preserve">recursos disponibles </w:t>
      </w:r>
      <w:r w:rsidRPr="009678E7">
        <w:rPr>
          <w:rFonts w:ascii="Arial" w:hAnsi="Arial" w:cs="Arial"/>
        </w:rPr>
        <w:t xml:space="preserve">y los </w:t>
      </w:r>
      <w:r w:rsidRPr="00280572">
        <w:rPr>
          <w:rFonts w:ascii="Arial" w:hAnsi="Arial" w:cs="Arial"/>
          <w:b/>
        </w:rPr>
        <w:t>resultados</w:t>
      </w:r>
      <w:r w:rsidRPr="009678E7">
        <w:rPr>
          <w:rFonts w:ascii="Arial" w:hAnsi="Arial" w:cs="Arial"/>
        </w:rPr>
        <w:t xml:space="preserve"> del </w:t>
      </w:r>
      <w:r w:rsidRPr="00280572">
        <w:rPr>
          <w:rFonts w:ascii="Arial" w:hAnsi="Arial" w:cs="Arial"/>
          <w:b/>
        </w:rPr>
        <w:t>Análisis de Impacto al Negocio</w:t>
      </w:r>
      <w:r w:rsidRPr="009678E7">
        <w:rPr>
          <w:rFonts w:ascii="Arial" w:hAnsi="Arial" w:cs="Arial"/>
        </w:rPr>
        <w:t>, conocido como BIA.</w:t>
      </w:r>
    </w:p>
    <w:p w14:paraId="1116C1E9" w14:textId="77777777" w:rsidR="009678E7" w:rsidRPr="009678E7" w:rsidRDefault="009678E7" w:rsidP="009678E7">
      <w:pPr>
        <w:rPr>
          <w:rFonts w:ascii="Arial" w:hAnsi="Arial" w:cs="Arial"/>
        </w:rPr>
      </w:pPr>
    </w:p>
    <w:p w14:paraId="3119AFCF" w14:textId="77777777" w:rsidR="009678E7" w:rsidRPr="009678E7" w:rsidRDefault="009678E7" w:rsidP="009678E7">
      <w:pPr>
        <w:rPr>
          <w:rFonts w:ascii="Arial" w:hAnsi="Arial" w:cs="Arial"/>
        </w:rPr>
      </w:pPr>
      <w:r w:rsidRPr="009678E7">
        <w:rPr>
          <w:rFonts w:ascii="Arial" w:hAnsi="Arial" w:cs="Arial"/>
        </w:rPr>
        <w:t xml:space="preserve">El </w:t>
      </w:r>
      <w:r w:rsidRPr="00280572">
        <w:rPr>
          <w:rFonts w:ascii="Arial" w:hAnsi="Arial" w:cs="Arial"/>
          <w:b/>
        </w:rPr>
        <w:t>BIA</w:t>
      </w:r>
      <w:r w:rsidRPr="009678E7">
        <w:rPr>
          <w:rFonts w:ascii="Arial" w:hAnsi="Arial" w:cs="Arial"/>
        </w:rPr>
        <w:t xml:space="preserve"> permite identificar los </w:t>
      </w:r>
      <w:r w:rsidRPr="00280572">
        <w:rPr>
          <w:rFonts w:ascii="Arial" w:hAnsi="Arial" w:cs="Arial"/>
          <w:b/>
        </w:rPr>
        <w:t>procesos críticos</w:t>
      </w:r>
      <w:r w:rsidRPr="009678E7">
        <w:rPr>
          <w:rFonts w:ascii="Arial" w:hAnsi="Arial" w:cs="Arial"/>
        </w:rPr>
        <w:t xml:space="preserve">, establecer los </w:t>
      </w:r>
      <w:r w:rsidRPr="00280572">
        <w:rPr>
          <w:rFonts w:ascii="Arial" w:hAnsi="Arial" w:cs="Arial"/>
          <w:b/>
        </w:rPr>
        <w:t>tiempos de recuperación</w:t>
      </w:r>
      <w:r w:rsidRPr="009678E7">
        <w:rPr>
          <w:rFonts w:ascii="Arial" w:hAnsi="Arial" w:cs="Arial"/>
        </w:rPr>
        <w:t xml:space="preserve"> </w:t>
      </w:r>
      <w:r w:rsidRPr="00280572">
        <w:rPr>
          <w:rFonts w:ascii="Arial" w:hAnsi="Arial" w:cs="Arial"/>
          <w:b/>
        </w:rPr>
        <w:t>RTO (</w:t>
      </w:r>
      <w:proofErr w:type="spellStart"/>
      <w:r w:rsidRPr="00280572">
        <w:rPr>
          <w:rFonts w:ascii="Arial" w:hAnsi="Arial" w:cs="Arial"/>
          <w:b/>
        </w:rPr>
        <w:t>Recovery</w:t>
      </w:r>
      <w:proofErr w:type="spellEnd"/>
      <w:r w:rsidRPr="00280572">
        <w:rPr>
          <w:rFonts w:ascii="Arial" w:hAnsi="Arial" w:cs="Arial"/>
          <w:b/>
        </w:rPr>
        <w:t xml:space="preserve"> Time </w:t>
      </w:r>
      <w:proofErr w:type="spellStart"/>
      <w:r w:rsidRPr="00280572">
        <w:rPr>
          <w:rFonts w:ascii="Arial" w:hAnsi="Arial" w:cs="Arial"/>
          <w:b/>
        </w:rPr>
        <w:t>Objective</w:t>
      </w:r>
      <w:proofErr w:type="spellEnd"/>
      <w:r w:rsidRPr="00280572">
        <w:rPr>
          <w:rFonts w:ascii="Arial" w:hAnsi="Arial" w:cs="Arial"/>
          <w:b/>
        </w:rPr>
        <w:t>) y RPO (</w:t>
      </w:r>
      <w:proofErr w:type="spellStart"/>
      <w:r w:rsidRPr="00280572">
        <w:rPr>
          <w:rFonts w:ascii="Arial" w:hAnsi="Arial" w:cs="Arial"/>
          <w:b/>
        </w:rPr>
        <w:t>Recovery</w:t>
      </w:r>
      <w:proofErr w:type="spellEnd"/>
      <w:r w:rsidRPr="00280572">
        <w:rPr>
          <w:rFonts w:ascii="Arial" w:hAnsi="Arial" w:cs="Arial"/>
          <w:b/>
        </w:rPr>
        <w:t xml:space="preserve"> Point </w:t>
      </w:r>
      <w:proofErr w:type="spellStart"/>
      <w:r w:rsidRPr="00280572">
        <w:rPr>
          <w:rFonts w:ascii="Arial" w:hAnsi="Arial" w:cs="Arial"/>
          <w:b/>
        </w:rPr>
        <w:t>Objective</w:t>
      </w:r>
      <w:proofErr w:type="spellEnd"/>
      <w:r w:rsidRPr="00280572">
        <w:rPr>
          <w:rFonts w:ascii="Arial" w:hAnsi="Arial" w:cs="Arial"/>
          <w:b/>
        </w:rPr>
        <w:t>)</w:t>
      </w:r>
      <w:r w:rsidRPr="009678E7">
        <w:rPr>
          <w:rFonts w:ascii="Arial" w:hAnsi="Arial" w:cs="Arial"/>
        </w:rPr>
        <w:t xml:space="preserve">, y evaluar los </w:t>
      </w:r>
      <w:r w:rsidRPr="00280572">
        <w:rPr>
          <w:rFonts w:ascii="Arial" w:hAnsi="Arial" w:cs="Arial"/>
          <w:b/>
        </w:rPr>
        <w:t>impactos financieros, operativos y reputacionales</w:t>
      </w:r>
      <w:r w:rsidRPr="009678E7">
        <w:rPr>
          <w:rFonts w:ascii="Arial" w:hAnsi="Arial" w:cs="Arial"/>
        </w:rPr>
        <w:t>. A partir de esta información, se diseñan estrategias efectivas que aseguran que los servicios esenciales puedan continuar incluso ante una contingencia.</w:t>
      </w:r>
    </w:p>
    <w:p w14:paraId="417A5976" w14:textId="77777777" w:rsidR="009678E7" w:rsidRPr="009678E7" w:rsidRDefault="009678E7" w:rsidP="009678E7">
      <w:pPr>
        <w:rPr>
          <w:rFonts w:ascii="Arial" w:hAnsi="Arial" w:cs="Arial"/>
        </w:rPr>
      </w:pPr>
    </w:p>
    <w:p w14:paraId="0DC6E5BA" w14:textId="77777777" w:rsidR="009678E7" w:rsidRPr="009678E7" w:rsidRDefault="009678E7" w:rsidP="009678E7">
      <w:pPr>
        <w:rPr>
          <w:rFonts w:ascii="Arial" w:hAnsi="Arial" w:cs="Arial"/>
        </w:rPr>
      </w:pPr>
      <w:r w:rsidRPr="009678E7">
        <w:rPr>
          <w:rFonts w:ascii="Arial" w:hAnsi="Arial" w:cs="Arial"/>
        </w:rPr>
        <w:t xml:space="preserve">Una vez definidas las estrategias, se formula el </w:t>
      </w:r>
      <w:r w:rsidRPr="00280572">
        <w:rPr>
          <w:rFonts w:ascii="Arial" w:hAnsi="Arial" w:cs="Arial"/>
          <w:b/>
        </w:rPr>
        <w:t>Plan de Continuidad del Negocio (PCN)</w:t>
      </w:r>
      <w:r w:rsidRPr="009678E7">
        <w:rPr>
          <w:rFonts w:ascii="Arial" w:hAnsi="Arial" w:cs="Arial"/>
        </w:rPr>
        <w:t xml:space="preserve">, documento que establece los </w:t>
      </w:r>
      <w:r w:rsidRPr="00280572">
        <w:rPr>
          <w:rFonts w:ascii="Arial" w:hAnsi="Arial" w:cs="Arial"/>
          <w:b/>
        </w:rPr>
        <w:t xml:space="preserve">procedimientos, responsables y recursos </w:t>
      </w:r>
      <w:r w:rsidRPr="009678E7">
        <w:rPr>
          <w:rFonts w:ascii="Arial" w:hAnsi="Arial" w:cs="Arial"/>
        </w:rPr>
        <w:t xml:space="preserve">necesarios para responder ante </w:t>
      </w:r>
      <w:r w:rsidRPr="00280572">
        <w:rPr>
          <w:rFonts w:ascii="Arial" w:hAnsi="Arial" w:cs="Arial"/>
          <w:b/>
        </w:rPr>
        <w:t>incidentes</w:t>
      </w:r>
      <w:r w:rsidRPr="009678E7">
        <w:rPr>
          <w:rFonts w:ascii="Arial" w:hAnsi="Arial" w:cs="Arial"/>
        </w:rPr>
        <w:t>. Este plan se complementa con los planes de contingencia y recuperación, que detallan las acciones para mantener o restablecer los servicios en el menor tiempo posible.</w:t>
      </w:r>
    </w:p>
    <w:p w14:paraId="2267CC97" w14:textId="77777777" w:rsidR="009678E7" w:rsidRPr="009678E7" w:rsidRDefault="009678E7" w:rsidP="009678E7">
      <w:pPr>
        <w:rPr>
          <w:rFonts w:ascii="Arial" w:hAnsi="Arial" w:cs="Arial"/>
        </w:rPr>
      </w:pPr>
    </w:p>
    <w:p w14:paraId="5BD90FF6" w14:textId="11597DD6" w:rsidR="007176DC" w:rsidRDefault="009678E7" w:rsidP="009678E7">
      <w:pPr>
        <w:rPr>
          <w:rFonts w:ascii="Arial" w:hAnsi="Arial" w:cs="Arial"/>
        </w:rPr>
      </w:pPr>
      <w:r w:rsidRPr="009678E7">
        <w:rPr>
          <w:rFonts w:ascii="Arial" w:hAnsi="Arial" w:cs="Arial"/>
        </w:rPr>
        <w:t xml:space="preserve">Finalmente, las organizaciones deben probar y validar sus estrategias mediante </w:t>
      </w:r>
      <w:r w:rsidRPr="00280572">
        <w:rPr>
          <w:rFonts w:ascii="Arial" w:hAnsi="Arial" w:cs="Arial"/>
          <w:b/>
        </w:rPr>
        <w:t xml:space="preserve">simulaciones y ejercicios prácticos </w:t>
      </w:r>
      <w:r w:rsidRPr="009678E7">
        <w:rPr>
          <w:rFonts w:ascii="Arial" w:hAnsi="Arial" w:cs="Arial"/>
        </w:rPr>
        <w:t xml:space="preserve">que permitan medir su </w:t>
      </w:r>
      <w:r w:rsidRPr="00280572">
        <w:rPr>
          <w:rFonts w:ascii="Arial" w:hAnsi="Arial" w:cs="Arial"/>
          <w:b/>
        </w:rPr>
        <w:t>efectividad</w:t>
      </w:r>
      <w:r w:rsidRPr="009678E7">
        <w:rPr>
          <w:rFonts w:ascii="Arial" w:hAnsi="Arial" w:cs="Arial"/>
        </w:rPr>
        <w:t xml:space="preserve">. Estas actividades fortalecen la </w:t>
      </w:r>
      <w:r w:rsidRPr="00280572">
        <w:rPr>
          <w:rFonts w:ascii="Arial" w:hAnsi="Arial" w:cs="Arial"/>
          <w:b/>
        </w:rPr>
        <w:t>resiliencia institucional</w:t>
      </w:r>
      <w:r w:rsidRPr="009678E7">
        <w:rPr>
          <w:rFonts w:ascii="Arial" w:hAnsi="Arial" w:cs="Arial"/>
        </w:rPr>
        <w:t xml:space="preserve">, fomentan la </w:t>
      </w:r>
      <w:r w:rsidRPr="00280572">
        <w:rPr>
          <w:rFonts w:ascii="Arial" w:hAnsi="Arial" w:cs="Arial"/>
          <w:b/>
        </w:rPr>
        <w:t>preparación del talento humano</w:t>
      </w:r>
      <w:r w:rsidRPr="009678E7">
        <w:rPr>
          <w:rFonts w:ascii="Arial" w:hAnsi="Arial" w:cs="Arial"/>
        </w:rPr>
        <w:t xml:space="preserve"> y garantizan la </w:t>
      </w:r>
      <w:r w:rsidRPr="00280572">
        <w:rPr>
          <w:rFonts w:ascii="Arial" w:hAnsi="Arial" w:cs="Arial"/>
          <w:b/>
        </w:rPr>
        <w:t>sostenibilidad operativa</w:t>
      </w:r>
      <w:r w:rsidRPr="009678E7">
        <w:rPr>
          <w:rFonts w:ascii="Arial" w:hAnsi="Arial" w:cs="Arial"/>
        </w:rPr>
        <w:t>, incluso frente a los escenarios más complejos.</w:t>
      </w:r>
    </w:p>
    <w:p w14:paraId="313D26F4" w14:textId="77777777" w:rsidR="009678E7" w:rsidRPr="004C00F3" w:rsidRDefault="009678E7" w:rsidP="009678E7">
      <w:pPr>
        <w:rPr>
          <w:rFonts w:ascii="Arial" w:hAnsi="Arial" w:cs="Arial"/>
        </w:rPr>
      </w:pPr>
    </w:p>
    <w:p w14:paraId="1DA72FD2" w14:textId="6E802F75" w:rsidR="0034187D" w:rsidRPr="004C00F3" w:rsidRDefault="0034187D">
      <w:pPr>
        <w:rPr>
          <w:rFonts w:ascii="Arial" w:hAnsi="Arial" w:cs="Arial"/>
        </w:rPr>
      </w:pPr>
      <w:r w:rsidRPr="004C00F3">
        <w:rPr>
          <w:rFonts w:ascii="Arial" w:hAnsi="Arial" w:cs="Arial"/>
        </w:rPr>
        <w:t>TOTAL</w:t>
      </w:r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EF2668">
        <w:rPr>
          <w:rFonts w:ascii="Arial" w:hAnsi="Arial" w:cs="Arial"/>
        </w:rPr>
        <w:t>242</w:t>
      </w:r>
      <w:bookmarkStart w:id="1" w:name="_GoBack"/>
      <w:bookmarkEnd w:id="1"/>
    </w:p>
    <w:sectPr w:rsidR="0034187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34DD9"/>
    <w:rsid w:val="00241A0E"/>
    <w:rsid w:val="00242B75"/>
    <w:rsid w:val="00277964"/>
    <w:rsid w:val="00280572"/>
    <w:rsid w:val="002865F0"/>
    <w:rsid w:val="002F68D8"/>
    <w:rsid w:val="00325FB5"/>
    <w:rsid w:val="0034187D"/>
    <w:rsid w:val="00381F35"/>
    <w:rsid w:val="00386732"/>
    <w:rsid w:val="00395D69"/>
    <w:rsid w:val="00422835"/>
    <w:rsid w:val="00475DC3"/>
    <w:rsid w:val="004C00F3"/>
    <w:rsid w:val="005B5967"/>
    <w:rsid w:val="005D7B5E"/>
    <w:rsid w:val="005E049F"/>
    <w:rsid w:val="006353EE"/>
    <w:rsid w:val="00666672"/>
    <w:rsid w:val="00713224"/>
    <w:rsid w:val="007176DC"/>
    <w:rsid w:val="00750864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3ECA"/>
    <w:rsid w:val="009678E7"/>
    <w:rsid w:val="00987D84"/>
    <w:rsid w:val="00991D28"/>
    <w:rsid w:val="009925D4"/>
    <w:rsid w:val="009D760E"/>
    <w:rsid w:val="00AB68BC"/>
    <w:rsid w:val="00B313AE"/>
    <w:rsid w:val="00B37054"/>
    <w:rsid w:val="00B4139A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D25CA3"/>
    <w:rsid w:val="00D2797B"/>
    <w:rsid w:val="00DD2A4C"/>
    <w:rsid w:val="00DE79C2"/>
    <w:rsid w:val="00E14988"/>
    <w:rsid w:val="00E165E1"/>
    <w:rsid w:val="00E61E06"/>
    <w:rsid w:val="00E65E24"/>
    <w:rsid w:val="00ED0679"/>
    <w:rsid w:val="00EF2668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4d68dff5f0af2e06d66d0a41cb2d734b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a226e700be7ccbb404083af0ef816ec1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522573-BC72-42E7-8027-8B6B7CCD4F87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24</cp:revision>
  <dcterms:created xsi:type="dcterms:W3CDTF">2024-08-06T13:31:00Z</dcterms:created>
  <dcterms:modified xsi:type="dcterms:W3CDTF">2025-10-17T23:13:00Z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