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B3323B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  <w:lang w:val="es-ES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3323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3323B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noProof/>
                <w:color w:val="000000" w:themeColor="text1"/>
                <w:lang w:val="es-E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3323B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  <w:p w14:paraId="0BA125F2" w14:textId="77777777" w:rsidR="00C57B0F" w:rsidRPr="00B3323B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ACTIVIDAD DIDÁCTICA CUESTIONARIO</w:t>
            </w:r>
          </w:p>
          <w:p w14:paraId="4039611F" w14:textId="77777777" w:rsidR="00C57B0F" w:rsidRPr="00B3323B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C57B0F" w:rsidRPr="00B3323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3323B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Generalidades de la actividad</w:t>
            </w:r>
          </w:p>
          <w:p w14:paraId="3B5F2D99" w14:textId="77777777" w:rsidR="00C0495F" w:rsidRPr="00B332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 xml:space="preserve">Las indicaciones, el mensaje de correcto e incorrecto debe estar la redacción en </w:t>
            </w:r>
            <w:r w:rsidR="00230CDA"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segunda persona</w:t>
            </w: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.</w:t>
            </w:r>
          </w:p>
          <w:p w14:paraId="4DE91A42" w14:textId="77777777" w:rsidR="00C0495F" w:rsidRPr="00B332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332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 xml:space="preserve">Señale en la columna </w:t>
            </w:r>
            <w:proofErr w:type="spellStart"/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Rta</w:t>
            </w:r>
            <w:proofErr w:type="spellEnd"/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. Correcta con una (x) de acuerdo con las opciones presentadas.</w:t>
            </w:r>
          </w:p>
          <w:p w14:paraId="7778E7D9" w14:textId="3580D3ED" w:rsidR="00C57B0F" w:rsidRPr="00B3323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Al final de la actividad se muestra una retroalimentación de felicitación si logra el 70</w:t>
            </w:r>
            <w:r w:rsidR="00C0495F"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% de respuestas correctas o retroalimentación de mejora si es inferior a este porcentaje.</w:t>
            </w:r>
          </w:p>
          <w:p w14:paraId="74635954" w14:textId="77777777" w:rsidR="00C57B0F" w:rsidRPr="00B3323B" w:rsidRDefault="006F219D">
            <w:pPr>
              <w:spacing w:after="160"/>
              <w:rPr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3323B">
              <w:rPr>
                <w:rFonts w:eastAsia="Calibri"/>
                <w:b w:val="0"/>
                <w:i/>
                <w:color w:val="000000" w:themeColor="text1"/>
                <w:sz w:val="20"/>
                <w:szCs w:val="20"/>
                <w:lang w:val="es-ES"/>
              </w:rPr>
              <w:t>responsive web</w:t>
            </w:r>
            <w:r w:rsidRPr="00B3323B">
              <w:rPr>
                <w:rFonts w:eastAsia="Calibri"/>
                <w:b w:val="0"/>
                <w:color w:val="000000" w:themeColor="text1"/>
                <w:sz w:val="20"/>
                <w:szCs w:val="20"/>
                <w:lang w:val="es-ES"/>
              </w:rPr>
              <w:t>.</w:t>
            </w:r>
          </w:p>
        </w:tc>
      </w:tr>
      <w:tr w:rsidR="00C57B0F" w:rsidRPr="00B3323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3323B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Instrucciones para el aprendiz</w:t>
            </w:r>
          </w:p>
          <w:p w14:paraId="27C06636" w14:textId="77777777" w:rsidR="00C57B0F" w:rsidRPr="00B3323B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  <w:p w14:paraId="1B1DE622" w14:textId="77777777" w:rsidR="00C57B0F" w:rsidRPr="00B3323B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  <w:tc>
          <w:tcPr>
            <w:tcW w:w="7620" w:type="dxa"/>
            <w:gridSpan w:val="2"/>
          </w:tcPr>
          <w:p w14:paraId="4D869AD9" w14:textId="518386E0" w:rsidR="00F70AE9" w:rsidRPr="00B332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Esta actividad le permitirá determinar el grado de apropiación de los contenidos del componente formativo</w:t>
            </w:r>
            <w:r w:rsidR="001752DE"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 xml:space="preserve">: </w:t>
            </w: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="002D4255" w:rsidRPr="00B3323B">
              <w:rPr>
                <w:b/>
                <w:bCs/>
                <w:color w:val="000000" w:themeColor="text1"/>
                <w:sz w:val="20"/>
                <w:szCs w:val="20"/>
                <w:shd w:val="clear" w:color="auto" w:fill="D9D9D9" w:themeFill="background1" w:themeFillShade="D9"/>
                <w:lang w:val="es-ES"/>
              </w:rPr>
              <w:t>Fundamentos de la escena y control de riesgos.</w:t>
            </w:r>
          </w:p>
          <w:p w14:paraId="3FEF5E62" w14:textId="77777777" w:rsidR="00F70AE9" w:rsidRPr="00B332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  <w:p w14:paraId="5D04B07D" w14:textId="77777777" w:rsidR="00F70AE9" w:rsidRPr="00B332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B3323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  <w:p w14:paraId="1EC50D8C" w14:textId="43DDDF71" w:rsidR="00C57B0F" w:rsidRPr="00B3323B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="002D4255" w:rsidRPr="00B3323B" w14:paraId="749E10AF" w14:textId="77777777" w:rsidTr="002E6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395A4BF" w14:textId="77777777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color w:val="000000" w:themeColor="text1"/>
                <w:sz w:val="20"/>
                <w:szCs w:val="20"/>
                <w:lang w:val="es-US"/>
              </w:rPr>
            </w:pPr>
            <w:r w:rsidRPr="00B3323B">
              <w:rPr>
                <w:noProof/>
                <w:color w:val="000000" w:themeColor="text1"/>
                <w:sz w:val="20"/>
                <w:szCs w:val="20"/>
                <w:lang w:val="es-US"/>
              </w:rPr>
              <w:t>Misión primeros auxilios: controla la escena</w:t>
            </w:r>
          </w:p>
          <w:p w14:paraId="60B4012D" w14:textId="3EF3A5F7" w:rsidR="00D24F4E" w:rsidRPr="00B3323B" w:rsidRDefault="00D24F4E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5CA5FE7" w14:textId="77777777" w:rsidTr="001B7A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760A4F84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  <w:szCs w:val="20"/>
                <w:lang w:val="es-US"/>
              </w:rPr>
              <w:t>Verificar la apropiación de los contenidos del componente formativo sobre la normatividad del primer respondiente, el reconocimiento de la escena, los riesgos y las medidas de seguridad y bioseguridad, mediante el análisis de situaciones simuladas.</w:t>
            </w:r>
          </w:p>
        </w:tc>
      </w:tr>
      <w:tr w:rsidR="002D4255" w:rsidRPr="00B3323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Lea la pregunta de cada ítem y seleccione la respuesta correcta.</w:t>
            </w:r>
          </w:p>
        </w:tc>
      </w:tr>
      <w:tr w:rsidR="002D4255" w:rsidRPr="00B3323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2D4255" w:rsidRPr="00B3323B" w:rsidRDefault="002D4255" w:rsidP="002D4255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PREGUNTAS</w:t>
            </w:r>
          </w:p>
        </w:tc>
      </w:tr>
      <w:tr w:rsidR="002D4255" w:rsidRPr="00B3323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1</w:t>
            </w:r>
          </w:p>
        </w:tc>
        <w:tc>
          <w:tcPr>
            <w:tcW w:w="5460" w:type="dxa"/>
          </w:tcPr>
          <w:p w14:paraId="73542B6F" w14:textId="760451B8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b/>
                <w:bCs/>
                <w:color w:val="000000" w:themeColor="text1"/>
                <w:sz w:val="20"/>
                <w:szCs w:val="20"/>
              </w:rPr>
              <w:t>¿Qué caracteriza a la responsabilidad civil del primer respondiente?</w:t>
            </w:r>
          </w:p>
        </w:tc>
        <w:tc>
          <w:tcPr>
            <w:tcW w:w="2160" w:type="dxa"/>
          </w:tcPr>
          <w:p w14:paraId="7F132666" w14:textId="7E61C829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proofErr w:type="spellStart"/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Rta</w:t>
            </w:r>
            <w:proofErr w:type="spellEnd"/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(s) correcta(s) (x)</w:t>
            </w:r>
          </w:p>
        </w:tc>
      </w:tr>
      <w:tr w:rsidR="002D4255" w:rsidRPr="00B3323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31A3629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Obliga a reparar el daño causado a otra persona por una acción o una omisión con culpa.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3B561C8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Sanciona con cárcel las conductas tipificadas como delito.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2D4255" w:rsidRPr="00B3323B" w:rsidRDefault="002D4255" w:rsidP="002D42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34BE8BC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Aplica únicamente al personal de salud.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A825288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Se limita al cumplimiento de las normas de tránsito.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2D4255" w:rsidRPr="00B3323B" w:rsidRDefault="002D4255" w:rsidP="002D42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D0BD31B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La responsabilidad civil no sanciona con cárcel, sino con la reparación del perjuicio, y por eso se distingue de la responsabilidad penal.</w:t>
            </w:r>
          </w:p>
        </w:tc>
      </w:tr>
      <w:tr w:rsidR="002D4255" w:rsidRPr="00B3323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6056FE8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¿En qué norma está tipificada la omisión de socorro en Colombia?</w:t>
            </w:r>
          </w:p>
        </w:tc>
      </w:tr>
      <w:tr w:rsidR="002D4255" w:rsidRPr="00B3323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7275E48F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Código Nacional de Tránsito.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9AD0633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Ley 1523 de 2012.</w:t>
            </w:r>
          </w:p>
        </w:tc>
        <w:tc>
          <w:tcPr>
            <w:tcW w:w="2160" w:type="dxa"/>
          </w:tcPr>
          <w:p w14:paraId="1D0925B8" w14:textId="5202D510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03017D8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Artículo 131 del Código Penal.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2D4255" w:rsidRPr="00B3323B" w:rsidRDefault="002D4255" w:rsidP="00A8123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D92C662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Decreto 1072 de 2015.</w:t>
            </w:r>
          </w:p>
        </w:tc>
        <w:tc>
          <w:tcPr>
            <w:tcW w:w="2160" w:type="dxa"/>
          </w:tcPr>
          <w:p w14:paraId="20A71059" w14:textId="52B24930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855CAD4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El artículo 131 del Código Penal sanciona a quien no presta auxilio a una persona en grave peligro cuando puede hacerlo sin riesgo propio.</w:t>
            </w:r>
          </w:p>
        </w:tc>
      </w:tr>
      <w:tr w:rsidR="002D4255" w:rsidRPr="00B3323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E587B82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¿Cómo se aplica el consentimiento informado cuando la persona afectada está inconsciente o en riesgo vital?</w:t>
            </w:r>
          </w:p>
        </w:tc>
      </w:tr>
      <w:tr w:rsidR="002D4255" w:rsidRPr="00B3323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557512E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No se interviene hasta que la persona recupere la conciencia.</w:t>
            </w:r>
          </w:p>
        </w:tc>
        <w:tc>
          <w:tcPr>
            <w:tcW w:w="2160" w:type="dxa"/>
          </w:tcPr>
          <w:p w14:paraId="2DEA1E69" w14:textId="7A8709AB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A84A5C1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Se presume el consentimiento implícito y se interviene de inmediato.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2D4255" w:rsidRPr="00B3323B" w:rsidRDefault="002D4255" w:rsidP="00A8123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031C9EA2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Se exige la firma de un formulario antes de actuar.</w:t>
            </w:r>
          </w:p>
        </w:tc>
        <w:tc>
          <w:tcPr>
            <w:tcW w:w="2160" w:type="dxa"/>
          </w:tcPr>
          <w:p w14:paraId="2B39C562" w14:textId="77777777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D6CE7DC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Solo el personal médico puede intervenir.</w:t>
            </w:r>
          </w:p>
        </w:tc>
        <w:tc>
          <w:tcPr>
            <w:tcW w:w="2160" w:type="dxa"/>
            <w:shd w:val="clear" w:color="auto" w:fill="auto"/>
          </w:tcPr>
          <w:p w14:paraId="60456E1B" w14:textId="0D6F9CDC" w:rsidR="002D4255" w:rsidRPr="00B3323B" w:rsidRDefault="002D4255" w:rsidP="002D42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B01CC15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Se presume que la persona aceptaría la atención necesaria para preservar su vida, porque la vida prima sobre la formalidad.</w:t>
            </w:r>
          </w:p>
        </w:tc>
      </w:tr>
      <w:tr w:rsidR="002D4255" w:rsidRPr="00B3323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5CDF37D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debe hacer el primer respondiente con los objetos que pueden servir como prueba en la escena?</w:t>
            </w:r>
          </w:p>
        </w:tc>
      </w:tr>
      <w:tr w:rsidR="002D4255" w:rsidRPr="00B3323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EC0E7E3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Recogerlos y guardarlos para entregarlos después.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F233CEE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Evitar alterarlos y restringir el acceso de personas ajenas.</w:t>
            </w:r>
          </w:p>
        </w:tc>
        <w:tc>
          <w:tcPr>
            <w:tcW w:w="2160" w:type="dxa"/>
            <w:shd w:val="clear" w:color="auto" w:fill="FFFFFF"/>
          </w:tcPr>
          <w:p w14:paraId="4363353C" w14:textId="41EFC8DC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2D4255" w:rsidRPr="00B3323B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D40A672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Limpiarlos para evitar la contaminación.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848AFE0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Entregarlos a los familiares de la persona afectada.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6789958A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Aunque el respondiente no investiga, conservar la escena y no tocar los elementos protege la cadena de custodia.</w:t>
            </w:r>
          </w:p>
        </w:tc>
      </w:tr>
      <w:tr w:rsidR="002D4255" w:rsidRPr="00B3323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88F55AF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actuación recomendada ante una escena insegura?</w:t>
            </w:r>
          </w:p>
        </w:tc>
      </w:tr>
      <w:tr w:rsidR="002D4255" w:rsidRPr="00B3323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D1F4036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Ingresar rápido para retirar a la persona afectada.</w:t>
            </w:r>
          </w:p>
        </w:tc>
        <w:tc>
          <w:tcPr>
            <w:tcW w:w="2160" w:type="dxa"/>
            <w:shd w:val="clear" w:color="auto" w:fill="FFFFFF"/>
          </w:tcPr>
          <w:p w14:paraId="5DFF5F4F" w14:textId="6C0AFA27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099C133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No intervenir directamente, activar el sistema de emergencias y esperar el control del riesgo.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2D4255" w:rsidRPr="00B3323B" w:rsidRDefault="002D4255" w:rsidP="00A8123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16B8025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Esperar a que un familiar autorice el ingreso.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7AC8FE7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Atender solo si la persona está consciente.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DC50E79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Una escena insegura no deja de ser peligrosa porque haya alguien herido; entrar sin control del riesgo suma una víctima más.</w:t>
            </w:r>
          </w:p>
        </w:tc>
      </w:tr>
      <w:tr w:rsidR="002D4255" w:rsidRPr="00B3323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C63F130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es el incidente en una situación de emergencia?</w:t>
            </w:r>
          </w:p>
        </w:tc>
      </w:tr>
      <w:tr w:rsidR="002D4255" w:rsidRPr="00B3323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AAB4A9B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evento que da origen a la situación de emergencia.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2D4255" w:rsidRPr="00B3323B" w:rsidRDefault="002D4255" w:rsidP="00A8123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C4F2CF1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lesión que presenta la persona afectada.</w:t>
            </w:r>
          </w:p>
        </w:tc>
        <w:tc>
          <w:tcPr>
            <w:tcW w:w="2160" w:type="dxa"/>
            <w:shd w:val="clear" w:color="auto" w:fill="FFFFFF"/>
          </w:tcPr>
          <w:p w14:paraId="14B5DA92" w14:textId="39040799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4F79F1E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probabilidad de que ocurra un daño.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BD3C8C8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medida de control que se aplica en el lugar.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E40CB7E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Identificar el incidente responde a qué ocurrió, cómo ocurrió y dónde ocurrió, y anticipa las posibles consecuencias.</w:t>
            </w:r>
          </w:p>
        </w:tc>
      </w:tr>
      <w:tr w:rsidR="002D4255" w:rsidRPr="00B3323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6CB18BA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¿Cómo se define un riesgo en la escena?</w:t>
            </w:r>
          </w:p>
        </w:tc>
      </w:tr>
      <w:tr w:rsidR="002D4255" w:rsidRPr="00B3323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FAEA405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lesión que ya se produjo.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108503F0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probabilidad de que un peligro existente cause daño.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2D4255" w:rsidRPr="00B3323B" w:rsidRDefault="002D4255" w:rsidP="00A8123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2DF4A665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evento que origina la emergencia.</w:t>
            </w:r>
          </w:p>
        </w:tc>
        <w:tc>
          <w:tcPr>
            <w:tcW w:w="2160" w:type="dxa"/>
            <w:shd w:val="clear" w:color="auto" w:fill="FFFFFF"/>
          </w:tcPr>
          <w:p w14:paraId="7F26B264" w14:textId="6B9DAB86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B874DF6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elemento de protección que se utiliza.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45B06482" w14:textId="77777777" w:rsidTr="00DA7406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857A24E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Reconocer a tiempo esa probabilidad de daño hace posible establecer medidas de prevención, control y mitigación.</w:t>
            </w:r>
          </w:p>
        </w:tc>
      </w:tr>
      <w:tr w:rsidR="002D4255" w:rsidRPr="00B3323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695DA86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orden de preferencia para reducir el riesgo en la escena?</w:t>
            </w:r>
          </w:p>
        </w:tc>
      </w:tr>
      <w:tr w:rsidR="002D4255" w:rsidRPr="00B3323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E56BE83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Protegerse, pedir ayuda, señalizar y luego controlar la fuente.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2D4255" w:rsidRPr="00B3323B" w:rsidRDefault="002D4255" w:rsidP="002D42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6A8E047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Eliminar o controlar la fuente, delimitar y señalizar, protegerse y activar el sistema de emergencias.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2D4255" w:rsidRPr="00B3323B" w:rsidRDefault="002D4255" w:rsidP="00A8123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27DE8E2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Activar el sistema de emergencias y esperar en todos los casos.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D08D25B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Usar guantes antes de cualquier otra medida.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B063E04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Esa jerarquía evita que el uso de guantes sustituya, por ejemplo, la decisión de no entrar a un lugar con gas.</w:t>
            </w:r>
          </w:p>
        </w:tc>
      </w:tr>
      <w:tr w:rsidR="002D4255" w:rsidRPr="00B3323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EE7F92C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relación tienen los estilos de vida saludable con las emergencias?</w:t>
            </w:r>
          </w:p>
        </w:tc>
      </w:tr>
      <w:tr w:rsidR="002D4255" w:rsidRPr="00B3323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BFE34CF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Ninguna, son un asunto privado.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E3A9CE6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Condicionan la probabilidad de que ocurran, su gravedad y la velocidad de recuperación.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2D4255" w:rsidRPr="00B3323B" w:rsidRDefault="002D4255" w:rsidP="002D425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2D4255" w:rsidRPr="00B3323B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4521248F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Eliminan por completo los riesgos.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F52A70A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Sustituyen la atención médica.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3E8B61A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Por eso los estilos de vida hacen parte de la gestión del riesgo y de la preparación ante emergencias.</w:t>
            </w:r>
          </w:p>
        </w:tc>
      </w:tr>
      <w:tr w:rsidR="002D4255" w:rsidRPr="00B3323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2D4255" w:rsidRPr="00B3323B" w:rsidRDefault="002D4255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2D4255" w:rsidRPr="00B3323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B274092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¿En cuál entorno la prevención de lesiones depende por completo de la organización de la familia, porque no existe una norma que la obligue?</w:t>
            </w:r>
          </w:p>
        </w:tc>
      </w:tr>
      <w:tr w:rsidR="002D4255" w:rsidRPr="00B3323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01DDC5B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ámbito laboral.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2D4255" w:rsidRPr="00B3323B" w:rsidRDefault="002D4255" w:rsidP="002D425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34E836ED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vía pública.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2D4255" w:rsidRPr="00B3323B" w:rsidRDefault="002D4255" w:rsidP="002D425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DB72091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hogar.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2D4255" w:rsidRPr="00B3323B" w:rsidRDefault="002D4255" w:rsidP="00A81230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2D4255" w:rsidRPr="00B3323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29998E3" w:rsidR="002D4255" w:rsidRPr="00B3323B" w:rsidRDefault="00B12307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Los establecimientos de salud.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2D4255" w:rsidRPr="00B3323B" w:rsidRDefault="002D4255" w:rsidP="002D425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2D4255" w:rsidRPr="00B3323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1F4BC8B" w:rsidR="002D4255" w:rsidRPr="00B3323B" w:rsidRDefault="00B12307" w:rsidP="002D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En el trabajo rige el Decreto 1072 de 2015 y en la vía el Código Nacional de Tránsito, pero en el hogar la prevención depende de la familia.</w:t>
            </w:r>
          </w:p>
        </w:tc>
      </w:tr>
      <w:tr w:rsidR="002D4255" w:rsidRPr="00B3323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D4255" w:rsidRPr="00B3323B" w:rsidRDefault="002D4255" w:rsidP="002D4255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2D4255" w:rsidRPr="00B3323B" w:rsidRDefault="002D4255" w:rsidP="002D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B3323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3323B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E3CBAA6" w:rsidR="009921BA" w:rsidRPr="00B3323B" w:rsidRDefault="00B12307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Un brigadista recibe el aviso de una persona desmayada en el parqueadero de un centro comercial. ¿Cuál es la conducta correcta según las normas de seguridad?</w:t>
            </w:r>
          </w:p>
        </w:tc>
      </w:tr>
      <w:tr w:rsidR="00597DCD" w:rsidRPr="00B3323B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260AE79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Correr hacia la persona y atenderla de inmediato.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E2422F5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Verificar el tránsito, pedir que detengan los vehículos, colocarse los guantes y luego acercarse.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B3323B" w:rsidRDefault="00597DCD" w:rsidP="00A81230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597DCD" w:rsidRPr="00B3323B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6B4D117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Llamar a la familia antes de actuar.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832630C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Esperar a que la persona despierte por sí misma.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B3323B" w:rsidRDefault="00597DC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9921BA" w:rsidRPr="00B3323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B3323B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041AF48" w:rsidR="009921BA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Las normas de seguridad exigen una actuación estructurada, que anticipa los riesgos antes de acercarse al lesionado.</w:t>
            </w:r>
          </w:p>
        </w:tc>
      </w:tr>
      <w:tr w:rsidR="00F436F5" w:rsidRPr="00B3323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C17D441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¿Cuáles son los tres factores básicos para asegurar la escena?</w:t>
            </w:r>
          </w:p>
        </w:tc>
      </w:tr>
      <w:tr w:rsidR="00597DCD" w:rsidRPr="00B3323B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3D8AD61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Seguridad, escena y situación.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B3323B" w:rsidRDefault="00597DCD" w:rsidP="00A81230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597DCD" w:rsidRPr="00B3323B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A7929EE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Riesgo, incidente y daño.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4FFD448A" w:rsidR="00597DCD" w:rsidRPr="00B3323B" w:rsidRDefault="00A507AE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Guantes, gafas y chaleco.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41DA3C9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Policía, ambulancia y bomberos.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B3323B" w:rsidRDefault="00597DC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B3323B" w:rsidRDefault="00F436F5" w:rsidP="00777932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53B38B1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Esos factores responden si el lugar es seguro, qué revela el lugar sobre lo ocurrido y cuál es la situación que se enfrenta.</w:t>
            </w:r>
          </w:p>
        </w:tc>
      </w:tr>
      <w:tr w:rsidR="00F436F5" w:rsidRPr="00B3323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8AB1BC6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función de la señalización en la escena?</w:t>
            </w:r>
          </w:p>
        </w:tc>
      </w:tr>
      <w:tr w:rsidR="00597DCD" w:rsidRPr="00B3323B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2E5B3561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Curar las lesiones de la persona afectada.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C9B9721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Advertir, informar y orientar sobre la presencia de riesgos.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B3323B" w:rsidRDefault="00A4711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597DCD" w:rsidRPr="00B3323B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E0820BC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Sustituir la llamada al sistema de emergencias.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47A403C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Evaluar los signos vitales.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2B80BFC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La señalización alerta a terceros, delimita la zona de riesgo y mantiene el orden en el entorno.</w:t>
            </w:r>
          </w:p>
        </w:tc>
      </w:tr>
      <w:tr w:rsidR="00F436F5" w:rsidRPr="00B3323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05A42FD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distingue al balizaje de la señalización general?</w:t>
            </w:r>
          </w:p>
        </w:tc>
      </w:tr>
      <w:tr w:rsidR="00597DCD" w:rsidRPr="00B3323B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F6E7BDA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Solo se utiliza dentro de edificaciones.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5643BBB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Establece una barrera perceptible que delimita a distancia la zona de riesgo y regula el flujo de personas y vehículos.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B3323B" w:rsidRDefault="00597DCD" w:rsidP="00762AC0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597DCD" w:rsidRPr="00B3323B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9CE207E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Reemplaza los elementos de protección personal.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B3323B" w:rsidRDefault="00597DC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885542E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Lo realiza únicamente la policía de tránsito.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0AC2E2C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El balizaje tiene un carácter operativo, porque advierte a quienes todavía están lejos y reduce los incidentes secundarios.</w:t>
            </w:r>
          </w:p>
        </w:tc>
      </w:tr>
      <w:tr w:rsidR="00F436F5" w:rsidRPr="00B3323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B66195C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establece el principio de universalidad en bioseguridad?</w:t>
            </w:r>
          </w:p>
        </w:tc>
      </w:tr>
      <w:tr w:rsidR="00597DCD" w:rsidRPr="00B3323B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96E29FF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Toda persona se considera potencialmente portadora de agentes infecciosos.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B3323B" w:rsidRDefault="00597DCD" w:rsidP="00762AC0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597DCD" w:rsidRPr="00B3323B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B523875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Solo las personas con diagnóstico conocido representan riesgo.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B3323B" w:rsidRDefault="00597DC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41FD4FFD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Las medidas aplican únicamente en hospitales.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E33932E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riesgo depende de la apariencia de la persona.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F91C916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Este principio mantiene una conducta preventiva constante, sin importar la apariencia o el diagnóstico de la persona.</w:t>
            </w:r>
          </w:p>
        </w:tc>
      </w:tr>
      <w:tr w:rsidR="00F436F5" w:rsidRPr="00B3323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5C746052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¿Por qué importa el orden de colocación y retiro de los elementos de protección personal?</w:t>
            </w:r>
          </w:p>
        </w:tc>
      </w:tr>
      <w:tr w:rsidR="00597DCD" w:rsidRPr="00B3323B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062E108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Porque la mayoría de las exposiciones ocurren al retirar los guantes contaminados sin cuidado.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B3323B" w:rsidRDefault="00A4711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597DCD" w:rsidRPr="00B3323B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861B842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Porque así se ahorran elementos de protección.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20E5447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Porque lo exige el Código Nacional de Tránsito.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82236F0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Porque mejora la visibilidad en la escena.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02C70FD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Los elementos protegen solo si se colocan, se usan y se retiran de forma segura, y luego se disponen correctamente.</w:t>
            </w:r>
          </w:p>
        </w:tc>
      </w:tr>
      <w:tr w:rsidR="00F436F5" w:rsidRPr="00B3323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8D5E4FB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la técnica de bioseguridad más eficaz contra la transmisión de infecciones?</w:t>
            </w:r>
          </w:p>
        </w:tc>
      </w:tr>
      <w:tr w:rsidR="00597DCD" w:rsidRPr="00B3323B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D6BAA1C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higiene de manos antes y después de la atención.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B3323B" w:rsidRDefault="00597DCD" w:rsidP="00EF52F9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597DCD" w:rsidRPr="00B3323B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0B3B8974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uso de mascarilla en todos los casos.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3FB679A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La limpieza de la escena con agua.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B3323B" w:rsidRDefault="00597DC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CE57DFD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El uso de medicamentos del botiquín.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32F6259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La higiene de manos abre y cierra el proceso de atención, cuesta menos que cualquier equipo y falla solo cuando se omite.</w:t>
            </w:r>
          </w:p>
        </w:tc>
      </w:tr>
      <w:tr w:rsidR="00F436F5" w:rsidRPr="00B3323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B02053F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¿Cuándo ocurre el contacto indirecto con un agente biológico?</w:t>
            </w:r>
          </w:p>
        </w:tc>
      </w:tr>
      <w:tr w:rsidR="00597DCD" w:rsidRPr="00B3323B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6496333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Cuando hay contacto visual con la persona afectada.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6B921F6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Cuando se toca una superficie o un material contaminado.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B3323B" w:rsidRDefault="00A4711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597DCD" w:rsidRPr="00B3323B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1EA7258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Cuando se conversa con la persona afectada.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4CAB39C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Cuando se activa el sistema de emergencias.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350AA6D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Muchas infecciones se transmiten por objetos y superficies contaminadas, por eso es clave el manejo seguro de materiales.</w:t>
            </w:r>
          </w:p>
        </w:tc>
      </w:tr>
      <w:tr w:rsidR="00F436F5" w:rsidRPr="00B3323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40539CC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es el número único de emergencias que integra a la policía, las ambulancias y los bomberos en la mayoría de las ciudades del país?</w:t>
            </w:r>
          </w:p>
        </w:tc>
      </w:tr>
      <w:tr w:rsidR="00597DCD" w:rsidRPr="00B3323B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1BEB907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119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6F8A8FE2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125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8765AE9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123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B3323B" w:rsidRDefault="00A4711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X</w:t>
            </w:r>
          </w:p>
        </w:tc>
      </w:tr>
      <w:tr w:rsidR="00597DCD" w:rsidRPr="00B3323B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CCD18FB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911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A864032" w:rsidR="00F436F5" w:rsidRPr="00B3323B" w:rsidRDefault="00B12307" w:rsidP="00777932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La línea 123 activa a varios actores a la vez; el 125 y el 119 son líneas específicas que existen en algunas regiones.</w:t>
            </w:r>
          </w:p>
        </w:tc>
      </w:tr>
      <w:tr w:rsidR="00F436F5" w:rsidRPr="00B3323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B3323B" w:rsidRDefault="00A4711D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  <w:tr w:rsidR="00F436F5" w:rsidRPr="00B3323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3E26F14" w:rsidR="00F436F5" w:rsidRPr="00B3323B" w:rsidRDefault="00B12307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condiciones debe cumplir un botiquín para ser un recurso efectivo en la atención inicial?</w:t>
            </w:r>
          </w:p>
        </w:tc>
      </w:tr>
      <w:tr w:rsidR="00597DCD" w:rsidRPr="00B3323B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49F709C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Estar cerrado con llave en una oficina.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39450522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Estar accesible, organizado, conservado y completo.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B3323B" w:rsidRDefault="00597DCD" w:rsidP="00313FF4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color w:val="000000" w:themeColor="text1"/>
                <w:sz w:val="20"/>
              </w:rPr>
              <w:t>X</w:t>
            </w:r>
          </w:p>
        </w:tc>
      </w:tr>
      <w:tr w:rsidR="00597DCD" w:rsidRPr="00B3323B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A10B260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Contener medicamentos para cualquier situación.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B3323B" w:rsidRDefault="00597DCD" w:rsidP="00A4711D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597DCD" w:rsidRPr="00B3323B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B3323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14EA72B" w:rsidR="00597DCD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Guardarse únicamente en el hogar.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B3323B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</w:p>
        </w:tc>
      </w:tr>
      <w:tr w:rsidR="00F436F5" w:rsidRPr="00B3323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3B85FB9" w:rsidR="00F436F5" w:rsidRPr="00B3323B" w:rsidRDefault="00B12307" w:rsidP="00597DCD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¡Correcto! Un botiquín cerrado con llave, lejano o con elementos vencidos deja de ser un recurso y se convierte en una falsa seguridad.</w:t>
            </w:r>
          </w:p>
        </w:tc>
      </w:tr>
      <w:tr w:rsidR="00F436F5" w:rsidRPr="00B3323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B3323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000000" w:themeColor="text1"/>
                <w:sz w:val="20"/>
                <w:szCs w:val="20"/>
                <w:lang w:val="es-ES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B3323B" w:rsidRDefault="00F436F5" w:rsidP="00F436F5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3323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3323B" w:rsidRDefault="00B11CF2" w:rsidP="00B11CF2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MENSAJE FINAL ACTIVIDAD</w:t>
            </w:r>
          </w:p>
        </w:tc>
      </w:tr>
      <w:tr w:rsidR="00F436F5" w:rsidRPr="00B3323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3323B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5859453" w:rsidR="00F436F5" w:rsidRPr="00B3323B" w:rsidRDefault="00AE17C0" w:rsidP="00AE1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¡Felicitaciones! Se ha superado el 70 % de la actividad</w:t>
            </w:r>
            <w:r w:rsidR="009558CA" w:rsidRPr="00B3323B">
              <w:rPr>
                <w:rFonts w:eastAsia="Calibri"/>
                <w:color w:val="000000" w:themeColor="text1"/>
                <w:sz w:val="20"/>
                <w:szCs w:val="20"/>
              </w:rPr>
              <w:t xml:space="preserve">. </w:t>
            </w:r>
            <w:r w:rsidRPr="00B3323B">
              <w:rPr>
                <w:rFonts w:eastAsia="Calibri"/>
                <w:color w:val="000000" w:themeColor="text1"/>
                <w:sz w:val="20"/>
                <w:szCs w:val="20"/>
              </w:rPr>
              <w:t>Este resultado evidencia una adecuada comprensión de los fundamentos de la atención inicial y el control de riesgos. Se recomienda continuar fortaleciendo los conocimientos para alcanzar un desempeño aún más sólido.</w:t>
            </w:r>
          </w:p>
        </w:tc>
      </w:tr>
      <w:tr w:rsidR="00F436F5" w:rsidRPr="00B3323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3323B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3323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B3323B" w:rsidRDefault="00DD0985">
      <w:pPr>
        <w:rPr>
          <w:color w:val="000000" w:themeColor="text1"/>
          <w:sz w:val="20"/>
          <w:szCs w:val="20"/>
          <w:lang w:val="es-ES"/>
        </w:rPr>
      </w:pPr>
    </w:p>
    <w:p w14:paraId="11DF1EAE" w14:textId="77777777" w:rsidR="00DD0985" w:rsidRPr="00B3323B" w:rsidRDefault="00DD0985">
      <w:pPr>
        <w:rPr>
          <w:color w:val="000000" w:themeColor="text1"/>
          <w:sz w:val="20"/>
          <w:szCs w:val="20"/>
          <w:lang w:val="es-ES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B3323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3323B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CONTROL DE REVISIÓN</w:t>
            </w:r>
          </w:p>
        </w:tc>
      </w:tr>
      <w:tr w:rsidR="00C57B0F" w:rsidRPr="00B3323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3323B" w:rsidRDefault="00C57B0F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3323B" w:rsidRDefault="006F219D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3323B" w:rsidRDefault="006F219D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Fecha</w:t>
            </w:r>
          </w:p>
        </w:tc>
      </w:tr>
      <w:tr w:rsidR="00A9514B" w:rsidRPr="00B3323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B3323B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 xml:space="preserve">Revisión </w:t>
            </w:r>
            <w:r w:rsidR="005241C7"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B3323B" w:rsidRDefault="00A4711D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 xml:space="preserve">Laura Briguitte Perea </w:t>
            </w:r>
            <w:proofErr w:type="spellStart"/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Possos</w:t>
            </w:r>
            <w:proofErr w:type="spellEnd"/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CEF34F0" w:rsidR="00A9514B" w:rsidRPr="00B3323B" w:rsidRDefault="00EB0742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Abril</w:t>
            </w:r>
            <w:r w:rsidR="00A4711D"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 xml:space="preserve"> de 2026</w:t>
            </w:r>
          </w:p>
        </w:tc>
      </w:tr>
      <w:tr w:rsidR="00C0495F" w:rsidRPr="00B3323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B3323B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 xml:space="preserve">Revisión </w:t>
            </w:r>
            <w:r w:rsidR="00C85661"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Evaluador</w:t>
            </w:r>
            <w:r w:rsidR="008E1685"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a</w:t>
            </w:r>
            <w:r w:rsidR="00C85661"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 xml:space="preserve"> i</w:t>
            </w:r>
            <w:r w:rsidR="005D6C01"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A489CBC" w:rsidR="00C0495F" w:rsidRPr="00B3323B" w:rsidRDefault="009558CA" w:rsidP="00736566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670C4A1" w:rsidR="00C0495F" w:rsidRPr="00B3323B" w:rsidRDefault="009558CA" w:rsidP="00736566">
            <w:pPr>
              <w:widowControl w:val="0"/>
              <w:spacing w:line="240" w:lineRule="auto"/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</w:pPr>
            <w:r w:rsidRPr="00B3323B">
              <w:rPr>
                <w:rFonts w:eastAsia="Calibri"/>
                <w:b/>
                <w:color w:val="7F7F7F" w:themeColor="text1" w:themeTint="80"/>
                <w:sz w:val="20"/>
                <w:szCs w:val="20"/>
                <w:lang w:val="es-ES"/>
              </w:rPr>
              <w:t>Septiembre de 2026</w:t>
            </w:r>
          </w:p>
        </w:tc>
      </w:tr>
    </w:tbl>
    <w:p w14:paraId="12496B24" w14:textId="77777777" w:rsidR="00C57B0F" w:rsidRPr="00B3323B" w:rsidRDefault="00C57B0F">
      <w:pPr>
        <w:rPr>
          <w:color w:val="000000" w:themeColor="text1"/>
          <w:sz w:val="20"/>
          <w:szCs w:val="20"/>
          <w:lang w:val="es-ES"/>
        </w:rPr>
      </w:pPr>
    </w:p>
    <w:sectPr w:rsidR="00C57B0F" w:rsidRPr="00B3323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D9890" w14:textId="77777777" w:rsidR="00980065" w:rsidRDefault="00980065">
      <w:pPr>
        <w:spacing w:line="240" w:lineRule="auto"/>
      </w:pPr>
      <w:r>
        <w:separator/>
      </w:r>
    </w:p>
  </w:endnote>
  <w:endnote w:type="continuationSeparator" w:id="0">
    <w:p w14:paraId="45393A2B" w14:textId="77777777" w:rsidR="00980065" w:rsidRDefault="009800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CF20C" w14:textId="77777777" w:rsidR="00980065" w:rsidRDefault="00980065">
      <w:pPr>
        <w:spacing w:line="240" w:lineRule="auto"/>
      </w:pPr>
      <w:r>
        <w:separator/>
      </w:r>
    </w:p>
  </w:footnote>
  <w:footnote w:type="continuationSeparator" w:id="0">
    <w:p w14:paraId="2D837A77" w14:textId="77777777" w:rsidR="00980065" w:rsidRDefault="009800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317E3"/>
    <w:rsid w:val="000713AC"/>
    <w:rsid w:val="00075BDE"/>
    <w:rsid w:val="0009090B"/>
    <w:rsid w:val="000C68FF"/>
    <w:rsid w:val="000C6C06"/>
    <w:rsid w:val="000D382B"/>
    <w:rsid w:val="000D6787"/>
    <w:rsid w:val="000E3ADC"/>
    <w:rsid w:val="000E71BD"/>
    <w:rsid w:val="000F0EFA"/>
    <w:rsid w:val="000F2C06"/>
    <w:rsid w:val="000F39CD"/>
    <w:rsid w:val="000F4AE3"/>
    <w:rsid w:val="00137F75"/>
    <w:rsid w:val="001752DE"/>
    <w:rsid w:val="0018141D"/>
    <w:rsid w:val="0018472E"/>
    <w:rsid w:val="001A7F45"/>
    <w:rsid w:val="001B5182"/>
    <w:rsid w:val="001B5CD5"/>
    <w:rsid w:val="001C2159"/>
    <w:rsid w:val="001D65D0"/>
    <w:rsid w:val="001F0B68"/>
    <w:rsid w:val="00230CDA"/>
    <w:rsid w:val="00237367"/>
    <w:rsid w:val="00280A13"/>
    <w:rsid w:val="00291EB7"/>
    <w:rsid w:val="002C312D"/>
    <w:rsid w:val="002C72F8"/>
    <w:rsid w:val="002D3052"/>
    <w:rsid w:val="002D4255"/>
    <w:rsid w:val="002E46FB"/>
    <w:rsid w:val="00312CA0"/>
    <w:rsid w:val="00313FF4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A5831"/>
    <w:rsid w:val="003F50F3"/>
    <w:rsid w:val="00407479"/>
    <w:rsid w:val="00442D34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6F4A9C"/>
    <w:rsid w:val="00701B54"/>
    <w:rsid w:val="00717201"/>
    <w:rsid w:val="007259E8"/>
    <w:rsid w:val="00725E57"/>
    <w:rsid w:val="00736566"/>
    <w:rsid w:val="00753C6A"/>
    <w:rsid w:val="0075648A"/>
    <w:rsid w:val="00762AC0"/>
    <w:rsid w:val="00763ED4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4A68"/>
    <w:rsid w:val="008E1685"/>
    <w:rsid w:val="008E2C44"/>
    <w:rsid w:val="008E6807"/>
    <w:rsid w:val="008F7BC0"/>
    <w:rsid w:val="00902CCE"/>
    <w:rsid w:val="00917B02"/>
    <w:rsid w:val="009558CA"/>
    <w:rsid w:val="00963ED9"/>
    <w:rsid w:val="00966C0B"/>
    <w:rsid w:val="00980065"/>
    <w:rsid w:val="00986BBA"/>
    <w:rsid w:val="009921BA"/>
    <w:rsid w:val="00996CB7"/>
    <w:rsid w:val="009A36D1"/>
    <w:rsid w:val="009B224D"/>
    <w:rsid w:val="009C2A48"/>
    <w:rsid w:val="009D1BF1"/>
    <w:rsid w:val="009D37F0"/>
    <w:rsid w:val="009F2B84"/>
    <w:rsid w:val="009F77A1"/>
    <w:rsid w:val="00A10B03"/>
    <w:rsid w:val="00A164C7"/>
    <w:rsid w:val="00A4711D"/>
    <w:rsid w:val="00A507AE"/>
    <w:rsid w:val="00A50801"/>
    <w:rsid w:val="00A81230"/>
    <w:rsid w:val="00A92AA0"/>
    <w:rsid w:val="00A94CDC"/>
    <w:rsid w:val="00A9514B"/>
    <w:rsid w:val="00A97C31"/>
    <w:rsid w:val="00AD2166"/>
    <w:rsid w:val="00AD367E"/>
    <w:rsid w:val="00AE17C0"/>
    <w:rsid w:val="00AF040D"/>
    <w:rsid w:val="00AF69DD"/>
    <w:rsid w:val="00B00A40"/>
    <w:rsid w:val="00B02B81"/>
    <w:rsid w:val="00B11CF2"/>
    <w:rsid w:val="00B12307"/>
    <w:rsid w:val="00B3090D"/>
    <w:rsid w:val="00B3323B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DC3"/>
    <w:rsid w:val="00CB0E87"/>
    <w:rsid w:val="00CD3981"/>
    <w:rsid w:val="00CE649B"/>
    <w:rsid w:val="00CF6CED"/>
    <w:rsid w:val="00D154B7"/>
    <w:rsid w:val="00D15EFF"/>
    <w:rsid w:val="00D16CEB"/>
    <w:rsid w:val="00D24F4E"/>
    <w:rsid w:val="00D64613"/>
    <w:rsid w:val="00D72069"/>
    <w:rsid w:val="00D87694"/>
    <w:rsid w:val="00D9536A"/>
    <w:rsid w:val="00D96770"/>
    <w:rsid w:val="00DA7406"/>
    <w:rsid w:val="00DB11D1"/>
    <w:rsid w:val="00DD0985"/>
    <w:rsid w:val="00E23F58"/>
    <w:rsid w:val="00E26DED"/>
    <w:rsid w:val="00E53E0B"/>
    <w:rsid w:val="00E60A51"/>
    <w:rsid w:val="00E8117C"/>
    <w:rsid w:val="00E94CE5"/>
    <w:rsid w:val="00EA1809"/>
    <w:rsid w:val="00EA4920"/>
    <w:rsid w:val="00EB0742"/>
    <w:rsid w:val="00ED3B41"/>
    <w:rsid w:val="00EE5AAE"/>
    <w:rsid w:val="00EE72A9"/>
    <w:rsid w:val="00EF4D36"/>
    <w:rsid w:val="00EF52F9"/>
    <w:rsid w:val="00F03327"/>
    <w:rsid w:val="00F22708"/>
    <w:rsid w:val="00F321DB"/>
    <w:rsid w:val="00F34819"/>
    <w:rsid w:val="00F436F5"/>
    <w:rsid w:val="00F44480"/>
    <w:rsid w:val="00F52AA1"/>
    <w:rsid w:val="00F57459"/>
    <w:rsid w:val="00F65FAD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69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D87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CD075-50FA-4BAE-9DC8-CB3FE8863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2137</Words>
  <Characters>11887</Characters>
  <Application>Microsoft Office Word</Application>
  <DocSecurity>0</DocSecurity>
  <Lines>516</Lines>
  <Paragraphs>389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24</cp:revision>
  <dcterms:created xsi:type="dcterms:W3CDTF">2026-02-06T13:34:00Z</dcterms:created>
  <dcterms:modified xsi:type="dcterms:W3CDTF">2026-09-19T20:54:00Z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