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936D96E" w:rsidR="00B24FAF" w:rsidRPr="002B2F46" w:rsidRDefault="00FC30BD" w:rsidP="00B24FAF">
            <w:pPr>
              <w:spacing w:line="240" w:lineRule="auto"/>
              <w:rPr>
                <w:lang w:val="es-CO"/>
              </w:rPr>
            </w:pPr>
            <w:r w:rsidRPr="00FC30BD">
              <w:rPr>
                <w:lang w:val="es-CO"/>
              </w:rPr>
              <w:t>principios generales de movilización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698B2CD" w:rsidR="00B24FAF" w:rsidRPr="002B2F46" w:rsidRDefault="00B24FAF" w:rsidP="007F6D10">
            <w:pPr>
              <w:spacing w:line="240" w:lineRule="auto"/>
              <w:rPr>
                <w:lang w:val="es-CO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 xml:space="preserve"> que</w:t>
            </w:r>
            <w:r w:rsidR="002B2F46">
              <w:rPr>
                <w:bCs/>
                <w:color w:val="000000"/>
                <w:lang w:val="es-CO"/>
              </w:rPr>
              <w:t xml:space="preserve"> </w:t>
            </w:r>
            <w:r w:rsidR="007F6D10">
              <w:rPr>
                <w:bCs/>
                <w:color w:val="000000"/>
                <w:lang w:val="es-CO"/>
              </w:rPr>
              <w:t xml:space="preserve">describe </w:t>
            </w:r>
            <w:r w:rsidR="006A6ACB">
              <w:rPr>
                <w:bCs/>
                <w:color w:val="000000"/>
                <w:lang w:val="es-CO"/>
              </w:rPr>
              <w:t xml:space="preserve">los </w:t>
            </w:r>
            <w:r w:rsidR="00FC30BD" w:rsidRPr="00FC30BD">
              <w:rPr>
                <w:bCs/>
                <w:color w:val="000000"/>
                <w:lang w:val="es-CO"/>
              </w:rPr>
              <w:t>principios generales de movilización</w:t>
            </w:r>
            <w:r w:rsidR="00890BC2">
              <w:rPr>
                <w:bCs/>
                <w:color w:val="000000"/>
                <w:lang w:val="es-CO"/>
              </w:rPr>
              <w:t>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86DFFE" w14:textId="77777777" w:rsidR="00FC30BD" w:rsidRPr="00FC30BD" w:rsidRDefault="00FC30BD" w:rsidP="00FC30BD">
            <w:pPr>
              <w:rPr>
                <w:color w:val="000000" w:themeColor="text1"/>
              </w:rPr>
            </w:pPr>
            <w:r w:rsidRPr="00FC30BD">
              <w:rPr>
                <w:color w:val="000000" w:themeColor="text1"/>
              </w:rPr>
              <w:t>Los principios generales de movilización constituyen la base para trasladar a un paciente de manera segura, minimizando riesgos tanto para la persona lesionada como para el auxiliador. En cualquier situación de primeros auxilios, es fundamental mantener la alineación de la cabeza, cuello y tronco, sobre todo cuando se sospecha trauma en la columna vertebral, evitando movimientos bruscos que puedan agravar lesiones exi</w:t>
            </w:r>
            <w:bookmarkStart w:id="0" w:name="_GoBack"/>
            <w:bookmarkEnd w:id="0"/>
            <w:r w:rsidRPr="00FC30BD">
              <w:rPr>
                <w:color w:val="000000" w:themeColor="text1"/>
              </w:rPr>
              <w:t>stentes.</w:t>
            </w:r>
          </w:p>
          <w:p w14:paraId="654BE3AB" w14:textId="77777777" w:rsidR="00FC30BD" w:rsidRPr="00FC30BD" w:rsidRDefault="00FC30BD" w:rsidP="00FC30BD">
            <w:pPr>
              <w:rPr>
                <w:color w:val="000000" w:themeColor="text1"/>
              </w:rPr>
            </w:pPr>
          </w:p>
          <w:p w14:paraId="2B6A1381" w14:textId="4B28D6A4" w:rsidR="00FC30BD" w:rsidRPr="00FC30BD" w:rsidRDefault="00FC30BD" w:rsidP="00FC30BD">
            <w:pPr>
              <w:rPr>
                <w:color w:val="000000" w:themeColor="text1"/>
              </w:rPr>
            </w:pPr>
            <w:r w:rsidRPr="00FC30BD">
              <w:rPr>
                <w:color w:val="000000" w:themeColor="text1"/>
              </w:rPr>
              <w:t xml:space="preserve">Se recomienda utilizar la fuerza de las piernas y no </w:t>
            </w:r>
            <w:r w:rsidRPr="00FC30BD">
              <w:rPr>
                <w:color w:val="000000" w:themeColor="text1"/>
              </w:rPr>
              <w:t>dé</w:t>
            </w:r>
            <w:r w:rsidRPr="00FC30BD">
              <w:rPr>
                <w:color w:val="000000" w:themeColor="text1"/>
              </w:rPr>
              <w:t xml:space="preserve"> la espalda para mover al paciente, protegiendo al auxiliador de posibles lesiones. Cuando intervienen dos o más personas, la coordinación es clave: los movimientos deben ser simultáneos y organizados, siguiendo una secuencia clara para mantener estabilidad y seguridad. Además, siempre que el paciente esté consciente, es importante explicar cada paso del traslado, lo que contribuye a reducir la ansiedad, facilitar la colaboración y asegurar que la persona comprenda lo que está ocurriendo.</w:t>
            </w:r>
          </w:p>
          <w:p w14:paraId="1F7B036C" w14:textId="77777777" w:rsidR="00FC30BD" w:rsidRPr="00FC30BD" w:rsidRDefault="00FC30BD" w:rsidP="00FC30BD">
            <w:pPr>
              <w:rPr>
                <w:color w:val="000000" w:themeColor="text1"/>
              </w:rPr>
            </w:pPr>
          </w:p>
          <w:p w14:paraId="1BB597C1" w14:textId="4D3F0B9E" w:rsidR="00C02521" w:rsidRPr="00CE5CE3" w:rsidRDefault="00FC30BD" w:rsidP="00FC30BD">
            <w:pPr>
              <w:pStyle w:val="Normal0"/>
            </w:pPr>
            <w:r w:rsidRPr="00FC30BD">
              <w:rPr>
                <w:color w:val="000000" w:themeColor="text1"/>
              </w:rPr>
              <w:t>Durante todo el proceso, se debe vigilar continuamente los signos vitales antes, durante y después del traslado, permitiendo detectar cualquier cambio en el estado del paciente y reaccionar oportunamente. La aplicación consistente de estos lineamientos disminuye el riesgo de lesiones secundarias, garantiza una movilización eficiente y prepara al primer respondiente para enfrentar situaciones de emergencia con seguridad y confianza.</w:t>
            </w: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FCF24" w14:textId="77777777" w:rsidR="004C4C44" w:rsidRDefault="004C4C44">
      <w:pPr>
        <w:spacing w:line="240" w:lineRule="auto"/>
      </w:pPr>
      <w:r>
        <w:separator/>
      </w:r>
    </w:p>
  </w:endnote>
  <w:endnote w:type="continuationSeparator" w:id="0">
    <w:p w14:paraId="2B04227D" w14:textId="77777777" w:rsidR="004C4C44" w:rsidRDefault="004C4C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6E288" w14:textId="77777777" w:rsidR="004C4C44" w:rsidRDefault="004C4C44">
      <w:pPr>
        <w:spacing w:line="240" w:lineRule="auto"/>
      </w:pPr>
      <w:r>
        <w:separator/>
      </w:r>
    </w:p>
  </w:footnote>
  <w:footnote w:type="continuationSeparator" w:id="0">
    <w:p w14:paraId="63BDBFF4" w14:textId="77777777" w:rsidR="004C4C44" w:rsidRDefault="004C4C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B4E56"/>
    <w:multiLevelType w:val="hybridMultilevel"/>
    <w:tmpl w:val="03E0E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101815"/>
    <w:rsid w:val="00106788"/>
    <w:rsid w:val="001067F3"/>
    <w:rsid w:val="00172F64"/>
    <w:rsid w:val="00174BFF"/>
    <w:rsid w:val="00176028"/>
    <w:rsid w:val="001A0645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822E3"/>
    <w:rsid w:val="004C3522"/>
    <w:rsid w:val="004C4C44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A6ACB"/>
    <w:rsid w:val="006D62DD"/>
    <w:rsid w:val="006D65AB"/>
    <w:rsid w:val="006F6F84"/>
    <w:rsid w:val="00750711"/>
    <w:rsid w:val="00770190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5762A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29E4"/>
    <w:rsid w:val="00EA707E"/>
    <w:rsid w:val="00EC787E"/>
    <w:rsid w:val="00ED4491"/>
    <w:rsid w:val="00EE5A8A"/>
    <w:rsid w:val="00F140D5"/>
    <w:rsid w:val="00F279A8"/>
    <w:rsid w:val="00F729CA"/>
    <w:rsid w:val="00F7392C"/>
    <w:rsid w:val="00FA7350"/>
    <w:rsid w:val="00FB29D7"/>
    <w:rsid w:val="00FC30BD"/>
    <w:rsid w:val="00FE7D8B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DC8ABB-E873-4BA8-A44F-B8E86357D8E5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Viviana Herrera</cp:lastModifiedBy>
  <cp:revision>3</cp:revision>
  <dcterms:created xsi:type="dcterms:W3CDTF">2026-02-26T03:26:00Z</dcterms:created>
  <dcterms:modified xsi:type="dcterms:W3CDTF">2026-03-03T15:59:00Z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