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B0E87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CB0E87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699A3AAB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AF6087" w:rsidRPr="00AF6087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Atención intersectorial y restablecimiento de derechos</w:t>
            </w:r>
          </w:p>
          <w:p w14:paraId="3FEF5E62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CB0E87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CB0E87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B0E87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FDD5CD3" w:rsidR="00F70AE9" w:rsidRPr="00CB0E87" w:rsidRDefault="00AF6087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6087">
              <w:rPr>
                <w:rFonts w:eastAsia="Calibri"/>
                <w:color w:val="auto"/>
                <w:sz w:val="20"/>
                <w:szCs w:val="20"/>
                <w:lang w:val="es-CO"/>
              </w:rPr>
              <w:t>Atención intersectorial y restablecimiento de derechos</w:t>
            </w: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79E8450" w:rsidR="00F70AE9" w:rsidRPr="00CB0E87" w:rsidRDefault="003031C0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F7537">
              <w:rPr>
                <w:color w:val="000000" w:themeColor="text1"/>
                <w:sz w:val="20"/>
                <w:szCs w:val="20"/>
                <w:lang w:val="es-ES"/>
              </w:rPr>
              <w:t>Evaluar la comprensión de los lineamientos técnicos, clínicos y normativos que orientan la atención integral e intersectorial en salud a víctimas de violencias sexuales, de acuerdo con la normativa colombiana vigente.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CB0E87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CB0E87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CB0E87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B0E87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60A51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E60A51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8191531" w:rsidR="00C57B0F" w:rsidRPr="00861F05" w:rsidRDefault="00AF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F6087">
              <w:rPr>
                <w:b/>
                <w:bCs/>
                <w:color w:val="000000" w:themeColor="text1"/>
                <w:sz w:val="20"/>
                <w:szCs w:val="20"/>
              </w:rPr>
              <w:t>La profilaxis postexposición para VIH en víctimas de violencia sexual debe iniciarse preferiblemente dentro de las primeras:</w:t>
            </w:r>
          </w:p>
        </w:tc>
        <w:tc>
          <w:tcPr>
            <w:tcW w:w="2160" w:type="dxa"/>
          </w:tcPr>
          <w:p w14:paraId="7F132666" w14:textId="7E61C829" w:rsidR="00C57B0F" w:rsidRPr="00CB0E87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CB0E87">
              <w:rPr>
                <w:rFonts w:eastAsia="Calibr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9A98A06" w:rsidR="00C57B0F" w:rsidRPr="00861F05" w:rsidRDefault="00AF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24 horas</w:t>
            </w:r>
            <w:r w:rsidR="00F4428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861F05" w:rsidRDefault="00C57B0F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60A51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28210995" w:rsidR="00C57B0F" w:rsidRPr="00861F05" w:rsidRDefault="00AF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48 horas</w:t>
            </w:r>
            <w:r w:rsidR="00F4428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3C24591" w:rsidR="00C57B0F" w:rsidRPr="00861F05" w:rsidRDefault="00C57B0F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16796735" w:rsidR="00E60A51" w:rsidRPr="00861F05" w:rsidRDefault="00AF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72 horas</w:t>
            </w:r>
            <w:r w:rsidR="00F4428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22D9B788" w:rsidR="00E60A51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E60A51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A791A12" w:rsidR="00E60A51" w:rsidRPr="00861F05" w:rsidRDefault="00AF60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96 horas</w:t>
            </w:r>
            <w:r w:rsidR="00F4428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861F05" w:rsidRDefault="00E60A51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E3215BD" w:rsidR="00E60A51" w:rsidRPr="00E60A51" w:rsidRDefault="003031C0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auto"/>
                <w:sz w:val="20"/>
                <w:szCs w:val="20"/>
              </w:rPr>
              <w:t>Correcto. La profilaxis postexposición para VIH debe iniciarse dentro de las primeras 72 horas para garantizar su efectividad.</w:t>
            </w:r>
          </w:p>
        </w:tc>
      </w:tr>
      <w:tr w:rsidR="00E60A51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E60A51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D523BD6" w:rsidR="00F436F5" w:rsidRPr="00861F05" w:rsidRDefault="00AF6087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F6087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principal criterio para la indicación de anticoncepción de emergencia en casos de violencia sexual?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2E9F8C3" w:rsidR="00E60A51" w:rsidRPr="00861F05" w:rsidRDefault="00AF6087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La confirmación del delito</w:t>
            </w:r>
            <w:r w:rsidR="00F4428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861F05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04F90A9D" w:rsidR="00E60A51" w:rsidRPr="00861F05" w:rsidRDefault="00AF6087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El riesgo de embarazo</w:t>
            </w:r>
            <w:r w:rsidR="00F4428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5202D510" w:rsidR="00E60A51" w:rsidRPr="00861F05" w:rsidRDefault="00861F05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6118DE3C" w:rsidR="00E60A51" w:rsidRPr="00861F05" w:rsidRDefault="00AF6087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La autorización judicial</w:t>
            </w:r>
            <w:r w:rsidR="00F4428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77777777" w:rsidR="00E60A51" w:rsidRPr="00861F05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E60A51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0A8B64CF" w14:textId="12127C4A" w:rsidR="00E60A51" w:rsidRPr="00861F05" w:rsidRDefault="00AF6087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La edad de la víctima</w:t>
            </w:r>
            <w:r w:rsidR="00F4428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E60A51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436F5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C4C15EC" w:rsidR="00F436F5" w:rsidRPr="00CB0E87" w:rsidRDefault="003031C0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auto"/>
                <w:sz w:val="20"/>
                <w:szCs w:val="20"/>
              </w:rPr>
              <w:t>Muy bien. El riesgo de embarazo es el criterio clínico principal para indicar anticoncepción de emergencia.</w:t>
            </w:r>
          </w:p>
        </w:tc>
      </w:tr>
      <w:tr w:rsidR="00F436F5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F436F5" w:rsidRPr="00A4711D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0BD917C" w:rsidR="00F436F5" w:rsidRPr="00AF6087" w:rsidRDefault="00AF6087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anticoncepción de emergencia mantiene efectividad hasta un máximo de: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F190FEE" w:rsidR="00597DCD" w:rsidRPr="00861F05" w:rsidRDefault="00AF608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120 horas</w:t>
            </w:r>
            <w:r w:rsidR="00E50F3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51F9CEE4" w:rsidR="00597DCD" w:rsidRPr="00E60A51" w:rsidRDefault="00AF6087" w:rsidP="00AF608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F84F0C8" w:rsidR="00597DCD" w:rsidRPr="00861F05" w:rsidRDefault="00AF608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7</w:t>
            </w: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2 horas</w:t>
            </w:r>
            <w:r w:rsidR="00E50F3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597DCD" w:rsidRPr="00E60A51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14:paraId="235912FA" w14:textId="6A1601E5" w:rsidR="00597DCD" w:rsidRPr="00861F05" w:rsidRDefault="00AF608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96</w:t>
            </w: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 xml:space="preserve"> horas</w:t>
            </w:r>
            <w:r w:rsidR="00E50F3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B39C562" w14:textId="77777777" w:rsidR="00597DCD" w:rsidRPr="00E60A51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95394D7" w:rsidR="00597DCD" w:rsidRPr="00861F05" w:rsidRDefault="00AF608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48 horas</w:t>
            </w:r>
            <w:r w:rsidR="00E50F33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6339429F" w:rsidR="00597DCD" w:rsidRPr="00E60A51" w:rsidRDefault="00597DCD" w:rsidP="00861F0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9A6B66E" w:rsidR="00F436F5" w:rsidRPr="00CB0E87" w:rsidRDefault="003031C0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auto"/>
                <w:sz w:val="20"/>
                <w:szCs w:val="20"/>
              </w:rPr>
              <w:t xml:space="preserve">Correcto. La anticoncepción de emergencia mantiene </w:t>
            </w:r>
            <w:r w:rsidR="00E50F33">
              <w:rPr>
                <w:rFonts w:eastAsia="Calibri"/>
                <w:bCs/>
                <w:color w:val="auto"/>
                <w:sz w:val="20"/>
                <w:szCs w:val="20"/>
              </w:rPr>
              <w:t xml:space="preserve">la </w:t>
            </w:r>
            <w:r w:rsidRPr="003031C0">
              <w:rPr>
                <w:rFonts w:eastAsia="Calibri"/>
                <w:bCs/>
                <w:color w:val="auto"/>
                <w:sz w:val="20"/>
                <w:szCs w:val="20"/>
              </w:rPr>
              <w:t>efectividad hasta un máximo de 120 horas posteriores al evento.</w:t>
            </w:r>
          </w:p>
        </w:tc>
      </w:tr>
      <w:tr w:rsidR="00F436F5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1C544CD" w14:textId="77777777" w:rsidR="00AF6087" w:rsidRPr="00AF6087" w:rsidRDefault="00AF6087" w:rsidP="00AF60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AF608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La interrupción voluntaria del embarazo (IVE) en casos de violencia sexual:</w:t>
            </w:r>
          </w:p>
          <w:p w14:paraId="4D6D2B7B" w14:textId="6E2F9072" w:rsidR="00F436F5" w:rsidRPr="00AF6087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US"/>
              </w:rPr>
            </w:pPr>
          </w:p>
        </w:tc>
      </w:tr>
      <w:tr w:rsidR="00597DCD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171ED6A" w:rsidR="00597DCD" w:rsidRPr="00861F05" w:rsidRDefault="00AF608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Es un derecho fundamental</w:t>
            </w:r>
            <w:r w:rsidR="0057248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6FB6C17" w:rsidR="00597DCD" w:rsidRPr="00861F05" w:rsidRDefault="00AF6087" w:rsidP="00AF608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AADBF51" w:rsidR="00597DCD" w:rsidRPr="00861F05" w:rsidRDefault="00AF608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Requiere denuncia penal previa</w:t>
            </w:r>
            <w:r w:rsidR="0057248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574BEE22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6916F06" w:rsidR="00597DCD" w:rsidRPr="00861F05" w:rsidRDefault="00AF608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Solo aplica para mayores de edad</w:t>
            </w:r>
            <w:r w:rsidR="0057248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45D28E6" w:rsidR="00597DCD" w:rsidRPr="00861F05" w:rsidRDefault="00AF608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Requiere autorización judicial</w:t>
            </w:r>
            <w:r w:rsidR="0057248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E60A51" w:rsidRDefault="00F436F5" w:rsidP="0077793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1944C03" w:rsidR="00F436F5" w:rsidRPr="00CB0E87" w:rsidRDefault="003031C0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auto"/>
                <w:sz w:val="20"/>
                <w:szCs w:val="20"/>
              </w:rPr>
              <w:t>Excelente. La IVE en casos de violencia sexual es un derecho fundamental y no requiere denuncia previa.</w:t>
            </w:r>
          </w:p>
        </w:tc>
      </w:tr>
      <w:tr w:rsidR="00F436F5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E7E63CF" w:rsidR="00F436F5" w:rsidRPr="00861F05" w:rsidRDefault="00AF6087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consentimiento informado para la IVE debe caracterizarse por ser:</w:t>
            </w:r>
          </w:p>
        </w:tc>
      </w:tr>
      <w:tr w:rsidR="00597DCD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3D7E0A9" w:rsidR="00597DCD" w:rsidRPr="00861F05" w:rsidRDefault="00AF608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Presunto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2E9CC03C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BD29673" w:rsidR="00597DCD" w:rsidRPr="00861F05" w:rsidRDefault="00AF608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D</w:t>
            </w: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elegado en terceros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68E2988F" w:rsidR="00597DCD" w:rsidRPr="00861F05" w:rsidRDefault="00AF608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Libre, voluntario e informado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4E87873A" w:rsidR="00597DCD" w:rsidRPr="00861F05" w:rsidRDefault="00AF6087" w:rsidP="00AF608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8039D89" w:rsidR="00597DCD" w:rsidRPr="00861F05" w:rsidRDefault="00AF608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Emitido únicamente por la familia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1C507DB" w:rsidR="00F436F5" w:rsidRPr="00CB0E87" w:rsidRDefault="003031C0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auto"/>
                <w:sz w:val="20"/>
                <w:szCs w:val="20"/>
              </w:rPr>
              <w:t>Muy bien. El consentimiento informado debe ser libre, voluntario e informado, respetando la autonomía de la víctima.</w:t>
            </w:r>
          </w:p>
        </w:tc>
      </w:tr>
      <w:tr w:rsidR="00F436F5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861F05" w:rsidRDefault="00F436F5" w:rsidP="00F436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61F05">
              <w:rPr>
                <w:rFonts w:eastAsia="Calibri"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4953B26" w:rsidR="00F436F5" w:rsidRPr="00861F05" w:rsidRDefault="00AF6087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NO constituye una barrera de acceso a la IVE?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DBF66B7" w:rsidR="00597DCD" w:rsidRPr="00861F05" w:rsidRDefault="00AF608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Exigencia de denuncia penal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2D43B11" w:rsidR="00597DCD" w:rsidRPr="00861F05" w:rsidRDefault="00AF6087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Objeción de conciencia institucional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656E8E30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2EAEB0B" w:rsidR="00597DCD" w:rsidRPr="00861F05" w:rsidRDefault="00AF6087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F6087">
              <w:rPr>
                <w:rFonts w:eastAsia="Calibri"/>
                <w:color w:val="000000" w:themeColor="text1"/>
                <w:sz w:val="20"/>
                <w:szCs w:val="20"/>
              </w:rPr>
              <w:t>Información clara y oportuna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5D51C05F" w:rsidR="00597DCD" w:rsidRPr="00861F05" w:rsidRDefault="00E03E9C" w:rsidP="00E03E9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947E61A" w:rsidR="00597DCD" w:rsidRPr="00861F05" w:rsidRDefault="00E03E9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Retrasos administrativos injustificados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990D811" w:rsidR="00F436F5" w:rsidRPr="00E60A51" w:rsidRDefault="003031C0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auto"/>
                <w:sz w:val="20"/>
                <w:szCs w:val="20"/>
              </w:rPr>
              <w:t>Correcto. La información clara y oportuna no constituye barrera, sino garantía de acceso al derecho.</w:t>
            </w:r>
          </w:p>
        </w:tc>
      </w:tr>
      <w:tr w:rsidR="00F436F5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0A59C407" w14:textId="77777777" w:rsidR="00E03E9C" w:rsidRPr="00E03E9C" w:rsidRDefault="00E03E9C" w:rsidP="00E03E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Los primeros auxilios psicológicos se caracterizan por ser:</w:t>
            </w:r>
          </w:p>
          <w:p w14:paraId="1AA9E5AB" w14:textId="27BCA02E" w:rsidR="00F436F5" w:rsidRPr="00E03E9C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</w:p>
        </w:tc>
      </w:tr>
      <w:tr w:rsidR="00597DCD" w:rsidRPr="00E60A51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6535CDE" w:rsidR="00597DCD" w:rsidRPr="00861F05" w:rsidRDefault="00E03E9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Psicoterapia especializada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597DCD" w:rsidRPr="00861F05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71EA05E" w:rsidR="00597DCD" w:rsidRPr="00E03E9C" w:rsidRDefault="00E03E9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E03E9C"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  <w:t>Intervención</w:t>
            </w:r>
            <w:proofErr w:type="spellEnd"/>
            <w:r w:rsidRPr="00E03E9C"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03E9C"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  <w:t>inmediata</w:t>
            </w:r>
            <w:proofErr w:type="spellEnd"/>
            <w:r w:rsidRPr="00E03E9C"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  <w:t xml:space="preserve"> y breve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6E46A793" w:rsidR="00597DCD" w:rsidRPr="00861F05" w:rsidRDefault="00E03E9C" w:rsidP="00E03E9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CFB0952" w:rsidR="00597DCD" w:rsidRPr="00861F05" w:rsidRDefault="00E03E9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Tratamiento farmacológico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3C784D9F" w:rsidR="00597DCD" w:rsidRPr="00861F05" w:rsidRDefault="00597DCD" w:rsidP="00861F0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5A15A17" w:rsidR="00597DCD" w:rsidRPr="00861F05" w:rsidRDefault="00E03E9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Valoración judicial</w:t>
            </w:r>
            <w:r w:rsidR="000941C4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597DCD" w:rsidRPr="00861F05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108C8BB" w:rsidR="00F436F5" w:rsidRPr="00CB0E87" w:rsidRDefault="003031C0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Muy bien. Los primeros auxilios psicológicos son una intervención inmediata y breve orientada a la estabilización emocional.</w:t>
            </w:r>
          </w:p>
        </w:tc>
      </w:tr>
      <w:tr w:rsidR="00F436F5" w:rsidRPr="00E60A51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EAE6009" w:rsidR="00F436F5" w:rsidRPr="00E03E9C" w:rsidRDefault="00E03E9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¿Cuál es un objetivo principal de los primeros auxilios psicológicos?</w:t>
            </w:r>
          </w:p>
        </w:tc>
      </w:tr>
      <w:tr w:rsidR="00597DCD" w:rsidRPr="00E60A51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722D45E" w:rsidR="00597DCD" w:rsidRPr="00A4711D" w:rsidRDefault="00E03E9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Reducir el impacto emocional inmediato</w:t>
            </w:r>
            <w:r w:rsidR="00D0536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47862821" w:rsidR="00597DCD" w:rsidRPr="00A4711D" w:rsidRDefault="00A4711D" w:rsidP="00A4711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4711D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E39D771" w:rsidR="00597DCD" w:rsidRPr="00A4711D" w:rsidRDefault="00E03E9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Obtener pruebas judiciales</w:t>
            </w:r>
            <w:r w:rsidR="00D0536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C0AD3DA" w:rsidR="00597DCD" w:rsidRPr="00A4711D" w:rsidRDefault="00E03E9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Profundizar en el relato del hecho</w:t>
            </w:r>
            <w:r w:rsidR="00D0536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lastRenderedPageBreak/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466E4F2D" w:rsidR="00597DCD" w:rsidRPr="00A4711D" w:rsidRDefault="00E03E9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Diagnosticar trastornos mentales</w:t>
            </w:r>
            <w:r w:rsidR="00D0536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7B192D8" w:rsidR="00F436F5" w:rsidRPr="00E60A51" w:rsidRDefault="003031C0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Uno de los objetivos principales es reducir el impacto emocional inmediato y brindar contención inicial.</w:t>
            </w:r>
          </w:p>
        </w:tc>
      </w:tr>
      <w:tr w:rsidR="00F436F5" w:rsidRPr="00E60A51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D6397DE" w:rsidR="00F436F5" w:rsidRPr="00A4711D" w:rsidRDefault="00E03E9C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valoración del riesgo de autoagresión debe realizarse:</w:t>
            </w:r>
          </w:p>
        </w:tc>
      </w:tr>
      <w:tr w:rsidR="00597DCD" w:rsidRPr="00E60A51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0E04A4A" w:rsidR="00597DCD" w:rsidRPr="00A4711D" w:rsidRDefault="00E03E9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Solo si la víctima lo solicita</w:t>
            </w:r>
            <w:r w:rsidR="00D0536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078EC3AA" w:rsidR="00597DCD" w:rsidRPr="00A4711D" w:rsidRDefault="00E03E9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Desde la atención inicial</w:t>
            </w:r>
            <w:r w:rsidR="00D0536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597DCD" w:rsidRPr="00A4711D" w:rsidRDefault="00A4711D" w:rsidP="00A4711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AF50EE0" w:rsidR="00597DCD" w:rsidRPr="00A4711D" w:rsidRDefault="00E03E9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Únicamente por psiquiatría</w:t>
            </w:r>
            <w:r w:rsidR="00D0536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648711A" w:rsidR="00597DCD" w:rsidRPr="00A4711D" w:rsidRDefault="00E03E9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Después del proceso judicial</w:t>
            </w:r>
            <w:r w:rsidR="00D05365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436F5" w:rsidRPr="00E60A51" w:rsidRDefault="00F436F5" w:rsidP="0077793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AD3B2CB" w:rsidR="00F436F5" w:rsidRPr="00E60A51" w:rsidRDefault="003031C0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Muy bien. La valoración del riesgo de autoagresión debe realizarse desde el primer momento de atención.</w:t>
            </w:r>
          </w:p>
        </w:tc>
      </w:tr>
      <w:tr w:rsidR="00F436F5" w:rsidRPr="00E60A51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F436F5" w:rsidRPr="00E60A51" w:rsidRDefault="00A4711D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7784FB6" w:rsidR="00F436F5" w:rsidRPr="00E03E9C" w:rsidRDefault="00E03E9C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remisión a atención especializada en salud mental está indicada cuando:</w:t>
            </w:r>
          </w:p>
        </w:tc>
      </w:tr>
      <w:tr w:rsidR="00597DCD" w:rsidRPr="00E60A51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3F8CCB5" w:rsidR="00597DCD" w:rsidRPr="00A4711D" w:rsidRDefault="00E03E9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La víctima no desea hablar</w:t>
            </w:r>
            <w:r w:rsidR="002B401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AD1FFF0" w:rsidR="00597DCD" w:rsidRPr="00A4711D" w:rsidRDefault="00E03E9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Existen síntomas persistentes o riesgo</w:t>
            </w:r>
            <w:r w:rsidR="002B401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2ABDE36B" w:rsidR="00597DCD" w:rsidRPr="00A4711D" w:rsidRDefault="00A4711D" w:rsidP="00A4711D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5547F45" w:rsidR="00597DCD" w:rsidRPr="00A4711D" w:rsidRDefault="00E03E9C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Se cierra el caso clínico</w:t>
            </w:r>
            <w:r w:rsidR="002B401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597DCD" w:rsidRPr="00A4711D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597DCD" w:rsidRPr="00E60A51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5A32EE4" w:rsidR="00597DCD" w:rsidRPr="00A4711D" w:rsidRDefault="00E03E9C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color w:val="000000" w:themeColor="text1"/>
                <w:sz w:val="20"/>
                <w:szCs w:val="20"/>
              </w:rPr>
              <w:t>Finaliza la atención inicial</w:t>
            </w:r>
            <w:r w:rsidR="002B4019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597DCD" w:rsidRPr="00A4711D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436F5" w:rsidRPr="00E60A51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49EE954" w:rsidR="00F436F5" w:rsidRPr="00E60A51" w:rsidRDefault="003031C0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La remisión especializada está indicada cuando existen síntomas persistentes o riesgo significativo.</w:t>
            </w:r>
          </w:p>
        </w:tc>
      </w:tr>
      <w:tr w:rsidR="00F436F5" w:rsidRPr="00E60A51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E60A51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F436F5" w:rsidRPr="00E60A51" w:rsidRDefault="00A4711D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4B494EB" w:rsidR="009921BA" w:rsidRPr="00A4711D" w:rsidRDefault="00E03E9C" w:rsidP="00DC691D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seguimiento clínico de la profilaxis incluye:</w:t>
            </w:r>
          </w:p>
        </w:tc>
      </w:tr>
      <w:tr w:rsidR="00597DCD" w:rsidRPr="00E60A51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B4E5F96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Solo la entrega del medicamento</w:t>
            </w:r>
            <w:r w:rsidR="00D96C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8B5F6F4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Exclusivamente pruebas de laboratorio</w:t>
            </w:r>
            <w:r w:rsidR="00D96C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7CFB30D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Únicamente atención inicial</w:t>
            </w:r>
            <w:r w:rsidR="00D96C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3614CD58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Control de adherencia y efectos adversos</w:t>
            </w:r>
            <w:r w:rsidR="00D96C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61013EA1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E60A51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013CDD6" w:rsidR="009921BA" w:rsidRPr="00E60A51" w:rsidRDefault="003031C0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Muy bien. El seguimiento clínico incluye control de adherencia al tratamiento y monitoreo de efectos adversos.</w:t>
            </w:r>
          </w:p>
        </w:tc>
      </w:tr>
      <w:tr w:rsidR="00F436F5" w:rsidRPr="00E60A51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6D0E764" w:rsidR="00F436F5" w:rsidRPr="00E03E9C" w:rsidRDefault="00E03E9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El registro en la historia clínica debe caracterizarse por ser:</w:t>
            </w:r>
          </w:p>
        </w:tc>
      </w:tr>
      <w:tr w:rsidR="00597DCD" w:rsidRPr="00E60A51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71677B8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Subjetivo y narrativo</w:t>
            </w:r>
            <w:r w:rsidR="00D96C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13FBA404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Breve y sin detalles</w:t>
            </w:r>
            <w:r w:rsidR="00D96C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7CFDC95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Orientado a la investigación penal</w:t>
            </w:r>
            <w:r w:rsidR="00D96C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C4E23A2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Objetivo, completo y confidencial</w:t>
            </w:r>
            <w:r w:rsidR="00D96C52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31346DE9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E60A51" w:rsidRDefault="00F436F5" w:rsidP="0077793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2B09C59" w:rsidR="00F436F5" w:rsidRPr="00E60A51" w:rsidRDefault="003031C0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El registro en historia clínica debe ser objetivo, completo y confidencial.</w:t>
            </w:r>
          </w:p>
        </w:tc>
      </w:tr>
      <w:tr w:rsidR="00F436F5" w:rsidRPr="00E60A51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DC5F0AD" w:rsidR="00F436F5" w:rsidRPr="00E03E9C" w:rsidRDefault="00E03E9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La notificación de violencias sexuales en SIVIGILA tiene como finalidad principal:</w:t>
            </w:r>
          </w:p>
        </w:tc>
      </w:tr>
      <w:tr w:rsidR="00597DCD" w:rsidRPr="00E60A51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2629B25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Judicializar el caso</w:t>
            </w:r>
            <w:r w:rsidR="003E596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BE6B27C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Vigilancia epidemiológica</w:t>
            </w:r>
            <w:r w:rsidR="003E596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3690BFE6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6B77C25" w:rsidR="00597DCD" w:rsidRPr="00E03E9C" w:rsidRDefault="00E03E9C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E03E9C">
              <w:rPr>
                <w:rFonts w:eastAsia="Calibri"/>
                <w:sz w:val="20"/>
                <w:szCs w:val="20"/>
                <w:lang w:val="en-US"/>
              </w:rPr>
              <w:t>Sancionar</w:t>
            </w:r>
            <w:proofErr w:type="spellEnd"/>
            <w:r w:rsidRPr="00E03E9C">
              <w:rPr>
                <w:rFonts w:eastAsia="Calibri"/>
                <w:sz w:val="20"/>
                <w:szCs w:val="20"/>
                <w:lang w:val="en-US"/>
              </w:rPr>
              <w:t xml:space="preserve"> al </w:t>
            </w:r>
            <w:r w:rsidR="003E596C">
              <w:rPr>
                <w:rFonts w:eastAsia="Calibri"/>
                <w:sz w:val="20"/>
                <w:szCs w:val="20"/>
                <w:lang w:val="en-US"/>
              </w:rPr>
              <w:t>aggressor.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82244A0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Reemplazar la denuncia penal</w:t>
            </w:r>
            <w:r w:rsidR="003E596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806F93B" w:rsidR="00F436F5" w:rsidRPr="00E60A51" w:rsidRDefault="003031C0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Muy bien. La notificación en SIVIGILA tiene como finalidad la vigilancia epidemiológica en </w:t>
            </w:r>
            <w:r w:rsidR="003E596C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la </w:t>
            </w: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salud pública.</w:t>
            </w:r>
          </w:p>
        </w:tc>
      </w:tr>
      <w:tr w:rsidR="00F436F5" w:rsidRPr="00E60A51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1821B3D" w:rsidR="00F436F5" w:rsidRPr="00E03E9C" w:rsidRDefault="00E03E9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El Registro Individual de Prestación de Servicios de Salud (RIPS) permite:</w:t>
            </w:r>
          </w:p>
        </w:tc>
      </w:tr>
      <w:tr w:rsidR="00597DCD" w:rsidRPr="00E60A51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E943A6E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Emitir conceptos forenses</w:t>
            </w:r>
            <w:r w:rsidR="003E596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7925A51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Sustituir la historia clínica</w:t>
            </w:r>
            <w:r w:rsidR="003E596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49F8C6D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Garantizar la trazabilidad administrativa</w:t>
            </w:r>
            <w:r w:rsidR="003E596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3821F075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67DAF182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Activar medidas judiciales</w:t>
            </w:r>
            <w:r w:rsidR="003E596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C717085" w:rsidR="00F436F5" w:rsidRPr="00E60A51" w:rsidRDefault="003031C0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El RIPS permite garantizar la trazabilidad administrativa de los servicios prestados.</w:t>
            </w:r>
          </w:p>
        </w:tc>
      </w:tr>
      <w:tr w:rsidR="00F436F5" w:rsidRPr="00E60A51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EC670B7" w:rsidR="00F436F5" w:rsidRPr="00A4711D" w:rsidRDefault="00E03E9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rol del sector salud en el abordaje forense se limita a:</w:t>
            </w:r>
          </w:p>
        </w:tc>
      </w:tr>
      <w:tr w:rsidR="00597DCD" w:rsidRPr="00E60A51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FD25806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Investigar el delito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1FB0FA4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Preservar y remitir evidencias</w:t>
            </w:r>
          </w:p>
        </w:tc>
        <w:tc>
          <w:tcPr>
            <w:tcW w:w="2160" w:type="dxa"/>
            <w:shd w:val="clear" w:color="auto" w:fill="FFFFFF"/>
          </w:tcPr>
          <w:p w14:paraId="6A31325A" w14:textId="590A60C6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B9BDDF0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Emitir dictámenes periciales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6879C01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Interrogar a la víctima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7C7988C" w:rsidR="00F436F5" w:rsidRPr="00E60A51" w:rsidRDefault="003031C0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Muy bien. El rol del sector salud incluye preservar y remitir adecuadamente las evidencias.</w:t>
            </w:r>
          </w:p>
        </w:tc>
      </w:tr>
      <w:tr w:rsidR="00F436F5" w:rsidRPr="00E60A51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D501A90" w:rsidR="00F436F5" w:rsidRPr="00E03E9C" w:rsidRDefault="00E03E9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La cadena de custodia busca garantizar:</w:t>
            </w:r>
          </w:p>
        </w:tc>
      </w:tr>
      <w:tr w:rsidR="00597DCD" w:rsidRPr="00E60A51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5569BB95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La integridad del material probatorio</w:t>
            </w:r>
            <w:r w:rsidR="009D53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77105813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544E2D3A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La confidencialidad clínica</w:t>
            </w:r>
            <w:r w:rsidR="009D53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629EBB3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La continuidad terapéutica</w:t>
            </w:r>
            <w:r w:rsidR="009D53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214425DE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La atención psicológica</w:t>
            </w:r>
            <w:r w:rsidR="009D53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5A486D8" w:rsidR="00F436F5" w:rsidRPr="00E60A51" w:rsidRDefault="003031C0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La cadena de custodia garantiza la integridad y autenticidad del material probatorio.</w:t>
            </w:r>
          </w:p>
        </w:tc>
      </w:tr>
      <w:tr w:rsidR="00F436F5" w:rsidRPr="00E60A51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703DB44" w:rsidR="00F436F5" w:rsidRPr="00A4711D" w:rsidRDefault="00E03E9C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activación de rutas intersectoriales debe realizarse:</w:t>
            </w:r>
          </w:p>
        </w:tc>
      </w:tr>
      <w:tr w:rsidR="00597DCD" w:rsidRPr="00E60A51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E6D8872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Solo después de la denuncia</w:t>
            </w:r>
            <w:r w:rsidR="009D53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5B184C3D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De manera secuencial</w:t>
            </w:r>
            <w:r w:rsidR="009D53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E319D4C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De forma simultánea y oportuna</w:t>
            </w:r>
            <w:r w:rsidR="009D53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17A0F0E0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06C3DFB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Únicamente por orden judicial</w:t>
            </w:r>
            <w:r w:rsidR="009D53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18498E8" w:rsidR="00F436F5" w:rsidRPr="00E60A51" w:rsidRDefault="003031C0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Muy bien. La activación de rutas intersectoriales debe realizarse de forma simultánea y oportuna.</w:t>
            </w:r>
          </w:p>
        </w:tc>
      </w:tr>
      <w:tr w:rsidR="00F436F5" w:rsidRPr="00E60A51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EE6F972" w:rsidR="00F436F5" w:rsidRPr="00A4711D" w:rsidRDefault="00E03E9C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casos de niñas, niños y adolescentes víctimas de violencia sexual, el aviso a las autoridades es:</w:t>
            </w:r>
          </w:p>
        </w:tc>
      </w:tr>
      <w:tr w:rsidR="00597DCD" w:rsidRPr="00E60A51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3392AA10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Opcional</w:t>
            </w:r>
            <w:r w:rsidR="009D53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C930686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Obligatorio</w:t>
            </w:r>
            <w:r w:rsidR="009D53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69EDF13B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F6E0CEF" w:rsidR="00597DCD" w:rsidRPr="00E03E9C" w:rsidRDefault="00E03E9C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E03E9C">
              <w:rPr>
                <w:rFonts w:eastAsia="Calibri"/>
                <w:sz w:val="20"/>
                <w:szCs w:val="20"/>
                <w:lang w:val="en-US"/>
              </w:rPr>
              <w:t>Condicionado</w:t>
            </w:r>
            <w:proofErr w:type="spellEnd"/>
            <w:r w:rsidRPr="00E03E9C">
              <w:rPr>
                <w:rFonts w:eastAsia="Calibri"/>
                <w:sz w:val="20"/>
                <w:szCs w:val="20"/>
                <w:lang w:val="en-US"/>
              </w:rPr>
              <w:t xml:space="preserve"> a la familia</w:t>
            </w:r>
            <w:r w:rsidR="009D532B">
              <w:rPr>
                <w:rFonts w:eastAsia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4BF306E3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Exclusivo del sector justicia</w:t>
            </w:r>
            <w:r w:rsidR="009D532B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CE89844" w:rsidR="00F436F5" w:rsidRPr="00E60A51" w:rsidRDefault="003031C0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Correcto. En casos de NNA el aviso a las autoridades es obligatorio.</w:t>
            </w:r>
          </w:p>
        </w:tc>
      </w:tr>
      <w:tr w:rsidR="00F436F5" w:rsidRPr="00E60A51" w14:paraId="3BE2FBD1" w14:textId="77777777" w:rsidTr="00E03E9C">
        <w:trPr>
          <w:trHeight w:val="485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8F8460F" w:rsidR="00F436F5" w:rsidRPr="00A4711D" w:rsidRDefault="00E03E9C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E03E9C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El restablecimiento de derechos de niños, niñas y adolescentes es un proceso:</w:t>
            </w:r>
          </w:p>
        </w:tc>
      </w:tr>
      <w:tr w:rsidR="00597DCD" w:rsidRPr="00E60A51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4B777AE4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Judicial y sancionatorio</w:t>
            </w:r>
            <w:r w:rsidR="006305F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1B25CE3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Exclusivamente clínico</w:t>
            </w:r>
            <w:r w:rsidR="006305F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2A2450E" w:rsidR="00597DCD" w:rsidRPr="00E60A51" w:rsidRDefault="00E03E9C" w:rsidP="00597DCD">
            <w:pPr>
              <w:rPr>
                <w:rFonts w:eastAsia="Calibri"/>
                <w:sz w:val="20"/>
                <w:szCs w:val="20"/>
              </w:rPr>
            </w:pPr>
            <w:r w:rsidRPr="00E03E9C">
              <w:rPr>
                <w:rFonts w:eastAsia="Calibri"/>
                <w:sz w:val="20"/>
                <w:szCs w:val="20"/>
              </w:rPr>
              <w:t>Administrativo e integral</w:t>
            </w:r>
            <w:r w:rsidR="006305F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0D4CC71A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56402D0F" w:rsidR="00597DCD" w:rsidRPr="00195074" w:rsidRDefault="00195074" w:rsidP="00597DC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195074">
              <w:rPr>
                <w:rFonts w:eastAsia="Calibri"/>
                <w:sz w:val="20"/>
                <w:szCs w:val="20"/>
                <w:lang w:val="en-US"/>
              </w:rPr>
              <w:t xml:space="preserve">Temporal y </w:t>
            </w:r>
            <w:proofErr w:type="spellStart"/>
            <w:r w:rsidRPr="00195074">
              <w:rPr>
                <w:rFonts w:eastAsia="Calibri"/>
                <w:sz w:val="20"/>
                <w:szCs w:val="20"/>
                <w:lang w:val="en-US"/>
              </w:rPr>
              <w:t>opcional</w:t>
            </w:r>
            <w:proofErr w:type="spellEnd"/>
            <w:r w:rsidR="006305F6">
              <w:rPr>
                <w:rFonts w:eastAsia="Calibri"/>
                <w:sz w:val="20"/>
                <w:szCs w:val="20"/>
                <w:lang w:val="en-US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9BAEC90" w:rsidR="00F436F5" w:rsidRPr="00E60A51" w:rsidRDefault="003031C0" w:rsidP="00777932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color w:val="000000" w:themeColor="text1"/>
                <w:sz w:val="20"/>
                <w:szCs w:val="20"/>
              </w:rPr>
              <w:t>Muy bien. El restablecimiento de derechos es un proceso administrativo e integral.</w:t>
            </w:r>
          </w:p>
        </w:tc>
      </w:tr>
      <w:tr w:rsidR="00F436F5" w:rsidRPr="00E60A51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F436F5" w:rsidRPr="00E60A51" w:rsidRDefault="00A4711D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A4711D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7253674" w:rsidR="00F436F5" w:rsidRPr="00195074" w:rsidRDefault="00195074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</w:pPr>
            <w:r w:rsidRPr="00195074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US"/>
              </w:rPr>
              <w:t>El seguimiento intersectorial de los casos tiene como finalidad principal:</w:t>
            </w:r>
          </w:p>
        </w:tc>
      </w:tr>
      <w:tr w:rsidR="00597DCD" w:rsidRPr="00E60A51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B748C7A" w:rsidR="00597DCD" w:rsidRPr="00E60A51" w:rsidRDefault="00195074" w:rsidP="00597DCD">
            <w:pPr>
              <w:rPr>
                <w:rFonts w:eastAsia="Calibri"/>
                <w:sz w:val="20"/>
                <w:szCs w:val="20"/>
              </w:rPr>
            </w:pPr>
            <w:r w:rsidRPr="00195074">
              <w:rPr>
                <w:rFonts w:eastAsia="Calibri"/>
                <w:sz w:val="20"/>
                <w:szCs w:val="20"/>
              </w:rPr>
              <w:t>Cerrar rápidamente el caso</w:t>
            </w:r>
            <w:r w:rsidR="00BC0540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613DD639" w:rsidR="00597DCD" w:rsidRPr="00E60A51" w:rsidRDefault="00195074" w:rsidP="00597DCD">
            <w:pPr>
              <w:rPr>
                <w:rFonts w:eastAsia="Calibri"/>
                <w:sz w:val="20"/>
                <w:szCs w:val="20"/>
              </w:rPr>
            </w:pPr>
            <w:r w:rsidRPr="00195074">
              <w:rPr>
                <w:rFonts w:eastAsia="Calibri"/>
                <w:sz w:val="20"/>
                <w:szCs w:val="20"/>
              </w:rPr>
              <w:t>Sustituir la atención clínica</w:t>
            </w:r>
            <w:r w:rsidR="00BC0540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C502180" w:rsidR="00597DCD" w:rsidRPr="00E60A51" w:rsidRDefault="00195074" w:rsidP="00597DCD">
            <w:pPr>
              <w:rPr>
                <w:rFonts w:eastAsia="Calibri"/>
                <w:sz w:val="20"/>
                <w:szCs w:val="20"/>
              </w:rPr>
            </w:pPr>
            <w:r w:rsidRPr="00195074">
              <w:rPr>
                <w:rFonts w:eastAsia="Calibri"/>
                <w:sz w:val="20"/>
                <w:szCs w:val="20"/>
              </w:rPr>
              <w:t>Verificar la efectividad de las medidas</w:t>
            </w:r>
            <w:r w:rsidR="00BC0540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FABA631" w:rsidR="00597DCD" w:rsidRPr="00E60A51" w:rsidRDefault="00A4711D" w:rsidP="00A4711D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4921E857" w:rsidR="00597DCD" w:rsidRPr="00E60A51" w:rsidRDefault="00195074" w:rsidP="00597DCD">
            <w:pPr>
              <w:rPr>
                <w:rFonts w:eastAsia="Calibri"/>
                <w:sz w:val="20"/>
                <w:szCs w:val="20"/>
              </w:rPr>
            </w:pPr>
            <w:r w:rsidRPr="00195074">
              <w:rPr>
                <w:rFonts w:eastAsia="Calibri"/>
                <w:sz w:val="20"/>
                <w:szCs w:val="20"/>
              </w:rPr>
              <w:t>Centralizar la información judicial</w:t>
            </w:r>
            <w:r w:rsidR="00BC0540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195074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195074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1A0402AB" w:rsidR="00F436F5" w:rsidRPr="00195074" w:rsidRDefault="003031C0" w:rsidP="00597DC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031C0">
              <w:rPr>
                <w:rFonts w:eastAsia="Calibri"/>
                <w:bCs/>
                <w:sz w:val="20"/>
                <w:szCs w:val="20"/>
              </w:rPr>
              <w:t>Excelente. El seguimiento intersectorial permite verificar la efectividad de las medidas adoptadas.</w:t>
            </w:r>
          </w:p>
        </w:tc>
      </w:tr>
      <w:tr w:rsidR="00F436F5" w:rsidRPr="00E60A51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239C09AC" w:rsidR="00F436F5" w:rsidRPr="00E60A51" w:rsidRDefault="003031C0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031C0">
              <w:rPr>
                <w:rFonts w:eastAsia="Calibri"/>
                <w:color w:val="auto"/>
                <w:sz w:val="20"/>
                <w:szCs w:val="20"/>
              </w:rPr>
              <w:t>¡Felicitaciones! Ha demostrado una adecuada comprensión de los lineamientos técnicos, clínicos y normativos que orientan la atención intersectorial y el restablecimiento de derechos de las víctimas de violencias sexuales.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Default="00DD0985">
      <w:pPr>
        <w:rPr>
          <w:rFonts w:eastAsia="Calibri"/>
          <w:sz w:val="20"/>
          <w:szCs w:val="20"/>
        </w:rPr>
      </w:pPr>
    </w:p>
    <w:p w14:paraId="4EB171E1" w14:textId="77777777" w:rsidR="004D74BB" w:rsidRDefault="004D74BB">
      <w:pPr>
        <w:rPr>
          <w:sz w:val="20"/>
          <w:szCs w:val="20"/>
        </w:rPr>
      </w:pPr>
    </w:p>
    <w:p w14:paraId="11DF1EAE" w14:textId="77777777" w:rsidR="00DD0985" w:rsidRPr="00E60A51" w:rsidRDefault="00DD0985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E60A51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Laura Briguitte Perea Possos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7773E1D" w:rsidR="00A9514B" w:rsidRPr="00E60A51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  <w:tr w:rsidR="00C0495F" w:rsidRPr="00E60A51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40741B9" w:rsidR="00C0495F" w:rsidRPr="00E60A51" w:rsidRDefault="00E87DC6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FC95A55" w:rsidR="00C0495F" w:rsidRPr="00E60A51" w:rsidRDefault="00E87DC6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DE85F" w14:textId="77777777" w:rsidR="00D227E0" w:rsidRDefault="00D227E0">
      <w:pPr>
        <w:spacing w:line="240" w:lineRule="auto"/>
      </w:pPr>
      <w:r>
        <w:separator/>
      </w:r>
    </w:p>
  </w:endnote>
  <w:endnote w:type="continuationSeparator" w:id="0">
    <w:p w14:paraId="78756D4F" w14:textId="77777777" w:rsidR="00D227E0" w:rsidRDefault="00D227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E18F9" w14:textId="77777777" w:rsidR="00D227E0" w:rsidRDefault="00D227E0">
      <w:pPr>
        <w:spacing w:line="240" w:lineRule="auto"/>
      </w:pPr>
      <w:r>
        <w:separator/>
      </w:r>
    </w:p>
  </w:footnote>
  <w:footnote w:type="continuationSeparator" w:id="0">
    <w:p w14:paraId="4F63E5A3" w14:textId="77777777" w:rsidR="00D227E0" w:rsidRDefault="00D227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321658963">
    <w:abstractNumId w:val="1"/>
  </w:num>
  <w:num w:numId="2" w16cid:durableId="37913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9090B"/>
    <w:rsid w:val="000941C4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63898"/>
    <w:rsid w:val="001672D2"/>
    <w:rsid w:val="0018141D"/>
    <w:rsid w:val="0018472E"/>
    <w:rsid w:val="00195074"/>
    <w:rsid w:val="001B5182"/>
    <w:rsid w:val="001B5CD5"/>
    <w:rsid w:val="001C2159"/>
    <w:rsid w:val="001D65D0"/>
    <w:rsid w:val="001F0B68"/>
    <w:rsid w:val="00230CDA"/>
    <w:rsid w:val="00237367"/>
    <w:rsid w:val="00280A13"/>
    <w:rsid w:val="002B4019"/>
    <w:rsid w:val="002C312D"/>
    <w:rsid w:val="002C72F8"/>
    <w:rsid w:val="002D3052"/>
    <w:rsid w:val="002E46FB"/>
    <w:rsid w:val="003031C0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E596C"/>
    <w:rsid w:val="00407479"/>
    <w:rsid w:val="00450223"/>
    <w:rsid w:val="00455BED"/>
    <w:rsid w:val="004623C3"/>
    <w:rsid w:val="004666D8"/>
    <w:rsid w:val="00475EC9"/>
    <w:rsid w:val="00480757"/>
    <w:rsid w:val="00482C46"/>
    <w:rsid w:val="004860BB"/>
    <w:rsid w:val="004A00B2"/>
    <w:rsid w:val="004D74BB"/>
    <w:rsid w:val="004E274A"/>
    <w:rsid w:val="00500874"/>
    <w:rsid w:val="005241C7"/>
    <w:rsid w:val="00572485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305F6"/>
    <w:rsid w:val="00654A50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C7F34"/>
    <w:rsid w:val="008E1685"/>
    <w:rsid w:val="008E2C44"/>
    <w:rsid w:val="008E6807"/>
    <w:rsid w:val="008F7BC0"/>
    <w:rsid w:val="00902CCE"/>
    <w:rsid w:val="00917B02"/>
    <w:rsid w:val="00935B5F"/>
    <w:rsid w:val="00963ED9"/>
    <w:rsid w:val="00966C0B"/>
    <w:rsid w:val="00986BBA"/>
    <w:rsid w:val="009921BA"/>
    <w:rsid w:val="00996CB7"/>
    <w:rsid w:val="009A36D1"/>
    <w:rsid w:val="009B224D"/>
    <w:rsid w:val="009C2A48"/>
    <w:rsid w:val="009D1BF1"/>
    <w:rsid w:val="009D37F0"/>
    <w:rsid w:val="009D532B"/>
    <w:rsid w:val="009F77A1"/>
    <w:rsid w:val="00A164C7"/>
    <w:rsid w:val="00A4711D"/>
    <w:rsid w:val="00A50801"/>
    <w:rsid w:val="00A92AA0"/>
    <w:rsid w:val="00A9514B"/>
    <w:rsid w:val="00AD2166"/>
    <w:rsid w:val="00AD367E"/>
    <w:rsid w:val="00AF040D"/>
    <w:rsid w:val="00AF6087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0540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05365"/>
    <w:rsid w:val="00D154B7"/>
    <w:rsid w:val="00D15EFF"/>
    <w:rsid w:val="00D16CEB"/>
    <w:rsid w:val="00D227E0"/>
    <w:rsid w:val="00D9536A"/>
    <w:rsid w:val="00D96770"/>
    <w:rsid w:val="00D96C52"/>
    <w:rsid w:val="00DD0985"/>
    <w:rsid w:val="00E03E9C"/>
    <w:rsid w:val="00E23F58"/>
    <w:rsid w:val="00E50F33"/>
    <w:rsid w:val="00E53E0B"/>
    <w:rsid w:val="00E60A51"/>
    <w:rsid w:val="00E8117C"/>
    <w:rsid w:val="00E87DC6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288"/>
    <w:rsid w:val="00F44480"/>
    <w:rsid w:val="00F52AA1"/>
    <w:rsid w:val="00F70AE9"/>
    <w:rsid w:val="00F76581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A417C1-0B64-4A34-ACD4-70C6CAA3A4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1662</Words>
  <Characters>10090</Characters>
  <Application>Microsoft Office Word</Application>
  <DocSecurity>0</DocSecurity>
  <Lines>531</Lines>
  <Paragraphs>391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20</cp:revision>
  <dcterms:created xsi:type="dcterms:W3CDTF">2026-02-06T13:34:00Z</dcterms:created>
  <dcterms:modified xsi:type="dcterms:W3CDTF">2026-02-23T15:26:00Z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