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0073016A" w:rsidR="00C02521" w:rsidRPr="002B2F46" w:rsidRDefault="00C02521" w:rsidP="00C02521">
            <w:pPr>
              <w:spacing w:line="240" w:lineRule="auto"/>
              <w:rPr>
                <w:b/>
                <w:lang w:val="es-CO"/>
              </w:rPr>
            </w:pPr>
            <w:r w:rsidRPr="002B2F46">
              <w:rPr>
                <w:b/>
                <w:bCs/>
              </w:rPr>
              <w:t>Pódcast</w:t>
            </w:r>
            <w:r w:rsidRPr="002B2F46">
              <w:rPr>
                <w:b/>
                <w:lang w:val="es-CO"/>
              </w:rPr>
              <w:t> </w:t>
            </w:r>
            <w:r w:rsidR="00103FCF">
              <w:rPr>
                <w:b/>
                <w:lang w:val="es-CO"/>
              </w:rPr>
              <w:t>CF01</w:t>
            </w:r>
            <w:r w:rsidR="00200C43">
              <w:rPr>
                <w:b/>
                <w:lang w:val="es-CO"/>
              </w:rPr>
              <w:t>_</w:t>
            </w:r>
            <w:r w:rsidR="00200C43" w:rsidRPr="00200C43">
              <w:rPr>
                <w:b/>
                <w:bCs/>
              </w:rPr>
              <w:t>33130209</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7600E787" w:rsidR="00B24FAF" w:rsidRPr="007A4B49" w:rsidRDefault="004648FC" w:rsidP="00C00BC1">
            <w:pPr>
              <w:rPr>
                <w:color w:val="C0504D" w:themeColor="accent2"/>
                <w:lang w:val="es-ES"/>
              </w:rPr>
            </w:pPr>
            <w:r w:rsidRPr="004648FC">
              <w:rPr>
                <w:b/>
                <w:bCs/>
                <w:lang w:eastAsia="ja-JP"/>
              </w:rPr>
              <w:t>Instituciones y comunidad: trabajando juntos por la participación en salud</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003455" w:rsidRDefault="00B24FAF" w:rsidP="00B24FAF">
            <w:pPr>
              <w:spacing w:line="240" w:lineRule="auto"/>
              <w:rPr>
                <w:b/>
                <w:lang w:val="es-CO"/>
              </w:rPr>
            </w:pPr>
            <w:r w:rsidRPr="00003455">
              <w:rPr>
                <w:b/>
                <w:bCs/>
              </w:rPr>
              <w:t>Texto descriptivo</w:t>
            </w:r>
            <w:r w:rsidRPr="00003455">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3F006939" w:rsidR="00A150C8" w:rsidRPr="00003455" w:rsidRDefault="00003455" w:rsidP="007F6D10">
            <w:pPr>
              <w:spacing w:line="240" w:lineRule="auto"/>
              <w:rPr>
                <w:lang w:val="es-CO"/>
              </w:rPr>
            </w:pPr>
            <w:r w:rsidRPr="00003455">
              <w:t>En este episodio se explica, de manera clara y cercana, cómo las instituciones y la comunidad cumplen funciones complementarias para fortalecer la participación social en salud. A través de ejemplos del contexto colombiano, se muestra la importancia del diálogo, la información clara, la formación ciudadana y el control social para construir decisiones públicas más pertinentes.</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7A4B49" w:rsidRDefault="2FAF0E2B" w:rsidP="2CC246E2">
            <w:pPr>
              <w:spacing w:line="240" w:lineRule="auto"/>
              <w:rPr>
                <w:b/>
                <w:bCs/>
                <w:color w:val="C0504D" w:themeColor="accent2"/>
                <w:lang w:val="es-CO"/>
              </w:rPr>
            </w:pPr>
            <w:r w:rsidRPr="00295DC5">
              <w:rPr>
                <w:b/>
                <w:bCs/>
              </w:rPr>
              <w:t xml:space="preserve">Contenido temático para guion de pódcast </w:t>
            </w:r>
          </w:p>
        </w:tc>
      </w:tr>
      <w:tr w:rsidR="00C02521" w:rsidRPr="00A13F94"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A13F94"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AF555D" w14:textId="77777777" w:rsidR="000817BE" w:rsidRDefault="000817BE" w:rsidP="000817BE">
            <w:pPr>
              <w:pStyle w:val="Normal0"/>
            </w:pPr>
            <w:r w:rsidRPr="000817BE">
              <w:t xml:space="preserve">Bienvenidos al pódcast </w:t>
            </w:r>
            <w:r w:rsidRPr="000817BE">
              <w:rPr>
                <w:b/>
                <w:bCs/>
              </w:rPr>
              <w:t>“Instituciones y comunidad: trabajando juntos por la participación en salud”</w:t>
            </w:r>
            <w:r w:rsidRPr="000817BE">
              <w:t>. En este episodio se comprenderá por qué la participación social no depende solo de asistir a reuniones o recibir información, sino de la acción articulada entre las instituciones y la comunidad para tomar mejores decisiones en beneficio de la población.</w:t>
            </w:r>
          </w:p>
          <w:p w14:paraId="01D3A3C9" w14:textId="77777777" w:rsidR="000817BE" w:rsidRPr="000817BE" w:rsidRDefault="000817BE" w:rsidP="000817BE">
            <w:pPr>
              <w:pStyle w:val="Normal0"/>
            </w:pPr>
          </w:p>
          <w:p w14:paraId="716AB124" w14:textId="77777777" w:rsidR="000817BE" w:rsidRDefault="000817BE" w:rsidP="000817BE">
            <w:pPr>
              <w:pStyle w:val="Normal0"/>
            </w:pPr>
            <w:r w:rsidRPr="000817BE">
              <w:t>Para iniciar, es importante reconocer que las instituciones del sector salud tienen la responsabilidad de generar condiciones para que la ciudadanía pueda participar. Esto implica abrir espacios de diálogo, entregar información clara, promover procesos de formación y acompañar a las organizaciones sociales en el seguimiento de las acciones públicas. Por ejemplo, una secretaría municipal de salud puede convocar a una mesa de participación para escuchar las necesidades de la comunidad y ajustar un plan de intervención.</w:t>
            </w:r>
          </w:p>
          <w:p w14:paraId="3B72C5E9" w14:textId="77777777" w:rsidR="000817BE" w:rsidRPr="000817BE" w:rsidRDefault="000817BE" w:rsidP="000817BE">
            <w:pPr>
              <w:pStyle w:val="Normal0"/>
            </w:pPr>
          </w:p>
          <w:p w14:paraId="251AA28C" w14:textId="77777777" w:rsidR="000817BE" w:rsidRDefault="000817BE" w:rsidP="000817BE">
            <w:pPr>
              <w:pStyle w:val="Normal0"/>
            </w:pPr>
            <w:r w:rsidRPr="000817BE">
              <w:t>Ahora bien, la comunidad también cumple un papel fundamental. Su participación permite identificar necesidades reales del territorio, presentar propuestas y ejercer control social sobre la gestión pública. En palabras sencillas, la comunidad ayuda a que las decisiones no se tomen desde un escritorio, sino desde la realidad de quienes viven las situaciones día a día. Por ejemplo, una asociación de usuarios puede informar dificultades en la atención, proponer mejoras en los canales de servicio y hacer seguimiento a los compromisos adquiridos.</w:t>
            </w:r>
          </w:p>
          <w:p w14:paraId="77ABF5DE" w14:textId="77777777" w:rsidR="000817BE" w:rsidRPr="000817BE" w:rsidRDefault="000817BE" w:rsidP="000817BE">
            <w:pPr>
              <w:pStyle w:val="Normal0"/>
            </w:pPr>
          </w:p>
          <w:p w14:paraId="09DAA111" w14:textId="77777777" w:rsidR="000817BE" w:rsidRDefault="000817BE" w:rsidP="000817BE">
            <w:pPr>
              <w:pStyle w:val="Normal0"/>
            </w:pPr>
            <w:r w:rsidRPr="000817BE">
              <w:t>Y aquí aparece una idea clave: la participación funciona mejor cuando instituciones y comunidad trabajan como un equipo. Es como preparar una receta comunitaria: las instituciones aportan los recursos, la información y los espacios; la comunidad aporta su experiencia, sus necesidades y sus propuestas. Si falta uno de los ingredientes, el resultado queda incompleto.</w:t>
            </w:r>
          </w:p>
          <w:p w14:paraId="0EEA0315" w14:textId="77777777" w:rsidR="000817BE" w:rsidRPr="000817BE" w:rsidRDefault="000817BE" w:rsidP="000817BE">
            <w:pPr>
              <w:pStyle w:val="Normal0"/>
            </w:pPr>
          </w:p>
          <w:p w14:paraId="2361B23D" w14:textId="77777777" w:rsidR="000817BE" w:rsidRPr="000817BE" w:rsidRDefault="000817BE" w:rsidP="000817BE">
            <w:pPr>
              <w:pStyle w:val="Normal0"/>
            </w:pPr>
            <w:r w:rsidRPr="000817BE">
              <w:lastRenderedPageBreak/>
              <w:t>En este proceso, el diálogo cumple una función central. Dialogar no significa solamente hablar, sino escuchar, comprender y construir acuerdos. Cuando las instituciones escuchan a la ciudadanía y la comunidad participa de manera organizada, se fortalece la confianza, se mejora la gestión pública y se construyen respuestas más cercanas a las necesidades del territorio.</w:t>
            </w:r>
          </w:p>
          <w:p w14:paraId="04EE3C64" w14:textId="77777777" w:rsidR="004648FC" w:rsidRDefault="004648FC" w:rsidP="00A13F94">
            <w:pPr>
              <w:pStyle w:val="Normal0"/>
            </w:pPr>
          </w:p>
          <w:p w14:paraId="4B54DF04" w14:textId="77777777" w:rsidR="009B57EA" w:rsidRDefault="009B57EA" w:rsidP="009B57EA">
            <w:pPr>
              <w:pStyle w:val="Normal0"/>
            </w:pPr>
            <w:r w:rsidRPr="009B57EA">
              <w:t>También es importante recordar que la participación requiere información clara. Una comunidad informada puede preguntar, proponer y hacer seguimiento con mayor seguridad. Por eso, las instituciones deben presentar la información en un lenguaje comprensible, y la ciudadanía debe asumir un papel activo para conocer sus derechos, sus deberes y los mecanismos disponibles.</w:t>
            </w:r>
          </w:p>
          <w:p w14:paraId="625BF4AC" w14:textId="77777777" w:rsidR="009B57EA" w:rsidRPr="009B57EA" w:rsidRDefault="009B57EA" w:rsidP="009B57EA">
            <w:pPr>
              <w:pStyle w:val="Normal0"/>
            </w:pPr>
          </w:p>
          <w:p w14:paraId="11FC680F" w14:textId="77777777" w:rsidR="009B57EA" w:rsidRDefault="009B57EA" w:rsidP="009B57EA">
            <w:pPr>
              <w:pStyle w:val="Normal0"/>
            </w:pPr>
            <w:r w:rsidRPr="009B57EA">
              <w:t>De igual manera, la formación ciudadana permite que la participación sea más efectiva. Cuando las personas comprenden cómo funciona el sistema, cómo se toman las decisiones y cuáles son los espacios de participación, pueden intervenir con mejores argumentos. Así, la participación deja de ser una acción aislada y se convierte en un proceso organizado, responsable y sostenible.</w:t>
            </w:r>
          </w:p>
          <w:p w14:paraId="5EC783D9" w14:textId="77777777" w:rsidR="009B57EA" w:rsidRPr="009B57EA" w:rsidRDefault="009B57EA" w:rsidP="009B57EA">
            <w:pPr>
              <w:pStyle w:val="Normal0"/>
            </w:pPr>
          </w:p>
          <w:p w14:paraId="1B30C57E" w14:textId="77777777" w:rsidR="009B57EA" w:rsidRPr="009B57EA" w:rsidRDefault="009B57EA" w:rsidP="009B57EA">
            <w:pPr>
              <w:pStyle w:val="Normal0"/>
            </w:pPr>
            <w:r w:rsidRPr="009B57EA">
              <w:t>En conclusión, el rol de las instituciones y la comunidad es complementario. Las instituciones deben crear condiciones para participar, y la comunidad debe intervenir de manera activa, informada y responsable. Cuando ambos actores trabajan juntos, la participación social se fortalece, el control ciudadano adquiere mayor sentido y las decisiones públicas pueden responder mejor al bienestar colectivo.</w:t>
            </w:r>
          </w:p>
          <w:p w14:paraId="156AE110" w14:textId="77777777" w:rsidR="004648FC" w:rsidRPr="00003B26" w:rsidRDefault="004648FC" w:rsidP="00A13F94">
            <w:pPr>
              <w:pStyle w:val="Normal0"/>
              <w:rPr>
                <w:color w:val="000000" w:themeColor="text1"/>
              </w:rPr>
            </w:pPr>
          </w:p>
          <w:p w14:paraId="1BB597C1" w14:textId="1600E766" w:rsidR="003577C2" w:rsidRPr="00003B26" w:rsidRDefault="00D3386F" w:rsidP="000A7EA3">
            <w:pPr>
              <w:pStyle w:val="Normal0"/>
              <w:rPr>
                <w:b/>
                <w:bCs/>
              </w:rPr>
            </w:pPr>
            <w:r w:rsidRPr="00003B26">
              <w:rPr>
                <w:b/>
                <w:bCs/>
                <w:color w:val="000000" w:themeColor="text1"/>
              </w:rPr>
              <w:t>¡Nos encontramos en un próximo episodio!</w:t>
            </w:r>
          </w:p>
        </w:tc>
      </w:tr>
    </w:tbl>
    <w:p w14:paraId="00093355" w14:textId="39142A89" w:rsidR="00C71D57" w:rsidRPr="00A13F94" w:rsidRDefault="00C71D57">
      <w:pPr>
        <w:spacing w:line="240" w:lineRule="auto"/>
        <w:rPr>
          <w:b/>
        </w:rPr>
      </w:pPr>
    </w:p>
    <w:sectPr w:rsidR="00C71D57" w:rsidRPr="00A13F94">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C164" w14:textId="77777777" w:rsidR="00C94DAA" w:rsidRDefault="00C94DAA">
      <w:pPr>
        <w:spacing w:line="240" w:lineRule="auto"/>
      </w:pPr>
      <w:r>
        <w:separator/>
      </w:r>
    </w:p>
  </w:endnote>
  <w:endnote w:type="continuationSeparator" w:id="0">
    <w:p w14:paraId="3481DD2D" w14:textId="77777777" w:rsidR="00C94DAA" w:rsidRDefault="00C94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7B590" w14:textId="77777777" w:rsidR="00C94DAA" w:rsidRDefault="00C94DAA">
      <w:pPr>
        <w:spacing w:line="240" w:lineRule="auto"/>
      </w:pPr>
      <w:r>
        <w:separator/>
      </w:r>
    </w:p>
  </w:footnote>
  <w:footnote w:type="continuationSeparator" w:id="0">
    <w:p w14:paraId="20C37B8C" w14:textId="77777777" w:rsidR="00C94DAA" w:rsidRDefault="00C94D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C1926"/>
    <w:multiLevelType w:val="hybridMultilevel"/>
    <w:tmpl w:val="09EE4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4932799"/>
    <w:multiLevelType w:val="hybridMultilevel"/>
    <w:tmpl w:val="A0960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945788">
    <w:abstractNumId w:val="2"/>
  </w:num>
  <w:num w:numId="2" w16cid:durableId="1015614029">
    <w:abstractNumId w:val="1"/>
  </w:num>
  <w:num w:numId="3" w16cid:durableId="1230732973">
    <w:abstractNumId w:val="3"/>
  </w:num>
  <w:num w:numId="4" w16cid:durableId="147733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3455"/>
    <w:rsid w:val="00003B26"/>
    <w:rsid w:val="00005038"/>
    <w:rsid w:val="0000611D"/>
    <w:rsid w:val="00014A30"/>
    <w:rsid w:val="00014AF0"/>
    <w:rsid w:val="000168BA"/>
    <w:rsid w:val="0001759A"/>
    <w:rsid w:val="00022EF1"/>
    <w:rsid w:val="00041D05"/>
    <w:rsid w:val="0007421C"/>
    <w:rsid w:val="000817BE"/>
    <w:rsid w:val="000912C1"/>
    <w:rsid w:val="000A660C"/>
    <w:rsid w:val="000A7EA3"/>
    <w:rsid w:val="000B03E6"/>
    <w:rsid w:val="000B5619"/>
    <w:rsid w:val="000B6D87"/>
    <w:rsid w:val="000F3DA2"/>
    <w:rsid w:val="00101815"/>
    <w:rsid w:val="00103FCF"/>
    <w:rsid w:val="00106788"/>
    <w:rsid w:val="001067F3"/>
    <w:rsid w:val="0013692D"/>
    <w:rsid w:val="0015230E"/>
    <w:rsid w:val="00172F64"/>
    <w:rsid w:val="00174BFF"/>
    <w:rsid w:val="00176028"/>
    <w:rsid w:val="001C7ADE"/>
    <w:rsid w:val="001D74B9"/>
    <w:rsid w:val="001E7BFD"/>
    <w:rsid w:val="001F7027"/>
    <w:rsid w:val="00200C43"/>
    <w:rsid w:val="002049D2"/>
    <w:rsid w:val="00204CB7"/>
    <w:rsid w:val="0020568D"/>
    <w:rsid w:val="0021284A"/>
    <w:rsid w:val="00212FF4"/>
    <w:rsid w:val="0021605F"/>
    <w:rsid w:val="0022606A"/>
    <w:rsid w:val="00230FD8"/>
    <w:rsid w:val="00232E7C"/>
    <w:rsid w:val="002465D4"/>
    <w:rsid w:val="00256DB3"/>
    <w:rsid w:val="00275D5C"/>
    <w:rsid w:val="00291A95"/>
    <w:rsid w:val="00295DC5"/>
    <w:rsid w:val="002A27C6"/>
    <w:rsid w:val="002B2F46"/>
    <w:rsid w:val="002C5BC1"/>
    <w:rsid w:val="002C686F"/>
    <w:rsid w:val="003138F1"/>
    <w:rsid w:val="003166EB"/>
    <w:rsid w:val="00321909"/>
    <w:rsid w:val="00330A36"/>
    <w:rsid w:val="003577C2"/>
    <w:rsid w:val="00394F36"/>
    <w:rsid w:val="003A43BF"/>
    <w:rsid w:val="003C30D1"/>
    <w:rsid w:val="003C47A8"/>
    <w:rsid w:val="003C67EF"/>
    <w:rsid w:val="003D2956"/>
    <w:rsid w:val="003D4EC2"/>
    <w:rsid w:val="003D6A7F"/>
    <w:rsid w:val="003E2A96"/>
    <w:rsid w:val="0040025B"/>
    <w:rsid w:val="00416594"/>
    <w:rsid w:val="00431A35"/>
    <w:rsid w:val="0043559E"/>
    <w:rsid w:val="004648FC"/>
    <w:rsid w:val="004822E3"/>
    <w:rsid w:val="004B3DDD"/>
    <w:rsid w:val="004C3522"/>
    <w:rsid w:val="004C7FA2"/>
    <w:rsid w:val="004E24E8"/>
    <w:rsid w:val="004E43CF"/>
    <w:rsid w:val="004E5424"/>
    <w:rsid w:val="004E7F20"/>
    <w:rsid w:val="00505F59"/>
    <w:rsid w:val="00512DDA"/>
    <w:rsid w:val="005212B4"/>
    <w:rsid w:val="00530924"/>
    <w:rsid w:val="005470AD"/>
    <w:rsid w:val="00566629"/>
    <w:rsid w:val="00567C48"/>
    <w:rsid w:val="00590E95"/>
    <w:rsid w:val="005A4DD3"/>
    <w:rsid w:val="005A62EE"/>
    <w:rsid w:val="005B2257"/>
    <w:rsid w:val="005B5009"/>
    <w:rsid w:val="005C48CA"/>
    <w:rsid w:val="005D3495"/>
    <w:rsid w:val="005D40EC"/>
    <w:rsid w:val="005D4471"/>
    <w:rsid w:val="00604A10"/>
    <w:rsid w:val="00610BB3"/>
    <w:rsid w:val="0061407B"/>
    <w:rsid w:val="00615887"/>
    <w:rsid w:val="00644A6C"/>
    <w:rsid w:val="006767A7"/>
    <w:rsid w:val="006778F4"/>
    <w:rsid w:val="006814CB"/>
    <w:rsid w:val="006951E9"/>
    <w:rsid w:val="0069547E"/>
    <w:rsid w:val="006A3788"/>
    <w:rsid w:val="006D62DD"/>
    <w:rsid w:val="006D65AB"/>
    <w:rsid w:val="006F6F84"/>
    <w:rsid w:val="0072283E"/>
    <w:rsid w:val="00750711"/>
    <w:rsid w:val="00770190"/>
    <w:rsid w:val="00787EEE"/>
    <w:rsid w:val="00790513"/>
    <w:rsid w:val="007A09EA"/>
    <w:rsid w:val="007A4B49"/>
    <w:rsid w:val="007B4096"/>
    <w:rsid w:val="007D3622"/>
    <w:rsid w:val="007D54B6"/>
    <w:rsid w:val="007D6AFB"/>
    <w:rsid w:val="007E7C7F"/>
    <w:rsid w:val="007F08FA"/>
    <w:rsid w:val="007F4713"/>
    <w:rsid w:val="007F6D10"/>
    <w:rsid w:val="00805A7B"/>
    <w:rsid w:val="00805FD4"/>
    <w:rsid w:val="00817DA7"/>
    <w:rsid w:val="008241D9"/>
    <w:rsid w:val="00824F87"/>
    <w:rsid w:val="00825116"/>
    <w:rsid w:val="008274E9"/>
    <w:rsid w:val="008442F1"/>
    <w:rsid w:val="00846ECC"/>
    <w:rsid w:val="008517D1"/>
    <w:rsid w:val="008571F4"/>
    <w:rsid w:val="00864470"/>
    <w:rsid w:val="008679A3"/>
    <w:rsid w:val="00867E7E"/>
    <w:rsid w:val="00872731"/>
    <w:rsid w:val="008801FD"/>
    <w:rsid w:val="00890BC2"/>
    <w:rsid w:val="00893878"/>
    <w:rsid w:val="00894D37"/>
    <w:rsid w:val="008A0F4E"/>
    <w:rsid w:val="008C7515"/>
    <w:rsid w:val="008E286B"/>
    <w:rsid w:val="008E3A3E"/>
    <w:rsid w:val="008E65FF"/>
    <w:rsid w:val="008F1EAB"/>
    <w:rsid w:val="008F5FAC"/>
    <w:rsid w:val="0090554A"/>
    <w:rsid w:val="00915901"/>
    <w:rsid w:val="00915A8D"/>
    <w:rsid w:val="00917E62"/>
    <w:rsid w:val="00920C6B"/>
    <w:rsid w:val="00962CA5"/>
    <w:rsid w:val="00973B0F"/>
    <w:rsid w:val="0097481B"/>
    <w:rsid w:val="009847A1"/>
    <w:rsid w:val="009B57EA"/>
    <w:rsid w:val="009C3C7D"/>
    <w:rsid w:val="009C7134"/>
    <w:rsid w:val="009D2E85"/>
    <w:rsid w:val="009D39BB"/>
    <w:rsid w:val="009E11AF"/>
    <w:rsid w:val="00A13F94"/>
    <w:rsid w:val="00A150C8"/>
    <w:rsid w:val="00A32066"/>
    <w:rsid w:val="00A41A0B"/>
    <w:rsid w:val="00A539D7"/>
    <w:rsid w:val="00A91C70"/>
    <w:rsid w:val="00A922D2"/>
    <w:rsid w:val="00AA1050"/>
    <w:rsid w:val="00AA7C0E"/>
    <w:rsid w:val="00AB72BC"/>
    <w:rsid w:val="00AC450F"/>
    <w:rsid w:val="00AD3850"/>
    <w:rsid w:val="00AD715E"/>
    <w:rsid w:val="00AE0643"/>
    <w:rsid w:val="00AE142D"/>
    <w:rsid w:val="00AE31CD"/>
    <w:rsid w:val="00B20A24"/>
    <w:rsid w:val="00B24FAF"/>
    <w:rsid w:val="00B51E5B"/>
    <w:rsid w:val="00B5340B"/>
    <w:rsid w:val="00B707AF"/>
    <w:rsid w:val="00B74BDC"/>
    <w:rsid w:val="00B77CC5"/>
    <w:rsid w:val="00B80615"/>
    <w:rsid w:val="00B923A8"/>
    <w:rsid w:val="00B9725D"/>
    <w:rsid w:val="00BA703C"/>
    <w:rsid w:val="00BA752D"/>
    <w:rsid w:val="00BB3A44"/>
    <w:rsid w:val="00BD6557"/>
    <w:rsid w:val="00BE0EA4"/>
    <w:rsid w:val="00BE2D99"/>
    <w:rsid w:val="00BE6F10"/>
    <w:rsid w:val="00BF7D78"/>
    <w:rsid w:val="00C00BC1"/>
    <w:rsid w:val="00C02521"/>
    <w:rsid w:val="00C203F9"/>
    <w:rsid w:val="00C22B7E"/>
    <w:rsid w:val="00C24948"/>
    <w:rsid w:val="00C50B66"/>
    <w:rsid w:val="00C5157A"/>
    <w:rsid w:val="00C52618"/>
    <w:rsid w:val="00C71D57"/>
    <w:rsid w:val="00C94DAA"/>
    <w:rsid w:val="00CC10FF"/>
    <w:rsid w:val="00CE32F0"/>
    <w:rsid w:val="00CE5CE3"/>
    <w:rsid w:val="00D21F69"/>
    <w:rsid w:val="00D22BD6"/>
    <w:rsid w:val="00D3386F"/>
    <w:rsid w:val="00D44993"/>
    <w:rsid w:val="00D4786C"/>
    <w:rsid w:val="00D5762A"/>
    <w:rsid w:val="00D61CB2"/>
    <w:rsid w:val="00D917F3"/>
    <w:rsid w:val="00D92607"/>
    <w:rsid w:val="00D92673"/>
    <w:rsid w:val="00DE15EE"/>
    <w:rsid w:val="00DE2C85"/>
    <w:rsid w:val="00DE3FC0"/>
    <w:rsid w:val="00DE75F0"/>
    <w:rsid w:val="00DF16AB"/>
    <w:rsid w:val="00DF340F"/>
    <w:rsid w:val="00DF3D30"/>
    <w:rsid w:val="00E127CD"/>
    <w:rsid w:val="00E13657"/>
    <w:rsid w:val="00E17EF6"/>
    <w:rsid w:val="00E21F86"/>
    <w:rsid w:val="00E43605"/>
    <w:rsid w:val="00E84100"/>
    <w:rsid w:val="00E86E53"/>
    <w:rsid w:val="00E936A6"/>
    <w:rsid w:val="00EA707E"/>
    <w:rsid w:val="00EC2444"/>
    <w:rsid w:val="00EC73CF"/>
    <w:rsid w:val="00EC787E"/>
    <w:rsid w:val="00ED4491"/>
    <w:rsid w:val="00EE5A8A"/>
    <w:rsid w:val="00EE71E7"/>
    <w:rsid w:val="00F03717"/>
    <w:rsid w:val="00F140D5"/>
    <w:rsid w:val="00F1505C"/>
    <w:rsid w:val="00F279A8"/>
    <w:rsid w:val="00F508AC"/>
    <w:rsid w:val="00F720CF"/>
    <w:rsid w:val="00F729CA"/>
    <w:rsid w:val="00F7392C"/>
    <w:rsid w:val="00F809D1"/>
    <w:rsid w:val="00F8764D"/>
    <w:rsid w:val="00FA7350"/>
    <w:rsid w:val="00FB29D7"/>
    <w:rsid w:val="00FF3D5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B713E2-97DA-4662-AA50-D10F56321DA5}"/>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572</Words>
  <Characters>3405</Characters>
  <Application>Microsoft Office Word</Application>
  <DocSecurity>0</DocSecurity>
  <Lines>65</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110</cp:revision>
  <dcterms:created xsi:type="dcterms:W3CDTF">2026-02-07T05:06:00Z</dcterms:created>
  <dcterms:modified xsi:type="dcterms:W3CDTF">2026-06-02T14:01:00Z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