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74C46" w:rsidR="00D0724E" w:rsidP="5369FEEA" w:rsidRDefault="00D0724E" w14:paraId="2A02C10C" w14:textId="4198A68E">
      <w:pPr>
        <w:jc w:val="center"/>
        <w:rPr>
          <w:rFonts w:ascii="Arial" w:hAnsi="Arial" w:cs="Arial"/>
          <w:b w:val="1"/>
          <w:bCs w:val="1"/>
          <w:sz w:val="22"/>
          <w:szCs w:val="22"/>
          <w:lang w:val="es-ES"/>
        </w:rPr>
      </w:pPr>
      <w:r w:rsidRPr="5369FEEA" w:rsidR="1AA7172B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GUION INTRODUCCIÓN COMPONENTE FORMATIVO </w:t>
      </w:r>
      <w:r w:rsidRPr="5369FEEA" w:rsidR="5F1B815E">
        <w:rPr>
          <w:rFonts w:ascii="Arial" w:hAnsi="Arial" w:cs="Arial"/>
          <w:b w:val="1"/>
          <w:bCs w:val="1"/>
          <w:sz w:val="22"/>
          <w:szCs w:val="22"/>
          <w:lang w:val="es-ES"/>
        </w:rPr>
        <w:t>0</w:t>
      </w:r>
      <w:r w:rsidRPr="5369FEEA" w:rsidR="51347523">
        <w:rPr>
          <w:rFonts w:ascii="Arial" w:hAnsi="Arial" w:cs="Arial"/>
          <w:b w:val="1"/>
          <w:bCs w:val="1"/>
          <w:sz w:val="22"/>
          <w:szCs w:val="22"/>
          <w:lang w:val="es-ES"/>
        </w:rPr>
        <w:t>1</w:t>
      </w:r>
    </w:p>
    <w:p w:rsidRPr="00474C46" w:rsidR="004A22B0" w:rsidP="5369FEEA" w:rsidRDefault="00D0724E" w14:paraId="2FEB5F52" w14:textId="2754D279">
      <w:pPr>
        <w:jc w:val="center"/>
        <w:rPr>
          <w:rFonts w:ascii="Arial" w:hAnsi="Arial" w:cs="Arial"/>
          <w:b w:val="1"/>
          <w:bCs w:val="1"/>
          <w:sz w:val="22"/>
          <w:szCs w:val="22"/>
          <w:lang w:val="es-ES"/>
        </w:rPr>
      </w:pPr>
      <w:r w:rsidRPr="5369FEEA" w:rsidR="1AA7172B">
        <w:rPr>
          <w:rFonts w:ascii="Arial" w:hAnsi="Arial" w:cs="Arial"/>
          <w:sz w:val="22"/>
          <w:szCs w:val="22"/>
          <w:lang w:val="es-ES"/>
        </w:rPr>
        <w:t>Título del video:</w:t>
      </w:r>
      <w:r w:rsidRPr="5369FEEA" w:rsidR="1AA7172B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</w:t>
      </w:r>
      <w:r w:rsidRPr="5369FEEA" w:rsidR="51347523">
        <w:rPr>
          <w:rFonts w:ascii="Arial" w:hAnsi="Arial" w:cs="Arial"/>
          <w:b w:val="1"/>
          <w:bCs w:val="1"/>
          <w:sz w:val="22"/>
          <w:szCs w:val="22"/>
          <w:lang w:val="es-ES"/>
        </w:rPr>
        <w:t>Fundamentos de negociación y mercadeo</w:t>
      </w:r>
    </w:p>
    <w:p w:rsidRPr="00D87912" w:rsidR="00D87912" w:rsidP="5369FEEA" w:rsidRDefault="00D87912" w14:paraId="5F7D114D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2"/>
          <w:szCs w:val="22"/>
          <w:lang w:eastAsia="es-CO"/>
        </w:rPr>
      </w:pP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En un entorno comercial cada vez más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competitivo y orientado al cliente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, comprender cómo interactúan la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negociación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 y el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mercadeo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 se convierte en una competencia clave para el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desempeño laboral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. Este componente formativo introduce al aprendiz en los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fundamentos de la negociación y el mercadeo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, integrando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conceptos, técnicas y habilidades esenciales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 para relacionarse eficazmente con los clientes.</w:t>
      </w:r>
    </w:p>
    <w:p w:rsidRPr="00D87912" w:rsidR="00D87912" w:rsidP="5369FEEA" w:rsidRDefault="00D87912" w14:paraId="5C0D94B5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2"/>
          <w:szCs w:val="22"/>
          <w:lang w:eastAsia="es-CO"/>
        </w:rPr>
      </w:pP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A lo largo del contenido se analizan las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bases del conflicto y la negociación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, sus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elementos, estilos, tipos y fases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, destacando la importancia de la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preparación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, la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comunicación efectiva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 y la búsqueda de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 xml:space="preserve">acuerdos mutuamente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beneficiosos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. Negociar no es imponer, sino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escuchar, argumentar y gestionar intereses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 de manera estratégica.</w:t>
      </w:r>
    </w:p>
    <w:p w:rsidRPr="00D87912" w:rsidR="00D87912" w:rsidP="5369FEEA" w:rsidRDefault="00D87912" w14:paraId="100EC683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2"/>
          <w:szCs w:val="22"/>
          <w:lang w:eastAsia="es-CO"/>
        </w:rPr>
      </w:pP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De forma complementaria, se abordan los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fundamentos del mercadeo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, la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segmentación del mercado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, los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perfiles de clientes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 y el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proceso de venta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, entendiendo al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cliente actual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 como un actor informado,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 xml:space="preserve"> exigente y participativo.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 El contenido resalta el valor de las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técnicas de acercamiento y cuestionamiento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, así como el manejo de la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comunicación verbal y no verbal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>.</w:t>
      </w:r>
    </w:p>
    <w:p w:rsidRPr="00D87912" w:rsidR="00D87912" w:rsidP="5369FEEA" w:rsidRDefault="00D87912" w14:paraId="21E25281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/>
          <w:sz w:val="22"/>
          <w:szCs w:val="22"/>
          <w:lang w:eastAsia="es-CO"/>
        </w:rPr>
      </w:pP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Asimismo, se identifican las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barreras en la comunicación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 y se proponen estrategias para el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manejo adecuado de respuestas y reacciones del cliente</w:t>
      </w:r>
      <w:r w:rsidRPr="5369FEEA" w:rsidR="51347523">
        <w:rPr>
          <w:rFonts w:ascii="Arial" w:hAnsi="Arial" w:eastAsia="Times New Roman" w:cs="Arial"/>
          <w:sz w:val="22"/>
          <w:szCs w:val="22"/>
          <w:lang w:eastAsia="es-CO"/>
        </w:rPr>
        <w:t xml:space="preserve">, fortaleciendo relaciones comerciales sostenibles. Este componente no solo desarrolla conocimientos, sino también una </w:t>
      </w:r>
      <w:r w:rsidRPr="5369FEEA" w:rsidR="51347523">
        <w:rPr>
          <w:rFonts w:ascii="Arial" w:hAnsi="Arial" w:eastAsia="Times New Roman" w:cs="Arial"/>
          <w:b w:val="1"/>
          <w:bCs w:val="1"/>
          <w:sz w:val="22"/>
          <w:szCs w:val="22"/>
          <w:lang w:eastAsia="es-CO"/>
        </w:rPr>
        <w:t>actitud profesional orientada al servicio, la confianza y la construcción de valor</w:t>
      </w:r>
      <w:r w:rsidRPr="5369FEEA" w:rsidR="51347523">
        <w:rPr>
          <w:rFonts w:ascii="Times New Roman" w:hAnsi="Times New Roman" w:eastAsia="Times New Roman"/>
          <w:sz w:val="22"/>
          <w:szCs w:val="22"/>
          <w:lang w:eastAsia="es-CO"/>
        </w:rPr>
        <w:t>.</w:t>
      </w:r>
    </w:p>
    <w:p w:rsidRPr="00A176E4" w:rsidR="00412FE6" w:rsidP="00412FE6" w:rsidRDefault="00412FE6" w14:paraId="5AF5ADCA" w14:textId="332A029A">
      <w:pPr>
        <w:spacing w:after="120"/>
        <w:rPr>
          <w:rFonts w:ascii="Arial" w:hAnsi="Arial" w:cs="Arial"/>
          <w:sz w:val="20"/>
          <w:szCs w:val="20"/>
        </w:rPr>
      </w:pPr>
    </w:p>
    <w:p w:rsidRPr="00474C46" w:rsidR="00D0724E" w:rsidP="001D2601" w:rsidRDefault="00D0724E" w14:paraId="63722806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474C46" w:rsidR="00D0724E" w:rsidP="0E31A30C" w:rsidRDefault="00D0724E" w14:paraId="555A3DD1" w14:textId="2696CA93">
      <w:pPr>
        <w:rPr>
          <w:rFonts w:ascii="Arial" w:hAnsi="Arial" w:cs="Arial"/>
          <w:sz w:val="20"/>
          <w:szCs w:val="20"/>
          <w:lang w:val="es-ES"/>
        </w:rPr>
      </w:pPr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Pr="00474C46" w:rsidR="00325124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265573">
        <w:rPr>
          <w:rFonts w:ascii="Arial" w:hAnsi="Arial" w:cs="Arial"/>
          <w:b/>
          <w:bCs/>
          <w:sz w:val="20"/>
          <w:szCs w:val="20"/>
          <w:lang w:val="es-ES"/>
        </w:rPr>
        <w:t>09</w:t>
      </w:r>
    </w:p>
    <w:p w:rsidRPr="00474C46" w:rsidR="006C3404" w:rsidP="004A22B0" w:rsidRDefault="006C3404" w14:paraId="2A2D7C3A" w14:textId="77777777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:rsidRPr="00474C46" w:rsidR="006C3404" w:rsidP="006C3404" w:rsidRDefault="006C3404" w14:paraId="703DA740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474C46" w:rsidR="00362F67" w:rsidP="006C3404" w:rsidRDefault="00362F67" w14:paraId="69F77200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474C46" w:rsidR="006C3404" w:rsidP="006C3404" w:rsidRDefault="006C3404" w14:paraId="4C9FE402" w14:textId="77777777">
      <w:pPr>
        <w:rPr>
          <w:rFonts w:ascii="Arial" w:hAnsi="Arial" w:cs="Arial"/>
          <w:sz w:val="20"/>
          <w:szCs w:val="20"/>
          <w:lang w:val="es-ES_tradnl"/>
        </w:rPr>
      </w:pPr>
    </w:p>
    <w:sectPr w:rsidRPr="00474C46" w:rsidR="006C3404" w:rsidSect="00C92ADF">
      <w:headerReference w:type="even" r:id="rId11"/>
      <w:footerReference w:type="even" r:id="rId12"/>
      <w:footerReference w:type="default" r:id="rId13"/>
      <w:pgSz w:w="12240" w:h="15840" w:orient="portrait"/>
      <w:pgMar w:top="1701" w:right="1701" w:bottom="1418" w:left="1701" w:header="709" w:footer="1298" w:gutter="0"/>
      <w:cols w:space="708"/>
      <w:docGrid w:linePitch="360"/>
      <w:headerReference w:type="default" r:id="R407df0b6ee5f4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0828" w:rsidP="001A74F0" w:rsidRDefault="007A0828" w14:paraId="5B70D1AF" w14:textId="77777777">
      <w:pPr>
        <w:spacing w:after="0" w:line="240" w:lineRule="auto"/>
      </w:pPr>
      <w:r>
        <w:separator/>
      </w:r>
    </w:p>
  </w:endnote>
  <w:endnote w:type="continuationSeparator" w:id="0">
    <w:p w:rsidR="007A0828" w:rsidP="001A74F0" w:rsidRDefault="007A0828" w14:paraId="4E18051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7A0828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0828" w:rsidP="001A74F0" w:rsidRDefault="007A0828" w14:paraId="0A70DCCC" w14:textId="77777777">
      <w:pPr>
        <w:spacing w:after="0" w:line="240" w:lineRule="auto"/>
      </w:pPr>
      <w:r>
        <w:separator/>
      </w:r>
    </w:p>
  </w:footnote>
  <w:footnote w:type="continuationSeparator" w:id="0">
    <w:p w:rsidR="007A0828" w:rsidP="001A74F0" w:rsidRDefault="007A0828" w14:paraId="0E25248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7A0828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369FEEA" w:rsidTr="5369FEEA" w14:paraId="03ED0A55">
      <w:trPr>
        <w:trHeight w:val="300"/>
      </w:trPr>
      <w:tc>
        <w:tcPr>
          <w:tcW w:w="2945" w:type="dxa"/>
          <w:tcMar/>
        </w:tcPr>
        <w:p w:rsidR="5369FEEA" w:rsidP="5369FEEA" w:rsidRDefault="5369FEEA" w14:paraId="56973808" w14:textId="2C710D93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5369FEEA" w:rsidP="5369FEEA" w:rsidRDefault="5369FEEA" w14:paraId="17C4C1AE" w14:textId="509C2D8E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5369FEEA" w:rsidP="5369FEEA" w:rsidRDefault="5369FEEA" w14:paraId="287D00FA" w14:textId="2AB6CCB4">
          <w:pPr>
            <w:pStyle w:val="Encabezado"/>
            <w:bidi w:val="0"/>
            <w:ind w:right="-115"/>
            <w:jc w:val="right"/>
          </w:pPr>
        </w:p>
      </w:tc>
    </w:tr>
  </w:tbl>
  <w:p w:rsidR="5369FEEA" w:rsidRDefault="5369FEEA" w14:paraId="75295B8A" w14:textId="76E4A7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1B42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65573"/>
    <w:rsid w:val="00286017"/>
    <w:rsid w:val="002905A9"/>
    <w:rsid w:val="00292253"/>
    <w:rsid w:val="002B0369"/>
    <w:rsid w:val="002B122E"/>
    <w:rsid w:val="002B7430"/>
    <w:rsid w:val="002D15D6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D0AD7"/>
    <w:rsid w:val="003D4F1B"/>
    <w:rsid w:val="003F1E80"/>
    <w:rsid w:val="003F39E9"/>
    <w:rsid w:val="003F6467"/>
    <w:rsid w:val="004034E0"/>
    <w:rsid w:val="00412FE6"/>
    <w:rsid w:val="004252F8"/>
    <w:rsid w:val="00474C46"/>
    <w:rsid w:val="0049307C"/>
    <w:rsid w:val="004A22B0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379A9"/>
    <w:rsid w:val="00742FDD"/>
    <w:rsid w:val="00756B0F"/>
    <w:rsid w:val="00757A34"/>
    <w:rsid w:val="00760DB5"/>
    <w:rsid w:val="00766214"/>
    <w:rsid w:val="0077562D"/>
    <w:rsid w:val="007A0828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270EF"/>
    <w:rsid w:val="00B21A61"/>
    <w:rsid w:val="00B2727F"/>
    <w:rsid w:val="00B4093A"/>
    <w:rsid w:val="00B40F60"/>
    <w:rsid w:val="00B428B1"/>
    <w:rsid w:val="00B930DA"/>
    <w:rsid w:val="00BA742F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87912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B2ECE"/>
    <w:rsid w:val="00FD46D4"/>
    <w:rsid w:val="00FE3364"/>
    <w:rsid w:val="0E31A30C"/>
    <w:rsid w:val="1AA7172B"/>
    <w:rsid w:val="2104DB82"/>
    <w:rsid w:val="39901951"/>
    <w:rsid w:val="51347523"/>
    <w:rsid w:val="5369FEEA"/>
    <w:rsid w:val="5F1B815E"/>
    <w:rsid w:val="76F5A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styleId="pdq2pgselectionanchorcontainer" w:customStyle="1">
    <w:name w:val="pdq2pg_selectionanchorcontainer"/>
    <w:basedOn w:val="Normal"/>
    <w:rsid w:val="00D87912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header" Target="header2.xml" Id="R407df0b6ee5f463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1658A"/>
    <w:rsid w:val="0088392C"/>
    <w:rsid w:val="008A755C"/>
    <w:rsid w:val="008E161B"/>
    <w:rsid w:val="00923F04"/>
    <w:rsid w:val="0094721A"/>
    <w:rsid w:val="0098797E"/>
    <w:rsid w:val="009D1DB0"/>
    <w:rsid w:val="00A54F2E"/>
    <w:rsid w:val="00AB7B05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64F6FB2-4DB3-44AE-AFD4-CB0554FB8C3E}"/>
</file>

<file path=customXml/itemProps2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Jorge Bustos Gomez</cp:lastModifiedBy>
  <cp:revision>44</cp:revision>
  <cp:lastPrinted>2020-03-03T19:51:00Z</cp:lastPrinted>
  <dcterms:created xsi:type="dcterms:W3CDTF">2025-12-03T00:21:00Z</dcterms:created>
  <dcterms:modified xsi:type="dcterms:W3CDTF">2026-07-09T02:22:31Z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