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E5293A5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1011F3">
        <w:rPr>
          <w:rFonts w:ascii="Arial" w:hAnsi="Arial" w:cs="Arial"/>
          <w:b/>
          <w:lang w:val="es-ES"/>
        </w:rPr>
        <w:t>ODUCCIÓN COMPONENTE FORMATIVO 02</w:t>
      </w:r>
    </w:p>
    <w:p w14:paraId="10970E01" w14:textId="36E4B104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1011F3" w:rsidRPr="001011F3">
        <w:rPr>
          <w:rFonts w:ascii="Arial" w:hAnsi="Arial" w:cs="Arial"/>
          <w:b/>
          <w:lang w:val="es-ES"/>
        </w:rPr>
        <w:t>Operación, control y mejora del S</w:t>
      </w:r>
      <w:r w:rsidR="001011F3">
        <w:rPr>
          <w:rFonts w:ascii="Arial" w:hAnsi="Arial" w:cs="Arial"/>
          <w:b/>
          <w:lang w:val="es-ES"/>
        </w:rPr>
        <w:t>istema de Gestión de la Calidad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7A919732" w14:textId="77777777" w:rsidR="001011F3" w:rsidRPr="001011F3" w:rsidRDefault="001011F3" w:rsidP="001011F3">
      <w:pPr>
        <w:rPr>
          <w:rFonts w:ascii="Arial" w:hAnsi="Arial" w:cs="Arial"/>
        </w:rPr>
      </w:pPr>
      <w:r w:rsidRPr="001011F3">
        <w:rPr>
          <w:rFonts w:ascii="Arial" w:hAnsi="Arial" w:cs="Arial"/>
        </w:rPr>
        <w:t xml:space="preserve">En un entorno donde las </w:t>
      </w:r>
      <w:r w:rsidRPr="001011F3">
        <w:rPr>
          <w:rFonts w:ascii="Arial" w:hAnsi="Arial" w:cs="Arial"/>
          <w:b/>
        </w:rPr>
        <w:t>organizaciones enfrentan cambios constantes</w:t>
      </w:r>
      <w:r w:rsidRPr="001011F3">
        <w:rPr>
          <w:rFonts w:ascii="Arial" w:hAnsi="Arial" w:cs="Arial"/>
        </w:rPr>
        <w:t xml:space="preserve">, la necesidad de ofrecer </w:t>
      </w:r>
      <w:r w:rsidRPr="001011F3">
        <w:rPr>
          <w:rFonts w:ascii="Arial" w:hAnsi="Arial" w:cs="Arial"/>
          <w:b/>
        </w:rPr>
        <w:t>productos y servicios</w:t>
      </w:r>
      <w:r w:rsidRPr="001011F3">
        <w:rPr>
          <w:rFonts w:ascii="Arial" w:hAnsi="Arial" w:cs="Arial"/>
        </w:rPr>
        <w:t xml:space="preserve"> confiables se convierte en un </w:t>
      </w:r>
      <w:r w:rsidRPr="001011F3">
        <w:rPr>
          <w:rFonts w:ascii="Arial" w:hAnsi="Arial" w:cs="Arial"/>
          <w:b/>
        </w:rPr>
        <w:t>desafío permanente</w:t>
      </w:r>
      <w:r w:rsidRPr="001011F3">
        <w:rPr>
          <w:rFonts w:ascii="Arial" w:hAnsi="Arial" w:cs="Arial"/>
        </w:rPr>
        <w:t xml:space="preserve">. </w:t>
      </w:r>
      <w:r w:rsidRPr="001011F3">
        <w:rPr>
          <w:rFonts w:ascii="Arial" w:hAnsi="Arial" w:cs="Arial"/>
          <w:b/>
        </w:rPr>
        <w:t>La calidad</w:t>
      </w:r>
      <w:r w:rsidRPr="001011F3">
        <w:rPr>
          <w:rFonts w:ascii="Arial" w:hAnsi="Arial" w:cs="Arial"/>
        </w:rPr>
        <w:t xml:space="preserve"> deja de ser un resultado aislado para transformarse en una </w:t>
      </w:r>
      <w:r w:rsidRPr="001011F3">
        <w:rPr>
          <w:rFonts w:ascii="Arial" w:hAnsi="Arial" w:cs="Arial"/>
          <w:b/>
        </w:rPr>
        <w:t>práctica estratégica</w:t>
      </w:r>
      <w:r w:rsidRPr="001011F3">
        <w:rPr>
          <w:rFonts w:ascii="Arial" w:hAnsi="Arial" w:cs="Arial"/>
        </w:rPr>
        <w:t xml:space="preserve"> que orienta la manera en que se </w:t>
      </w:r>
      <w:r w:rsidRPr="001011F3">
        <w:rPr>
          <w:rFonts w:ascii="Arial" w:hAnsi="Arial" w:cs="Arial"/>
          <w:b/>
        </w:rPr>
        <w:t>planifican, ejecutan y evalúan las actividades organizacionales</w:t>
      </w:r>
      <w:r w:rsidRPr="001011F3">
        <w:rPr>
          <w:rFonts w:ascii="Arial" w:hAnsi="Arial" w:cs="Arial"/>
        </w:rPr>
        <w:t>.</w:t>
      </w:r>
    </w:p>
    <w:p w14:paraId="3E6260C9" w14:textId="77777777" w:rsidR="001011F3" w:rsidRPr="001011F3" w:rsidRDefault="001011F3" w:rsidP="001011F3">
      <w:pPr>
        <w:rPr>
          <w:rFonts w:ascii="Arial" w:hAnsi="Arial" w:cs="Arial"/>
        </w:rPr>
      </w:pPr>
    </w:p>
    <w:p w14:paraId="5F27D02A" w14:textId="77777777" w:rsidR="001011F3" w:rsidRPr="001011F3" w:rsidRDefault="001011F3" w:rsidP="001011F3">
      <w:pPr>
        <w:rPr>
          <w:rFonts w:ascii="Arial" w:hAnsi="Arial" w:cs="Arial"/>
        </w:rPr>
      </w:pPr>
      <w:r w:rsidRPr="001011F3">
        <w:rPr>
          <w:rFonts w:ascii="Arial" w:hAnsi="Arial" w:cs="Arial"/>
          <w:b/>
        </w:rPr>
        <w:t>La gestión de procesos</w:t>
      </w:r>
      <w:r w:rsidRPr="001011F3">
        <w:rPr>
          <w:rFonts w:ascii="Arial" w:hAnsi="Arial" w:cs="Arial"/>
        </w:rPr>
        <w:t xml:space="preserve"> surge como un enfoque que permite comprender cómo cada actividad se conecta con otra para generar valor. </w:t>
      </w:r>
      <w:r w:rsidRPr="001011F3">
        <w:rPr>
          <w:rFonts w:ascii="Arial" w:hAnsi="Arial" w:cs="Arial"/>
          <w:b/>
        </w:rPr>
        <w:t>Identificar factores</w:t>
      </w:r>
      <w:r w:rsidRPr="001011F3">
        <w:rPr>
          <w:rFonts w:ascii="Arial" w:hAnsi="Arial" w:cs="Arial"/>
        </w:rPr>
        <w:t xml:space="preserve"> </w:t>
      </w:r>
      <w:r w:rsidRPr="001011F3">
        <w:rPr>
          <w:rFonts w:ascii="Arial" w:hAnsi="Arial" w:cs="Arial"/>
          <w:b/>
        </w:rPr>
        <w:t>críticos de éxito</w:t>
      </w:r>
      <w:r w:rsidRPr="001011F3">
        <w:rPr>
          <w:rFonts w:ascii="Arial" w:hAnsi="Arial" w:cs="Arial"/>
        </w:rPr>
        <w:t xml:space="preserve">, </w:t>
      </w:r>
      <w:r w:rsidRPr="001011F3">
        <w:rPr>
          <w:rFonts w:ascii="Arial" w:hAnsi="Arial" w:cs="Arial"/>
          <w:b/>
        </w:rPr>
        <w:t>estructurar mapas de procesos</w:t>
      </w:r>
      <w:r w:rsidRPr="001011F3">
        <w:rPr>
          <w:rFonts w:ascii="Arial" w:hAnsi="Arial" w:cs="Arial"/>
        </w:rPr>
        <w:t xml:space="preserve"> y </w:t>
      </w:r>
      <w:r w:rsidRPr="001011F3">
        <w:rPr>
          <w:rFonts w:ascii="Arial" w:hAnsi="Arial" w:cs="Arial"/>
          <w:b/>
        </w:rPr>
        <w:t>aplicar modelos como la ISO 9001:2015</w:t>
      </w:r>
      <w:r w:rsidRPr="001011F3">
        <w:rPr>
          <w:rFonts w:ascii="Arial" w:hAnsi="Arial" w:cs="Arial"/>
        </w:rPr>
        <w:t xml:space="preserve"> facilita que las organizaciones trabajen de forma ordenada, eficiente y orientada al cliente. En este camino, la </w:t>
      </w:r>
      <w:r w:rsidRPr="001011F3">
        <w:rPr>
          <w:rFonts w:ascii="Arial" w:hAnsi="Arial" w:cs="Arial"/>
          <w:b/>
        </w:rPr>
        <w:t>mejora continua</w:t>
      </w:r>
      <w:r w:rsidRPr="001011F3">
        <w:rPr>
          <w:rFonts w:ascii="Arial" w:hAnsi="Arial" w:cs="Arial"/>
        </w:rPr>
        <w:t xml:space="preserve"> se convierte en un elemento esencial que impulsa la </w:t>
      </w:r>
      <w:r w:rsidRPr="001011F3">
        <w:rPr>
          <w:rFonts w:ascii="Arial" w:hAnsi="Arial" w:cs="Arial"/>
          <w:b/>
        </w:rPr>
        <w:t>adaptación, la innovación y el fortalecimiento del desempeño institucional</w:t>
      </w:r>
      <w:r w:rsidRPr="001011F3">
        <w:rPr>
          <w:rFonts w:ascii="Arial" w:hAnsi="Arial" w:cs="Arial"/>
        </w:rPr>
        <w:t>.</w:t>
      </w:r>
    </w:p>
    <w:p w14:paraId="1569D099" w14:textId="77777777" w:rsidR="001011F3" w:rsidRPr="001011F3" w:rsidRDefault="001011F3" w:rsidP="001011F3">
      <w:pPr>
        <w:rPr>
          <w:rFonts w:ascii="Arial" w:hAnsi="Arial" w:cs="Arial"/>
        </w:rPr>
      </w:pPr>
    </w:p>
    <w:p w14:paraId="1774424B" w14:textId="25D77E88" w:rsidR="001011F3" w:rsidRPr="001011F3" w:rsidRDefault="001011F3" w:rsidP="001011F3">
      <w:pPr>
        <w:rPr>
          <w:rFonts w:ascii="Arial" w:hAnsi="Arial" w:cs="Arial"/>
        </w:rPr>
      </w:pPr>
      <w:r w:rsidRPr="001011F3">
        <w:rPr>
          <w:rFonts w:ascii="Arial" w:hAnsi="Arial" w:cs="Arial"/>
        </w:rPr>
        <w:t xml:space="preserve">Para garantizar resultados confiables, las organizaciones utilizan </w:t>
      </w:r>
      <w:r w:rsidRPr="001011F3">
        <w:rPr>
          <w:rFonts w:ascii="Arial" w:hAnsi="Arial" w:cs="Arial"/>
          <w:b/>
        </w:rPr>
        <w:t>indicadores de gestión</w:t>
      </w:r>
      <w:r w:rsidRPr="001011F3">
        <w:rPr>
          <w:rFonts w:ascii="Arial" w:hAnsi="Arial" w:cs="Arial"/>
        </w:rPr>
        <w:t xml:space="preserve"> que permiten </w:t>
      </w:r>
      <w:r w:rsidRPr="001011F3">
        <w:rPr>
          <w:rFonts w:ascii="Arial" w:hAnsi="Arial" w:cs="Arial"/>
          <w:b/>
        </w:rPr>
        <w:t>medir, analizar e interpretar el comportamiento de los procesos</w:t>
      </w:r>
      <w:r w:rsidRPr="001011F3">
        <w:rPr>
          <w:rFonts w:ascii="Arial" w:hAnsi="Arial" w:cs="Arial"/>
        </w:rPr>
        <w:t xml:space="preserve">. Estas herramientas proporcionan información clave para la toma de decisiones y permiten identificar oportunidades de mejora mediante </w:t>
      </w:r>
      <w:r w:rsidRPr="001011F3">
        <w:rPr>
          <w:rFonts w:ascii="Arial" w:hAnsi="Arial" w:cs="Arial"/>
          <w:b/>
        </w:rPr>
        <w:t>métodos estructurados</w:t>
      </w:r>
      <w:r w:rsidRPr="001011F3">
        <w:rPr>
          <w:rFonts w:ascii="Arial" w:hAnsi="Arial" w:cs="Arial"/>
        </w:rPr>
        <w:t xml:space="preserve"> como el </w:t>
      </w:r>
      <w:r w:rsidR="007238E6">
        <w:rPr>
          <w:rFonts w:ascii="Arial" w:hAnsi="Arial" w:cs="Arial"/>
          <w:b/>
        </w:rPr>
        <w:t>diagrama</w:t>
      </w:r>
      <w:bookmarkStart w:id="1" w:name="_GoBack"/>
      <w:bookmarkEnd w:id="1"/>
      <w:r w:rsidRPr="001011F3">
        <w:rPr>
          <w:rFonts w:ascii="Arial" w:hAnsi="Arial" w:cs="Arial"/>
          <w:b/>
        </w:rPr>
        <w:t xml:space="preserve"> de</w:t>
      </w:r>
      <w:r w:rsidRPr="001011F3">
        <w:rPr>
          <w:rFonts w:ascii="Arial" w:hAnsi="Arial" w:cs="Arial"/>
        </w:rPr>
        <w:t xml:space="preserve"> </w:t>
      </w:r>
      <w:r w:rsidRPr="001011F3">
        <w:rPr>
          <w:rFonts w:ascii="Arial" w:hAnsi="Arial" w:cs="Arial"/>
          <w:b/>
        </w:rPr>
        <w:t>Pareto</w:t>
      </w:r>
      <w:r w:rsidRPr="001011F3">
        <w:rPr>
          <w:rFonts w:ascii="Arial" w:hAnsi="Arial" w:cs="Arial"/>
        </w:rPr>
        <w:t xml:space="preserve">, el </w:t>
      </w:r>
      <w:r w:rsidRPr="001011F3">
        <w:rPr>
          <w:rFonts w:ascii="Arial" w:hAnsi="Arial" w:cs="Arial"/>
          <w:b/>
        </w:rPr>
        <w:t>diagrama causa-efecto</w:t>
      </w:r>
      <w:r w:rsidRPr="001011F3">
        <w:rPr>
          <w:rFonts w:ascii="Arial" w:hAnsi="Arial" w:cs="Arial"/>
        </w:rPr>
        <w:t xml:space="preserve">, la </w:t>
      </w:r>
      <w:r w:rsidRPr="001011F3">
        <w:rPr>
          <w:rFonts w:ascii="Arial" w:hAnsi="Arial" w:cs="Arial"/>
          <w:b/>
        </w:rPr>
        <w:t>tormenta de ideas</w:t>
      </w:r>
      <w:r w:rsidRPr="001011F3">
        <w:rPr>
          <w:rFonts w:ascii="Arial" w:hAnsi="Arial" w:cs="Arial"/>
        </w:rPr>
        <w:t xml:space="preserve"> y enfoques de optimización como </w:t>
      </w:r>
      <w:r w:rsidRPr="001011F3">
        <w:rPr>
          <w:rFonts w:ascii="Arial" w:hAnsi="Arial" w:cs="Arial"/>
          <w:b/>
        </w:rPr>
        <w:t>Seis Sigma</w:t>
      </w:r>
      <w:r w:rsidRPr="001011F3">
        <w:rPr>
          <w:rFonts w:ascii="Arial" w:hAnsi="Arial" w:cs="Arial"/>
        </w:rPr>
        <w:t>.</w:t>
      </w:r>
    </w:p>
    <w:p w14:paraId="62200060" w14:textId="77777777" w:rsidR="001011F3" w:rsidRPr="001011F3" w:rsidRDefault="001011F3" w:rsidP="001011F3">
      <w:pPr>
        <w:rPr>
          <w:rFonts w:ascii="Arial" w:hAnsi="Arial" w:cs="Arial"/>
        </w:rPr>
      </w:pPr>
    </w:p>
    <w:p w14:paraId="00BB4782" w14:textId="77777777" w:rsidR="001011F3" w:rsidRPr="001011F3" w:rsidRDefault="001011F3" w:rsidP="001011F3">
      <w:pPr>
        <w:rPr>
          <w:rFonts w:ascii="Arial" w:hAnsi="Arial" w:cs="Arial"/>
        </w:rPr>
      </w:pPr>
      <w:r w:rsidRPr="001011F3">
        <w:rPr>
          <w:rFonts w:ascii="Arial" w:hAnsi="Arial" w:cs="Arial"/>
        </w:rPr>
        <w:t xml:space="preserve">El </w:t>
      </w:r>
      <w:r w:rsidRPr="001011F3">
        <w:rPr>
          <w:rFonts w:ascii="Arial" w:hAnsi="Arial" w:cs="Arial"/>
          <w:b/>
        </w:rPr>
        <w:t>control de calidad</w:t>
      </w:r>
      <w:r w:rsidRPr="001011F3">
        <w:rPr>
          <w:rFonts w:ascii="Arial" w:hAnsi="Arial" w:cs="Arial"/>
        </w:rPr>
        <w:t xml:space="preserve"> complementa este proceso mediante </w:t>
      </w:r>
      <w:r w:rsidRPr="001011F3">
        <w:rPr>
          <w:rFonts w:ascii="Arial" w:hAnsi="Arial" w:cs="Arial"/>
          <w:b/>
        </w:rPr>
        <w:t>sistemas de medición</w:t>
      </w:r>
      <w:r w:rsidRPr="001011F3">
        <w:rPr>
          <w:rFonts w:ascii="Arial" w:hAnsi="Arial" w:cs="Arial"/>
        </w:rPr>
        <w:t xml:space="preserve">, </w:t>
      </w:r>
      <w:r w:rsidRPr="001011F3">
        <w:rPr>
          <w:rFonts w:ascii="Arial" w:hAnsi="Arial" w:cs="Arial"/>
          <w:b/>
        </w:rPr>
        <w:t>análisis estadístico</w:t>
      </w:r>
      <w:r w:rsidRPr="001011F3">
        <w:rPr>
          <w:rFonts w:ascii="Arial" w:hAnsi="Arial" w:cs="Arial"/>
        </w:rPr>
        <w:t xml:space="preserve"> y </w:t>
      </w:r>
      <w:r w:rsidRPr="001011F3">
        <w:rPr>
          <w:rFonts w:ascii="Arial" w:hAnsi="Arial" w:cs="Arial"/>
          <w:b/>
        </w:rPr>
        <w:t>verificación del cumplimiento</w:t>
      </w:r>
      <w:r w:rsidRPr="001011F3">
        <w:rPr>
          <w:rFonts w:ascii="Arial" w:hAnsi="Arial" w:cs="Arial"/>
        </w:rPr>
        <w:t xml:space="preserve"> de estándares establecidos. A su vez, la operación bajo los lineamientos de la norma ISO 9001:2015 permite </w:t>
      </w:r>
      <w:r w:rsidRPr="001011F3">
        <w:rPr>
          <w:rFonts w:ascii="Arial" w:hAnsi="Arial" w:cs="Arial"/>
          <w:b/>
        </w:rPr>
        <w:t>planificar, diseñar, controlar y liberar productos y servicios asegurando su conformidad</w:t>
      </w:r>
      <w:r w:rsidRPr="001011F3">
        <w:rPr>
          <w:rFonts w:ascii="Arial" w:hAnsi="Arial" w:cs="Arial"/>
        </w:rPr>
        <w:t>.</w:t>
      </w:r>
    </w:p>
    <w:p w14:paraId="2BB2F788" w14:textId="77777777" w:rsidR="001011F3" w:rsidRPr="001011F3" w:rsidRDefault="001011F3" w:rsidP="001011F3">
      <w:pPr>
        <w:rPr>
          <w:rFonts w:ascii="Arial" w:hAnsi="Arial" w:cs="Arial"/>
        </w:rPr>
      </w:pPr>
    </w:p>
    <w:p w14:paraId="08524A65" w14:textId="1B068BE0" w:rsidR="00B13AAA" w:rsidRDefault="001011F3" w:rsidP="001011F3">
      <w:pPr>
        <w:rPr>
          <w:rFonts w:ascii="Arial" w:hAnsi="Arial" w:cs="Arial"/>
        </w:rPr>
      </w:pPr>
      <w:r w:rsidRPr="001011F3">
        <w:rPr>
          <w:rFonts w:ascii="Arial" w:hAnsi="Arial" w:cs="Arial"/>
        </w:rPr>
        <w:t xml:space="preserve">De esta manera, la mejora del </w:t>
      </w:r>
      <w:r w:rsidRPr="001011F3">
        <w:rPr>
          <w:rFonts w:ascii="Arial" w:hAnsi="Arial" w:cs="Arial"/>
          <w:b/>
        </w:rPr>
        <w:t>Sistema de Gestión de la Calidad</w:t>
      </w:r>
      <w:r w:rsidRPr="001011F3">
        <w:rPr>
          <w:rFonts w:ascii="Arial" w:hAnsi="Arial" w:cs="Arial"/>
        </w:rPr>
        <w:t xml:space="preserve"> se consolida como un proceso dinámico que promueve la </w:t>
      </w:r>
      <w:r w:rsidRPr="001011F3">
        <w:rPr>
          <w:rFonts w:ascii="Arial" w:hAnsi="Arial" w:cs="Arial"/>
          <w:b/>
        </w:rPr>
        <w:t>corrección de desviaciones, el aprendizaje organizacional y la generación de valor sostenible para las organizaciones y sus partes interesadas</w:t>
      </w:r>
      <w:r w:rsidRPr="001011F3">
        <w:rPr>
          <w:rFonts w:ascii="Arial" w:hAnsi="Arial" w:cs="Arial"/>
        </w:rPr>
        <w:t>.</w:t>
      </w:r>
    </w:p>
    <w:p w14:paraId="6530E262" w14:textId="77777777" w:rsidR="001011F3" w:rsidRDefault="001011F3" w:rsidP="001011F3">
      <w:pPr>
        <w:rPr>
          <w:rFonts w:ascii="Arial" w:hAnsi="Arial" w:cs="Arial"/>
        </w:rPr>
      </w:pPr>
    </w:p>
    <w:p w14:paraId="1DA72FD2" w14:textId="0D30BBCB" w:rsidR="0034187D" w:rsidRPr="004C00F3" w:rsidRDefault="0034187D" w:rsidP="00B13AAA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1011F3">
        <w:rPr>
          <w:rFonts w:ascii="Arial" w:hAnsi="Arial" w:cs="Arial"/>
        </w:rPr>
        <w:t>269</w:t>
      </w: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011F3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38E6"/>
    <w:rsid w:val="00727B47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D37DFB-3F1A-4613-BF5F-8AD2920812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25</cp:revision>
  <dcterms:created xsi:type="dcterms:W3CDTF">2024-08-06T13:31:00Z</dcterms:created>
  <dcterms:modified xsi:type="dcterms:W3CDTF">2026-02-11T11:50:00Z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