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092C6550" w14:textId="74489F3D" w:rsidR="001B6014" w:rsidRDefault="007B608A" w:rsidP="001B6014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E2228D" w:rsidRPr="00E2228D">
        <w:rPr>
          <w:rFonts w:ascii="Arial" w:hAnsi="Arial" w:cs="Arial"/>
          <w:b/>
          <w:bCs/>
        </w:rPr>
        <w:t>Gestión y recuperación de cartera en entidades financieras</w:t>
      </w:r>
    </w:p>
    <w:p w14:paraId="6990D502" w14:textId="77777777" w:rsidR="00E2228D" w:rsidRPr="00E2228D" w:rsidRDefault="00E2228D" w:rsidP="001B6014">
      <w:pPr>
        <w:jc w:val="center"/>
        <w:rPr>
          <w:rFonts w:ascii="Arial" w:hAnsi="Arial" w:cs="Arial"/>
        </w:rPr>
      </w:pPr>
    </w:p>
    <w:p w14:paraId="1BE2A5B5" w14:textId="77777777" w:rsidR="00E2228D" w:rsidRPr="00E2228D" w:rsidRDefault="00E2228D" w:rsidP="00E2228D">
      <w:pPr>
        <w:rPr>
          <w:rFonts w:ascii="Arial" w:hAnsi="Arial" w:cs="Arial"/>
        </w:rPr>
      </w:pPr>
      <w:r w:rsidRPr="00E2228D">
        <w:rPr>
          <w:rFonts w:ascii="Arial" w:hAnsi="Arial" w:cs="Arial"/>
        </w:rPr>
        <w:t xml:space="preserve">La </w:t>
      </w:r>
      <w:r w:rsidRPr="00E2228D">
        <w:rPr>
          <w:rFonts w:ascii="Arial" w:hAnsi="Arial" w:cs="Arial"/>
          <w:b/>
          <w:bCs/>
        </w:rPr>
        <w:t>cartera de créditos</w:t>
      </w:r>
      <w:r w:rsidRPr="00E2228D">
        <w:rPr>
          <w:rFonts w:ascii="Arial" w:hAnsi="Arial" w:cs="Arial"/>
        </w:rPr>
        <w:t xml:space="preserve"> es uno de los activos más importantes de las entidades financieras, porque de su </w:t>
      </w:r>
      <w:r w:rsidRPr="00E2228D">
        <w:rPr>
          <w:rFonts w:ascii="Arial" w:hAnsi="Arial" w:cs="Arial"/>
          <w:b/>
          <w:bCs/>
        </w:rPr>
        <w:t>adecuada administración</w:t>
      </w:r>
      <w:r w:rsidRPr="00E2228D">
        <w:rPr>
          <w:rFonts w:ascii="Arial" w:hAnsi="Arial" w:cs="Arial"/>
        </w:rPr>
        <w:t xml:space="preserve"> dependen la </w:t>
      </w:r>
      <w:r w:rsidRPr="00E2228D">
        <w:rPr>
          <w:rFonts w:ascii="Arial" w:hAnsi="Arial" w:cs="Arial"/>
          <w:b/>
          <w:bCs/>
        </w:rPr>
        <w:t>generación de ingresos</w:t>
      </w:r>
      <w:r w:rsidRPr="00E2228D">
        <w:rPr>
          <w:rFonts w:ascii="Arial" w:hAnsi="Arial" w:cs="Arial"/>
        </w:rPr>
        <w:t xml:space="preserve">, la estabilidad patrimonial y la </w:t>
      </w:r>
      <w:r w:rsidRPr="00E2228D">
        <w:rPr>
          <w:rFonts w:ascii="Arial" w:hAnsi="Arial" w:cs="Arial"/>
          <w:b/>
          <w:bCs/>
        </w:rPr>
        <w:t>continuidad del servicio crediticio</w:t>
      </w:r>
      <w:r w:rsidRPr="00E2228D">
        <w:rPr>
          <w:rFonts w:ascii="Arial" w:hAnsi="Arial" w:cs="Arial"/>
        </w:rPr>
        <w:t xml:space="preserve">. Cuando una obligación </w:t>
      </w:r>
      <w:r w:rsidRPr="00E2228D">
        <w:rPr>
          <w:rFonts w:ascii="Arial" w:hAnsi="Arial" w:cs="Arial"/>
          <w:b/>
          <w:bCs/>
        </w:rPr>
        <w:t>entra en mora</w:t>
      </w:r>
      <w:r w:rsidRPr="00E2228D">
        <w:rPr>
          <w:rFonts w:ascii="Arial" w:hAnsi="Arial" w:cs="Arial"/>
        </w:rPr>
        <w:t xml:space="preserve">, la entidad debe actuar de manera </w:t>
      </w:r>
      <w:r w:rsidRPr="00E2228D">
        <w:rPr>
          <w:rFonts w:ascii="Arial" w:hAnsi="Arial" w:cs="Arial"/>
          <w:b/>
          <w:bCs/>
        </w:rPr>
        <w:t>oportuna, técnica y responsable</w:t>
      </w:r>
      <w:r w:rsidRPr="00E2228D">
        <w:rPr>
          <w:rFonts w:ascii="Arial" w:hAnsi="Arial" w:cs="Arial"/>
        </w:rPr>
        <w:t xml:space="preserve"> para prevenir el deterioro de la cartera y proteger los recursos administrados.</w:t>
      </w:r>
    </w:p>
    <w:p w14:paraId="60FBCF8B" w14:textId="77777777" w:rsidR="00E2228D" w:rsidRPr="00E2228D" w:rsidRDefault="00E2228D" w:rsidP="00E2228D">
      <w:pPr>
        <w:rPr>
          <w:rFonts w:ascii="Arial" w:hAnsi="Arial" w:cs="Arial"/>
        </w:rPr>
      </w:pPr>
      <w:r w:rsidRPr="00E2228D">
        <w:rPr>
          <w:rFonts w:ascii="Arial" w:hAnsi="Arial" w:cs="Arial"/>
        </w:rPr>
        <w:t xml:space="preserve">Este componente formativo aborda los fundamentos de la </w:t>
      </w:r>
      <w:r w:rsidRPr="00E2228D">
        <w:rPr>
          <w:rFonts w:ascii="Arial" w:hAnsi="Arial" w:cs="Arial"/>
          <w:b/>
          <w:bCs/>
        </w:rPr>
        <w:t>gestión y recuperación de cartera</w:t>
      </w:r>
      <w:r w:rsidRPr="00E2228D">
        <w:rPr>
          <w:rFonts w:ascii="Arial" w:hAnsi="Arial" w:cs="Arial"/>
        </w:rPr>
        <w:t xml:space="preserve"> en </w:t>
      </w:r>
      <w:r w:rsidRPr="00E2228D">
        <w:rPr>
          <w:rFonts w:ascii="Arial" w:hAnsi="Arial" w:cs="Arial"/>
          <w:b/>
          <w:bCs/>
        </w:rPr>
        <w:t>entidades financieras</w:t>
      </w:r>
      <w:r w:rsidRPr="00E2228D">
        <w:rPr>
          <w:rFonts w:ascii="Arial" w:hAnsi="Arial" w:cs="Arial"/>
        </w:rPr>
        <w:t xml:space="preserve">. Para ello, se estudian los conceptos básicos de </w:t>
      </w:r>
      <w:r w:rsidRPr="00E2228D">
        <w:rPr>
          <w:rFonts w:ascii="Arial" w:hAnsi="Arial" w:cs="Arial"/>
          <w:b/>
          <w:bCs/>
        </w:rPr>
        <w:t>administración</w:t>
      </w:r>
      <w:r w:rsidRPr="00E2228D">
        <w:rPr>
          <w:rFonts w:ascii="Arial" w:hAnsi="Arial" w:cs="Arial"/>
        </w:rPr>
        <w:t xml:space="preserve"> aplicados al sector financiero, la </w:t>
      </w:r>
      <w:r w:rsidRPr="00E2228D">
        <w:rPr>
          <w:rFonts w:ascii="Arial" w:hAnsi="Arial" w:cs="Arial"/>
          <w:b/>
          <w:bCs/>
        </w:rPr>
        <w:t>estructura de las entidades de crédito</w:t>
      </w:r>
      <w:r w:rsidRPr="00E2228D">
        <w:rPr>
          <w:rFonts w:ascii="Arial" w:hAnsi="Arial" w:cs="Arial"/>
        </w:rPr>
        <w:t xml:space="preserve">, las funciones administrativas, la </w:t>
      </w:r>
      <w:r w:rsidRPr="00E2228D">
        <w:rPr>
          <w:rFonts w:ascii="Arial" w:hAnsi="Arial" w:cs="Arial"/>
          <w:b/>
          <w:bCs/>
        </w:rPr>
        <w:t>rotación de cartera</w:t>
      </w:r>
      <w:r w:rsidRPr="00E2228D">
        <w:rPr>
          <w:rFonts w:ascii="Arial" w:hAnsi="Arial" w:cs="Arial"/>
        </w:rPr>
        <w:t xml:space="preserve"> y la clasificación de las obligaciones según su </w:t>
      </w:r>
      <w:r w:rsidRPr="00E2228D">
        <w:rPr>
          <w:rFonts w:ascii="Arial" w:hAnsi="Arial" w:cs="Arial"/>
          <w:b/>
          <w:bCs/>
        </w:rPr>
        <w:t>nivel de riesgo</w:t>
      </w:r>
      <w:r w:rsidRPr="00E2228D">
        <w:rPr>
          <w:rFonts w:ascii="Arial" w:hAnsi="Arial" w:cs="Arial"/>
        </w:rPr>
        <w:t>.</w:t>
      </w:r>
    </w:p>
    <w:p w14:paraId="3755E994" w14:textId="77777777" w:rsidR="00E2228D" w:rsidRPr="00E2228D" w:rsidRDefault="00E2228D" w:rsidP="00E2228D">
      <w:pPr>
        <w:rPr>
          <w:rFonts w:ascii="Arial" w:hAnsi="Arial" w:cs="Arial"/>
        </w:rPr>
      </w:pPr>
      <w:r w:rsidRPr="00E2228D">
        <w:rPr>
          <w:rFonts w:ascii="Arial" w:hAnsi="Arial" w:cs="Arial"/>
        </w:rPr>
        <w:t xml:space="preserve">Asimismo, se analizan los </w:t>
      </w:r>
      <w:r w:rsidRPr="00E2228D">
        <w:rPr>
          <w:rFonts w:ascii="Arial" w:hAnsi="Arial" w:cs="Arial"/>
          <w:b/>
          <w:bCs/>
        </w:rPr>
        <w:t>principios éticos</w:t>
      </w:r>
      <w:r w:rsidRPr="00E2228D">
        <w:rPr>
          <w:rFonts w:ascii="Arial" w:hAnsi="Arial" w:cs="Arial"/>
        </w:rPr>
        <w:t xml:space="preserve">, la política institucional de cartera y las </w:t>
      </w:r>
      <w:r w:rsidRPr="00E2228D">
        <w:rPr>
          <w:rFonts w:ascii="Arial" w:hAnsi="Arial" w:cs="Arial"/>
          <w:b/>
          <w:bCs/>
        </w:rPr>
        <w:t>buenas prácticas</w:t>
      </w:r>
      <w:r w:rsidRPr="00E2228D">
        <w:rPr>
          <w:rFonts w:ascii="Arial" w:hAnsi="Arial" w:cs="Arial"/>
        </w:rPr>
        <w:t xml:space="preserve"> de </w:t>
      </w:r>
      <w:r w:rsidRPr="00E2228D">
        <w:rPr>
          <w:rFonts w:ascii="Arial" w:hAnsi="Arial" w:cs="Arial"/>
          <w:b/>
          <w:bCs/>
        </w:rPr>
        <w:t>atención al deudor</w:t>
      </w:r>
      <w:r w:rsidRPr="00E2228D">
        <w:rPr>
          <w:rFonts w:ascii="Arial" w:hAnsi="Arial" w:cs="Arial"/>
        </w:rPr>
        <w:t xml:space="preserve">. Estos aspectos permiten comprender que la recuperación no solo implica </w:t>
      </w:r>
      <w:r w:rsidRPr="00E2228D">
        <w:rPr>
          <w:rFonts w:ascii="Arial" w:hAnsi="Arial" w:cs="Arial"/>
          <w:b/>
          <w:bCs/>
        </w:rPr>
        <w:t>cobrar una obligación</w:t>
      </w:r>
      <w:r w:rsidRPr="00E2228D">
        <w:rPr>
          <w:rFonts w:ascii="Arial" w:hAnsi="Arial" w:cs="Arial"/>
        </w:rPr>
        <w:t xml:space="preserve">, sino también actuar con </w:t>
      </w:r>
      <w:r w:rsidRPr="00E2228D">
        <w:rPr>
          <w:rFonts w:ascii="Arial" w:hAnsi="Arial" w:cs="Arial"/>
          <w:b/>
          <w:bCs/>
        </w:rPr>
        <w:t>respeto, transparencia y cumplimiento normativo</w:t>
      </w:r>
      <w:r w:rsidRPr="00E2228D">
        <w:rPr>
          <w:rFonts w:ascii="Arial" w:hAnsi="Arial" w:cs="Arial"/>
        </w:rPr>
        <w:t>.</w:t>
      </w:r>
    </w:p>
    <w:p w14:paraId="7AA4561A" w14:textId="77777777" w:rsidR="00813E72" w:rsidRPr="00813E72" w:rsidRDefault="00813E72" w:rsidP="00813E72">
      <w:pPr>
        <w:rPr>
          <w:rFonts w:ascii="Arial" w:hAnsi="Arial" w:cs="Arial"/>
          <w:color w:val="000000" w:themeColor="text1"/>
        </w:rPr>
      </w:pPr>
      <w:r w:rsidRPr="00813E72">
        <w:rPr>
          <w:rFonts w:ascii="Arial" w:hAnsi="Arial" w:cs="Arial"/>
          <w:color w:val="000000" w:themeColor="text1"/>
        </w:rPr>
        <w:t xml:space="preserve">De igual forma, se presentan los elementos necesarios para elaborar </w:t>
      </w:r>
      <w:r w:rsidRPr="00813E72">
        <w:rPr>
          <w:rFonts w:ascii="Arial" w:hAnsi="Arial" w:cs="Arial"/>
          <w:b/>
          <w:bCs/>
          <w:color w:val="000000" w:themeColor="text1"/>
        </w:rPr>
        <w:t>planes de recuperación</w:t>
      </w:r>
      <w:r w:rsidRPr="00813E72">
        <w:rPr>
          <w:rFonts w:ascii="Arial" w:hAnsi="Arial" w:cs="Arial"/>
          <w:color w:val="000000" w:themeColor="text1"/>
        </w:rPr>
        <w:t>, definir e</w:t>
      </w:r>
      <w:r w:rsidRPr="00813E72">
        <w:rPr>
          <w:rFonts w:ascii="Arial" w:hAnsi="Arial" w:cs="Arial"/>
          <w:b/>
          <w:bCs/>
          <w:color w:val="000000" w:themeColor="text1"/>
        </w:rPr>
        <w:t>strategias de seguimiento</w:t>
      </w:r>
      <w:r w:rsidRPr="00813E72">
        <w:rPr>
          <w:rFonts w:ascii="Arial" w:hAnsi="Arial" w:cs="Arial"/>
          <w:color w:val="000000" w:themeColor="text1"/>
        </w:rPr>
        <w:t xml:space="preserve">, aplicar técnicas de negociación y realizar </w:t>
      </w:r>
      <w:r w:rsidRPr="00813E72">
        <w:rPr>
          <w:rFonts w:ascii="Arial" w:hAnsi="Arial" w:cs="Arial"/>
          <w:b/>
          <w:bCs/>
          <w:color w:val="000000" w:themeColor="text1"/>
        </w:rPr>
        <w:t xml:space="preserve">visitas de cobranza </w:t>
      </w:r>
      <w:r w:rsidRPr="00813E72">
        <w:rPr>
          <w:rFonts w:ascii="Arial" w:hAnsi="Arial" w:cs="Arial"/>
          <w:color w:val="000000" w:themeColor="text1"/>
        </w:rPr>
        <w:t xml:space="preserve">según la etapa de mora. También se desarrollan casos prácticos propios de las </w:t>
      </w:r>
      <w:r w:rsidRPr="00813E72">
        <w:rPr>
          <w:rFonts w:ascii="Arial" w:hAnsi="Arial" w:cs="Arial"/>
          <w:b/>
          <w:bCs/>
          <w:color w:val="000000" w:themeColor="text1"/>
        </w:rPr>
        <w:t>entidades financieras colombianas</w:t>
      </w:r>
      <w:r w:rsidRPr="00813E72">
        <w:rPr>
          <w:rFonts w:ascii="Arial" w:hAnsi="Arial" w:cs="Arial"/>
          <w:color w:val="000000" w:themeColor="text1"/>
        </w:rPr>
        <w:t>.</w:t>
      </w:r>
    </w:p>
    <w:p w14:paraId="35359597" w14:textId="77777777" w:rsidR="00813E72" w:rsidRDefault="00813E72" w:rsidP="00813E72">
      <w:pPr>
        <w:rPr>
          <w:rFonts w:ascii="Arial" w:hAnsi="Arial" w:cs="Arial"/>
          <w:color w:val="000000" w:themeColor="text1"/>
        </w:rPr>
      </w:pPr>
      <w:r w:rsidRPr="00813E72">
        <w:rPr>
          <w:rFonts w:ascii="Arial" w:hAnsi="Arial" w:cs="Arial"/>
          <w:color w:val="000000" w:themeColor="text1"/>
        </w:rPr>
        <w:t xml:space="preserve">De esta manera, este </w:t>
      </w:r>
      <w:r w:rsidRPr="00813E72">
        <w:rPr>
          <w:rFonts w:ascii="Arial" w:hAnsi="Arial" w:cs="Arial"/>
          <w:b/>
          <w:bCs/>
          <w:color w:val="000000" w:themeColor="text1"/>
        </w:rPr>
        <w:t xml:space="preserve">espacio de aprendizaje </w:t>
      </w:r>
      <w:r w:rsidRPr="00813E72">
        <w:rPr>
          <w:rFonts w:ascii="Arial" w:hAnsi="Arial" w:cs="Arial"/>
          <w:color w:val="000000" w:themeColor="text1"/>
        </w:rPr>
        <w:t xml:space="preserve">fortalece la capacidad para interpretar información de cartera, </w:t>
      </w:r>
      <w:r w:rsidRPr="00813E72">
        <w:rPr>
          <w:rFonts w:ascii="Arial" w:hAnsi="Arial" w:cs="Arial"/>
          <w:b/>
          <w:bCs/>
          <w:color w:val="000000" w:themeColor="text1"/>
        </w:rPr>
        <w:t>tomar decisiones responsables</w:t>
      </w:r>
      <w:r w:rsidRPr="00813E72">
        <w:rPr>
          <w:rFonts w:ascii="Arial" w:hAnsi="Arial" w:cs="Arial"/>
          <w:color w:val="000000" w:themeColor="text1"/>
        </w:rPr>
        <w:t xml:space="preserve"> y proponer acciones de mejora. </w:t>
      </w:r>
    </w:p>
    <w:p w14:paraId="67212301" w14:textId="7D48DAF1" w:rsidR="00813E72" w:rsidRPr="00813E72" w:rsidRDefault="00813E72" w:rsidP="00E2228D">
      <w:pPr>
        <w:rPr>
          <w:rFonts w:ascii="Arial" w:hAnsi="Arial" w:cs="Arial"/>
          <w:color w:val="000000" w:themeColor="text1"/>
        </w:rPr>
      </w:pPr>
      <w:r w:rsidRPr="00813E72">
        <w:rPr>
          <w:rFonts w:ascii="Arial" w:hAnsi="Arial" w:cs="Arial"/>
          <w:color w:val="000000" w:themeColor="text1"/>
        </w:rPr>
        <w:t xml:space="preserve">Asimismo, promueve una gestión </w:t>
      </w:r>
      <w:r w:rsidRPr="00813E72">
        <w:rPr>
          <w:rFonts w:ascii="Arial" w:hAnsi="Arial" w:cs="Arial"/>
          <w:b/>
          <w:bCs/>
          <w:color w:val="000000" w:themeColor="text1"/>
        </w:rPr>
        <w:t>técnica, ética y normativa</w:t>
      </w:r>
      <w:r w:rsidRPr="00813E72">
        <w:rPr>
          <w:rFonts w:ascii="Arial" w:hAnsi="Arial" w:cs="Arial"/>
          <w:color w:val="000000" w:themeColor="text1"/>
        </w:rPr>
        <w:t xml:space="preserve">, orientada al servicio institucional, a la </w:t>
      </w:r>
      <w:r w:rsidRPr="00813E72">
        <w:rPr>
          <w:rFonts w:ascii="Arial" w:hAnsi="Arial" w:cs="Arial"/>
          <w:b/>
          <w:bCs/>
          <w:color w:val="000000" w:themeColor="text1"/>
        </w:rPr>
        <w:t>recuperación efectiva de las obligaciones</w:t>
      </w:r>
      <w:r w:rsidRPr="00813E72">
        <w:rPr>
          <w:rFonts w:ascii="Arial" w:hAnsi="Arial" w:cs="Arial"/>
          <w:color w:val="000000" w:themeColor="text1"/>
        </w:rPr>
        <w:t xml:space="preserve"> y a la protección del </w:t>
      </w:r>
      <w:r w:rsidRPr="00813E72">
        <w:rPr>
          <w:rFonts w:ascii="Arial" w:hAnsi="Arial" w:cs="Arial"/>
          <w:b/>
          <w:bCs/>
          <w:color w:val="000000" w:themeColor="text1"/>
        </w:rPr>
        <w:t>consumidor financiero</w:t>
      </w:r>
      <w:r w:rsidRPr="00813E72">
        <w:rPr>
          <w:rFonts w:ascii="Arial" w:hAnsi="Arial" w:cs="Arial"/>
          <w:color w:val="000000" w:themeColor="text1"/>
        </w:rPr>
        <w:t xml:space="preserve"> en </w:t>
      </w:r>
      <w:r w:rsidRPr="00813E72">
        <w:rPr>
          <w:rFonts w:ascii="Arial" w:hAnsi="Arial" w:cs="Arial"/>
          <w:b/>
          <w:bCs/>
          <w:color w:val="000000" w:themeColor="text1"/>
        </w:rPr>
        <w:t>Colombia</w:t>
      </w:r>
      <w:r w:rsidRPr="00813E72">
        <w:rPr>
          <w:rFonts w:ascii="Arial" w:hAnsi="Arial" w:cs="Arial"/>
          <w:color w:val="000000" w:themeColor="text1"/>
        </w:rPr>
        <w:t>.</w:t>
      </w:r>
    </w:p>
    <w:p w14:paraId="0B881103" w14:textId="1BCCFF77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2</w:t>
      </w:r>
      <w:r w:rsidR="00E2228D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40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B6014"/>
    <w:rsid w:val="001E0849"/>
    <w:rsid w:val="00220B3D"/>
    <w:rsid w:val="00241A0E"/>
    <w:rsid w:val="00242B75"/>
    <w:rsid w:val="002456CE"/>
    <w:rsid w:val="00263EA5"/>
    <w:rsid w:val="00270492"/>
    <w:rsid w:val="0027796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353EE"/>
    <w:rsid w:val="00655FB5"/>
    <w:rsid w:val="00666672"/>
    <w:rsid w:val="006711B4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3E72"/>
    <w:rsid w:val="00814543"/>
    <w:rsid w:val="008214F4"/>
    <w:rsid w:val="00827B49"/>
    <w:rsid w:val="00844D29"/>
    <w:rsid w:val="00856931"/>
    <w:rsid w:val="00896F06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B68BC"/>
    <w:rsid w:val="00AD19E6"/>
    <w:rsid w:val="00AD7724"/>
    <w:rsid w:val="00AF76AE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E14988"/>
    <w:rsid w:val="00E165E1"/>
    <w:rsid w:val="00E2228D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4998E1-C65B-4C46-9F87-BB8618897D96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268</Words>
  <Characters>1637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105</cp:revision>
  <dcterms:created xsi:type="dcterms:W3CDTF">2024-08-06T13:31:00Z</dcterms:created>
  <dcterms:modified xsi:type="dcterms:W3CDTF">2026-05-21T17:19:00Z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