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Agroecología</w:t>
      </w:r>
    </w:p>
    <w:p w:rsidR="00000000" w:rsidDel="00000000" w:rsidP="00000000" w:rsidRDefault="00000000" w:rsidRPr="00000000" w14:paraId="00000002">
      <w:pPr>
        <w:jc w:val="center"/>
        <w:rPr>
          <w:b w:val="1"/>
        </w:rPr>
      </w:pPr>
      <w:r w:rsidDel="00000000" w:rsidR="00000000" w:rsidRPr="00000000">
        <w:rPr>
          <w:b w:val="1"/>
          <w:rtl w:val="0"/>
        </w:rPr>
        <w:t xml:space="preserve">Bases conceptuales de la agroecología </w:t>
      </w:r>
    </w:p>
    <w:p w:rsidR="00000000" w:rsidDel="00000000" w:rsidP="00000000" w:rsidRDefault="00000000" w:rsidRPr="00000000" w14:paraId="00000003">
      <w:pPr>
        <w:rPr>
          <w:b w:val="1"/>
        </w:rPr>
      </w:pPr>
      <w:r w:rsidDel="00000000" w:rsidR="00000000" w:rsidRPr="00000000">
        <w:rPr>
          <w:b w:val="1"/>
          <w:rtl w:val="0"/>
        </w:rPr>
        <w:t xml:space="preserve">Desarrollo de la actividad: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Esta actividad trata de relacionar las columnas de términos con su respectiva definición, el objetivo es que el aprendiz haga la correcta unión y de este modo hacer un repaso de lo estudiado en el componente formativo.</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DEFINICIÓN</w:t>
            </w:r>
          </w:p>
        </w:tc>
        <w:tc>
          <w:tcPr/>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CONCEPTO</w:t>
            </w:r>
          </w:p>
        </w:tc>
      </w:tr>
      <w:tr>
        <w:trPr>
          <w:cantSplit w:val="0"/>
          <w:tblHeader w:val="0"/>
        </w:trPr>
        <w:tc>
          <w:tcPr/>
          <w:p w:rsidR="00000000" w:rsidDel="00000000" w:rsidP="00000000" w:rsidRDefault="00000000" w:rsidRPr="00000000" w14:paraId="00000008">
            <w:pPr>
              <w:jc w:val="both"/>
              <w:rPr/>
            </w:pPr>
            <w:r w:rsidDel="00000000" w:rsidR="00000000" w:rsidRPr="00000000">
              <w:rPr>
                <w:rtl w:val="0"/>
              </w:rPr>
              <w:t xml:space="preserve">Componentes de análisis del elemento técnico básico, conservación y regeneración de los recursos naturales de una estrategia agroecológica.</w:t>
            </w:r>
          </w:p>
        </w:tc>
        <w:tc>
          <w:tcPr/>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Suelos, agua, germoplasma, fauna y flora benéfica.</w:t>
            </w:r>
          </w:p>
        </w:tc>
      </w:tr>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Suministro periódico de materia orgánica a través de la adición de carga orgánica (compost) que fomente la actividad biológica en el suelo.</w:t>
            </w:r>
          </w:p>
        </w:tc>
        <w:tc>
          <w:tcPr/>
          <w:p w:rsidR="00000000" w:rsidDel="00000000" w:rsidP="00000000" w:rsidRDefault="00000000" w:rsidRPr="00000000" w14:paraId="0000000C">
            <w:pPr>
              <w:jc w:val="both"/>
              <w:rPr/>
            </w:pPr>
            <w:r w:rsidDel="00000000" w:rsidR="00000000" w:rsidRPr="00000000">
              <w:rPr>
                <w:rtl w:val="0"/>
              </w:rPr>
              <w:t xml:space="preserve">Aspectos básicos que deben ser considerados en un agroecosistema sostenible.</w:t>
            </w:r>
          </w:p>
        </w:tc>
      </w:tr>
      <w:tr>
        <w:trPr>
          <w:cantSplit w:val="0"/>
          <w:tblHeader w:val="0"/>
        </w:trPr>
        <w:tc>
          <w:tcPr/>
          <w:p w:rsidR="00000000" w:rsidDel="00000000" w:rsidP="00000000" w:rsidRDefault="00000000" w:rsidRPr="00000000" w14:paraId="0000000D">
            <w:pPr>
              <w:jc w:val="both"/>
              <w:rPr/>
            </w:pPr>
            <w:r w:rsidDel="00000000" w:rsidR="00000000" w:rsidRPr="00000000">
              <w:rPr>
                <w:rtl w:val="0"/>
              </w:rPr>
              <w:t xml:space="preserve">Tipos de determinantes del agroecosistema.</w:t>
            </w:r>
          </w:p>
        </w:tc>
        <w:tc>
          <w:tcPr/>
          <w:p w:rsidR="00000000" w:rsidDel="00000000" w:rsidP="00000000" w:rsidRDefault="00000000" w:rsidRPr="00000000" w14:paraId="0000000E">
            <w:pPr>
              <w:jc w:val="both"/>
              <w:rPr/>
            </w:pPr>
            <w:r w:rsidDel="00000000" w:rsidR="00000000" w:rsidRPr="00000000">
              <w:rPr>
                <w:rtl w:val="0"/>
              </w:rPr>
              <w:t xml:space="preserve">Factores físicos, condiciones del suelo, biológicos.</w:t>
            </w:r>
          </w:p>
        </w:tc>
      </w:tr>
      <w:tr>
        <w:trPr>
          <w:cantSplit w:val="0"/>
          <w:tblHeader w:val="0"/>
        </w:trPr>
        <w:tc>
          <w:tcPr/>
          <w:p w:rsidR="00000000" w:rsidDel="00000000" w:rsidP="00000000" w:rsidRDefault="00000000" w:rsidRPr="00000000" w14:paraId="0000000F">
            <w:pPr>
              <w:jc w:val="both"/>
              <w:rPr/>
            </w:pPr>
            <w:r w:rsidDel="00000000" w:rsidR="00000000" w:rsidRPr="00000000">
              <w:rPr>
                <w:rtl w:val="0"/>
              </w:rPr>
              <w:t xml:space="preserve">Forma de cuantificación de las emisiones de GEI, propone un mayor análisis de cada una de las fuentes de emisión de la organización ya que se realiza bajo la perspectiva del ciclo de vida e incluye las fuentes de emisión directas en indirectas.</w:t>
            </w:r>
          </w:p>
        </w:tc>
        <w:tc>
          <w:tcPr/>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Huella de carbono.</w:t>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Surgida a mediados de la década de 1960, con el apoyo de los centros internacionales de investigación agrícola creados por las fundaciones Ford y Rockefeller.</w:t>
            </w:r>
          </w:p>
        </w:tc>
        <w:tc>
          <w:tcPr/>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Revolución verde.</w:t>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Está directamente relacionado con la captura de la energía solar por parte del material vegetal del agroecosistema, y esta energía es almacenada en la estructura química de la biomasa de la planta.</w:t>
            </w:r>
          </w:p>
        </w:tc>
        <w:tc>
          <w:tcPr/>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Flujo energético.</w:t>
            </w:r>
          </w:p>
        </w:tc>
      </w:tr>
      <w:tr>
        <w:trPr>
          <w:cantSplit w:val="0"/>
          <w:tblHeader w:val="0"/>
        </w:trPr>
        <w:tc>
          <w:tcPr/>
          <w:p w:rsidR="00000000" w:rsidDel="00000000" w:rsidP="00000000" w:rsidRDefault="00000000" w:rsidRPr="00000000" w14:paraId="00000019">
            <w:pPr>
              <w:jc w:val="both"/>
              <w:rPr/>
            </w:pPr>
            <w:r w:rsidDel="00000000" w:rsidR="00000000" w:rsidRPr="00000000">
              <w:rPr>
                <w:rtl w:val="0"/>
              </w:rPr>
              <w:t xml:space="preserve">Socioeconómica, sociopolítica y ecológica productiva.</w:t>
            </w:r>
          </w:p>
        </w:tc>
        <w:tc>
          <w:tcPr/>
          <w:p w:rsidR="00000000" w:rsidDel="00000000" w:rsidP="00000000" w:rsidRDefault="00000000" w:rsidRPr="00000000" w14:paraId="0000001A">
            <w:pPr>
              <w:jc w:val="both"/>
              <w:rPr/>
            </w:pPr>
            <w:r w:rsidDel="00000000" w:rsidR="00000000" w:rsidRPr="00000000">
              <w:rPr>
                <w:rtl w:val="0"/>
              </w:rPr>
              <w:t xml:space="preserve">Dimensiones de la agroecología.</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Pérdida de la capacidad productiva de los suelos, pérdida de variabilidad genética, contribución al calentamiento global.</w:t>
            </w:r>
          </w:p>
        </w:tc>
        <w:tc>
          <w:tcPr/>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Características de la agricultura insostenible.</w:t>
            </w:r>
          </w:p>
        </w:tc>
      </w:tr>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Intensidad en la mano de obra, capital, organización y producción.</w:t>
            </w:r>
          </w:p>
        </w:tc>
        <w:tc>
          <w:tcPr/>
          <w:p w:rsidR="00000000" w:rsidDel="00000000" w:rsidP="00000000" w:rsidRDefault="00000000" w:rsidRPr="00000000" w14:paraId="0000001F">
            <w:pPr>
              <w:jc w:val="both"/>
              <w:rPr/>
            </w:pPr>
            <w:r w:rsidDel="00000000" w:rsidR="00000000" w:rsidRPr="00000000">
              <w:rPr>
                <w:rtl w:val="0"/>
              </w:rPr>
              <w:t xml:space="preserve">Uno de los criterios para clasificar un ecosistema.</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Recursos naturales, recursos humanos, recursos de capital y recursos de producción.</w:t>
            </w:r>
          </w:p>
        </w:tc>
        <w:tc>
          <w:tcPr/>
          <w:p w:rsidR="00000000" w:rsidDel="00000000" w:rsidP="00000000" w:rsidRDefault="00000000" w:rsidRPr="00000000" w14:paraId="00000021">
            <w:pPr>
              <w:jc w:val="both"/>
              <w:rPr/>
            </w:pPr>
            <w:r w:rsidDel="00000000" w:rsidR="00000000" w:rsidRPr="00000000">
              <w:rPr>
                <w:rtl w:val="0"/>
              </w:rPr>
              <w:t xml:space="preserve">Recursos de los agroecosistemas.</w:t>
            </w:r>
          </w:p>
        </w:tc>
      </w:tr>
    </w:tbl>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Realimentación para respuesta negativa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No logró emparejar correctamente los conceptos, es necesario que lea nuevamente el material del componente formativo.</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b w:val="1"/>
          <w:color w:val="70ad47"/>
          <w:sz w:val="20"/>
          <w:szCs w:val="20"/>
          <w:rtl w:val="0"/>
        </w:rPr>
        <w:t xml:space="preserve">Realimentación para respuesta positiva</w:t>
      </w:r>
      <w:r w:rsidDel="00000000" w:rsidR="00000000" w:rsidRPr="00000000">
        <w:rPr>
          <w:rFonts w:ascii="Arial" w:cs="Arial" w:eastAsia="Arial" w:hAnsi="Arial"/>
          <w:sz w:val="20"/>
          <w:szCs w:val="20"/>
          <w:rtl w:val="0"/>
        </w:rPr>
        <w:t xml:space="preserve">: El emparejamiento es correcto, felicidades realizó una excelente comprensión del componente formativo.</w: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b w:val="1"/>
          <w:color w:val="4472c4"/>
          <w:sz w:val="24"/>
          <w:szCs w:val="24"/>
          <w:rtl w:val="0"/>
        </w:rPr>
        <w:t xml:space="preserve">Actividad de completar:</w:t>
      </w:r>
      <w:r w:rsidDel="00000000" w:rsidR="00000000" w:rsidRPr="00000000">
        <w:rPr>
          <w:rFonts w:ascii="Arial" w:cs="Arial" w:eastAsia="Arial" w:hAnsi="Arial"/>
          <w:color w:val="4472c4"/>
          <w:sz w:val="24"/>
          <w:szCs w:val="24"/>
          <w:rtl w:val="0"/>
        </w:rPr>
        <w:t xml:space="preserve"> </w:t>
      </w:r>
      <w:r w:rsidDel="00000000" w:rsidR="00000000" w:rsidRPr="00000000">
        <w:rPr>
          <w:rtl w:val="0"/>
        </w:rPr>
      </w:r>
    </w:p>
    <w:p w:rsidR="00000000" w:rsidDel="00000000" w:rsidP="00000000" w:rsidRDefault="00000000" w:rsidRPr="00000000" w14:paraId="0000002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Complete las siguientes frases con el término al que hace referencia: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4472c4"/>
          <w:sz w:val="22"/>
          <w:szCs w:val="22"/>
          <w:u w:val="single"/>
          <w:shd w:fill="auto" w:val="clear"/>
          <w:vertAlign w:val="baseline"/>
          <w:rtl w:val="0"/>
        </w:rPr>
        <w:t xml:space="preserve">Nicho ecológico</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la ocupación o profesión o forma de vida únicas de una especie animal o vegetal. Es decir, es lo que hace en la comunidad, recordemos que el sitio o dirección donde vive se conoce como hábitat.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La influencia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pensamiento agroecológico es llamad</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22"/>
          <w:szCs w:val="22"/>
          <w:u w:val="single"/>
          <w:shd w:fill="auto" w:val="clear"/>
          <w:vertAlign w:val="baseline"/>
          <w:rtl w:val="0"/>
        </w:rPr>
        <w:t xml:space="preserve">ambientalismo.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Materia viva que tiene un organismo y puede variar de acuerdo con el tipo de organismos, el ambiente, el estado del ecosistema y por las actividades humanas son los </w:t>
      </w:r>
      <w:r w:rsidDel="00000000" w:rsidR="00000000" w:rsidRPr="00000000">
        <w:rPr>
          <w:rFonts w:ascii="Calibri" w:cs="Calibri" w:eastAsia="Calibri" w:hAnsi="Calibri"/>
          <w:b w:val="1"/>
          <w:i w:val="0"/>
          <w:smallCaps w:val="0"/>
          <w:strike w:val="0"/>
          <w:color w:val="4472c4"/>
          <w:sz w:val="22"/>
          <w:szCs w:val="22"/>
          <w:u w:val="single"/>
          <w:shd w:fill="auto" w:val="clear"/>
          <w:vertAlign w:val="baseline"/>
          <w:rtl w:val="0"/>
        </w:rPr>
        <w:t xml:space="preserve">biomas.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single"/>
          <w:shd w:fill="auto" w:val="clear"/>
          <w:vertAlign w:val="baseline"/>
          <w:rtl w:val="0"/>
        </w:rPr>
        <w:t xml:space="preserve">Especie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el conjunto de organismos que responden a las mismas características enunciadas </w:t>
      </w:r>
      <w:r w:rsidDel="00000000" w:rsidR="00000000" w:rsidRPr="00000000">
        <w:rPr>
          <w:rtl w:val="0"/>
        </w:rPr>
        <w:t xml:space="preserve">para la población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pero sin tener en cuenta las restricciones temporales y geográficas que separan a estas.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single"/>
          <w:shd w:fill="auto" w:val="clear"/>
          <w:vertAlign w:val="baseline"/>
          <w:rtl w:val="0"/>
        </w:rPr>
        <w:t xml:space="preserve">Huella ecológica</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volumen de agua precipitada y la evaporada en un proceso productivo o incorporada a algún producto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b w:val="1"/>
          <w:color w:val="00b050"/>
          <w:sz w:val="20"/>
          <w:szCs w:val="20"/>
          <w:rtl w:val="0"/>
        </w:rPr>
        <w:t xml:space="preserve">RETROALIMENTACIÓN CORRECTO: </w:t>
      </w:r>
      <w:r w:rsidDel="00000000" w:rsidR="00000000" w:rsidRPr="00000000">
        <w:rPr>
          <w:rFonts w:ascii="Arial" w:cs="Arial" w:eastAsia="Arial" w:hAnsi="Arial"/>
          <w:sz w:val="20"/>
          <w:szCs w:val="20"/>
          <w:rtl w:val="0"/>
        </w:rPr>
        <w:t xml:space="preserve">¡Correcto! Muy bien. </w:t>
      </w:r>
    </w:p>
    <w:p w:rsidR="00000000" w:rsidDel="00000000" w:rsidP="00000000" w:rsidRDefault="00000000" w:rsidRPr="00000000" w14:paraId="00000031">
      <w:pPr>
        <w:rPr>
          <w:b w:val="1"/>
        </w:rPr>
      </w:pPr>
      <w:r w:rsidDel="00000000" w:rsidR="00000000" w:rsidRPr="00000000">
        <w:rPr>
          <w:rFonts w:ascii="Arial" w:cs="Arial" w:eastAsia="Arial" w:hAnsi="Arial"/>
          <w:b w:val="1"/>
          <w:color w:val="ff0000"/>
          <w:sz w:val="20"/>
          <w:szCs w:val="20"/>
          <w:rtl w:val="0"/>
        </w:rPr>
        <w:t xml:space="preserve">RETROALIMENTACIÓN INCORRECTO:</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sz w:val="20"/>
          <w:szCs w:val="20"/>
          <w:rtl w:val="0"/>
        </w:rPr>
        <w:t xml:space="preserve">¡Incorrecto! Debes consultar nuevamente el material de apoyo a la formación.</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64DF9"/>
    <w:pPr>
      <w:ind w:left="720"/>
      <w:contextualSpacing w:val="1"/>
    </w:pPr>
  </w:style>
  <w:style w:type="table" w:styleId="Tablaconcuadrcula">
    <w:name w:val="Table Grid"/>
    <w:basedOn w:val="Tablanormal"/>
    <w:uiPriority w:val="39"/>
    <w:rsid w:val="008C08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h0/2fq/jcTXeBbEoTTDQ52+A==">AMUW2mXTOk7ydKTr3rpUIrneuoRPmqaJV6uEccWTy2Mrq4iGilJ6LBECxuwhCpoBEza6NhmiyordbpZ+yj3Bv8IPTVW/qQujp1oEykJMU286DHo3U5+qqQ8=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F513745-4EBB-47FF-A48F-713BA2FA0976}"/>
</file>

<file path=customXML/itemProps3.xml><?xml version="1.0" encoding="utf-8"?>
<ds:datastoreItem xmlns:ds="http://schemas.openxmlformats.org/officeDocument/2006/customXml" ds:itemID="{453DD8CF-0994-455A-943F-0C271481D928}"/>
</file>

<file path=customXML/itemProps4.xml><?xml version="1.0" encoding="utf-8"?>
<ds:datastoreItem xmlns:ds="http://schemas.openxmlformats.org/officeDocument/2006/customXml" ds:itemID="{B04391A5-D16E-45E4-87E4-2B1F7E169AC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terms:created xsi:type="dcterms:W3CDTF">2022-05-25T23:47:00Z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14598400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ies>
</file>