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2DBE" w:rsidR="00B15059" w:rsidP="00972DBE" w:rsidRDefault="00B15059" w14:paraId="2B6C35F3" w14:textId="77777777">
      <w:pPr>
        <w:rPr>
          <w:rFonts w:ascii="Calibri" w:hAnsi="Calibri" w:cs="Calibri"/>
          <w:sz w:val="20"/>
          <w:szCs w:val="20"/>
        </w:rPr>
      </w:pPr>
    </w:p>
    <w:p w:rsidRPr="00972DBE" w:rsidR="00B92FA6" w:rsidP="00972DBE" w:rsidRDefault="00B92FA6" w14:paraId="01DBCBF1" w14:textId="77777777">
      <w:pPr>
        <w:rPr>
          <w:rFonts w:ascii="Calibri" w:hAnsi="Calibri" w:cs="Calibri"/>
          <w:sz w:val="20"/>
          <w:szCs w:val="20"/>
        </w:rPr>
      </w:pPr>
    </w:p>
    <w:p w:rsidRPr="00972DBE" w:rsidR="00B92FA6" w:rsidP="00972DBE" w:rsidRDefault="00B92FA6" w14:paraId="35FA3132" w14:textId="77777777">
      <w:pPr>
        <w:jc w:val="center"/>
        <w:rPr>
          <w:rFonts w:ascii="Calibri" w:hAnsi="Calibri" w:cs="Calibri"/>
          <w:b/>
          <w:sz w:val="20"/>
          <w:szCs w:val="20"/>
          <w:lang w:val="es-ES"/>
        </w:rPr>
      </w:pPr>
      <w:r w:rsidRPr="00972DBE">
        <w:rPr>
          <w:rFonts w:ascii="Calibri" w:hAnsi="Calibri" w:cs="Calibri"/>
          <w:b/>
          <w:sz w:val="20"/>
          <w:szCs w:val="20"/>
          <w:lang w:val="es-ES"/>
        </w:rPr>
        <w:t>GUION INTRODUCCIÓN COMPONENTE FORMATIVO 01</w:t>
      </w:r>
    </w:p>
    <w:p w:rsidRPr="00972DBE" w:rsidR="00B92FA6" w:rsidP="00972DBE" w:rsidRDefault="00B92FA6" w14:paraId="18868461" w14:textId="77777777">
      <w:pPr>
        <w:rPr>
          <w:rFonts w:ascii="Calibri" w:hAnsi="Calibri" w:cs="Calibri"/>
          <w:b/>
          <w:sz w:val="20"/>
          <w:szCs w:val="20"/>
          <w:lang w:val="es-ES"/>
        </w:rPr>
      </w:pPr>
    </w:p>
    <w:p w:rsidRPr="00972DBE" w:rsidR="00AC0BE1" w:rsidP="00972DBE" w:rsidRDefault="00D217D7" w14:paraId="74FBDF57" w14:textId="26711ACB">
      <w:pPr>
        <w:spacing w:after="0" w:line="276" w:lineRule="auto"/>
        <w:rPr>
          <w:rFonts w:ascii="Calibri" w:hAnsi="Calibri" w:eastAsia="Arial" w:cs="Calibri"/>
          <w:sz w:val="20"/>
          <w:szCs w:val="20"/>
        </w:rPr>
      </w:pPr>
      <w:r w:rsidRPr="00972DBE">
        <w:rPr>
          <w:rFonts w:ascii="Calibri" w:hAnsi="Calibri" w:cs="Calibri"/>
          <w:b/>
          <w:bCs/>
          <w:sz w:val="20"/>
          <w:szCs w:val="20"/>
          <w:lang w:val="es-ES"/>
        </w:rPr>
        <w:t>Nombre del programa</w:t>
      </w:r>
      <w:r w:rsidRPr="00972DBE" w:rsidR="00B92FA6">
        <w:rPr>
          <w:rFonts w:ascii="Calibri" w:hAnsi="Calibri" w:cs="Calibri"/>
          <w:b/>
          <w:bCs/>
          <w:sz w:val="20"/>
          <w:szCs w:val="20"/>
          <w:lang w:val="es-ES"/>
        </w:rPr>
        <w:t>:</w:t>
      </w:r>
      <w:r w:rsidRPr="00972DBE" w:rsidR="00402097">
        <w:rPr>
          <w:rFonts w:ascii="Calibri" w:hAnsi="Calibri" w:cs="Calibri"/>
          <w:sz w:val="20"/>
          <w:szCs w:val="20"/>
        </w:rPr>
        <w:t xml:space="preserve"> </w:t>
      </w:r>
      <w:r w:rsidRPr="00972DBE">
        <w:rPr>
          <w:rFonts w:ascii="Calibri" w:hAnsi="Calibri" w:eastAsia="Arial" w:cs="Calibri"/>
          <w:sz w:val="20"/>
          <w:szCs w:val="20"/>
        </w:rPr>
        <w:t>Tendencias de gestión para el servicio de alojamiento.</w:t>
      </w:r>
    </w:p>
    <w:p w:rsidRPr="00972DBE" w:rsidR="00D217D7" w:rsidP="00972DBE" w:rsidRDefault="00D217D7" w14:paraId="7311D686" w14:textId="76E4D0D2">
      <w:pPr>
        <w:spacing w:after="0" w:line="276" w:lineRule="auto"/>
        <w:rPr>
          <w:rFonts w:ascii="Calibri" w:hAnsi="Calibri" w:cs="Calibri"/>
          <w:b/>
          <w:sz w:val="20"/>
          <w:szCs w:val="20"/>
        </w:rPr>
      </w:pPr>
      <w:r w:rsidRPr="00972DBE">
        <w:rPr>
          <w:rFonts w:ascii="Calibri" w:hAnsi="Calibri" w:cs="Calibri"/>
          <w:b/>
          <w:sz w:val="20"/>
          <w:szCs w:val="20"/>
        </w:rPr>
        <w:t xml:space="preserve">Título del video: </w:t>
      </w:r>
      <w:r w:rsidRPr="00972DBE">
        <w:rPr>
          <w:rFonts w:ascii="Calibri" w:hAnsi="Calibri" w:cs="Calibri"/>
          <w:bCs/>
          <w:sz w:val="20"/>
          <w:szCs w:val="20"/>
        </w:rPr>
        <w:t>Normatividad y tendencias estratégicas en la gestión hotelera.</w:t>
      </w:r>
    </w:p>
    <w:p w:rsidR="00972DBE" w:rsidP="00972DBE" w:rsidRDefault="00972DBE" w14:paraId="3C71C6EC" w14:textId="77777777">
      <w:pPr>
        <w:ind w:firstLine="360"/>
        <w:rPr>
          <w:rFonts w:ascii="Calibri" w:hAnsi="Calibri" w:cs="Calibri"/>
          <w:sz w:val="20"/>
          <w:szCs w:val="20"/>
        </w:rPr>
      </w:pPr>
    </w:p>
    <w:p w:rsidRPr="00972DBE" w:rsidR="00D217D7" w:rsidP="00972DBE" w:rsidRDefault="00AC0BE1" w14:paraId="286AA163" w14:textId="3D63E5C0">
      <w:pPr>
        <w:ind w:firstLine="360"/>
        <w:rPr>
          <w:rFonts w:ascii="Calibri" w:hAnsi="Calibri" w:cs="Calibri"/>
          <w:sz w:val="20"/>
          <w:szCs w:val="20"/>
        </w:rPr>
      </w:pPr>
      <w:r w:rsidRPr="00972DBE">
        <w:rPr>
          <w:rFonts w:ascii="Calibri" w:hAnsi="Calibri" w:cs="Calibri"/>
          <w:sz w:val="20"/>
          <w:szCs w:val="20"/>
        </w:rPr>
        <w:br/>
      </w:r>
      <w:r w:rsidRPr="00972DBE" w:rsidR="00D217D7">
        <w:rPr>
          <w:rFonts w:ascii="Calibri" w:hAnsi="Calibri" w:eastAsia="Arial" w:cs="Calibri"/>
          <w:sz w:val="20"/>
          <w:szCs w:val="20"/>
        </w:rPr>
        <w:t xml:space="preserve">La gestión de los establecimientos de alojamiento integra </w:t>
      </w:r>
      <w:r w:rsidRPr="00972DBE" w:rsidR="00D217D7">
        <w:rPr>
          <w:rFonts w:ascii="Calibri" w:hAnsi="Calibri" w:eastAsia="Arial" w:cs="Calibri"/>
          <w:b/>
          <w:color w:val="FF0000"/>
          <w:sz w:val="20"/>
          <w:szCs w:val="20"/>
        </w:rPr>
        <w:t>sostenibilidad turística</w:t>
      </w:r>
      <w:r w:rsidRPr="00972DBE" w:rsidR="00D217D7">
        <w:rPr>
          <w:rFonts w:ascii="Calibri" w:hAnsi="Calibri" w:eastAsia="Arial" w:cs="Calibri"/>
          <w:sz w:val="20"/>
          <w:szCs w:val="20"/>
        </w:rPr>
        <w:t xml:space="preserve">, </w:t>
      </w:r>
      <w:r w:rsidRPr="00972DBE" w:rsidR="00D217D7">
        <w:rPr>
          <w:rFonts w:ascii="Calibri" w:hAnsi="Calibri" w:eastAsia="Arial" w:cs="Calibri"/>
          <w:b/>
          <w:color w:val="FF0000"/>
          <w:sz w:val="20"/>
          <w:szCs w:val="20"/>
        </w:rPr>
        <w:t>accesibilidad universal</w:t>
      </w:r>
      <w:r w:rsidRPr="00972DBE" w:rsidR="00D217D7">
        <w:rPr>
          <w:rFonts w:ascii="Calibri" w:hAnsi="Calibri" w:eastAsia="Arial" w:cs="Calibri"/>
          <w:sz w:val="20"/>
          <w:szCs w:val="20"/>
        </w:rPr>
        <w:t xml:space="preserve">, innovación y tecnología para responder a un mercado exigente. En Colombia, estos enfoques fortalecen la </w:t>
      </w:r>
      <w:r w:rsidRPr="00972DBE" w:rsidR="00D217D7">
        <w:rPr>
          <w:rFonts w:ascii="Calibri" w:hAnsi="Calibri" w:eastAsia="Arial" w:cs="Calibri"/>
          <w:b/>
          <w:color w:val="FF0000"/>
          <w:sz w:val="20"/>
          <w:szCs w:val="20"/>
        </w:rPr>
        <w:t>calidad del servicio</w:t>
      </w:r>
      <w:r w:rsidRPr="00972DBE" w:rsidR="00D217D7">
        <w:rPr>
          <w:rFonts w:ascii="Calibri" w:hAnsi="Calibri" w:eastAsia="Arial" w:cs="Calibri"/>
          <w:sz w:val="20"/>
          <w:szCs w:val="20"/>
        </w:rPr>
        <w:t xml:space="preserve">, facilitan el </w:t>
      </w:r>
      <w:r w:rsidRPr="00972DBE" w:rsidR="00D217D7">
        <w:rPr>
          <w:rFonts w:ascii="Calibri" w:hAnsi="Calibri" w:eastAsia="Arial" w:cs="Calibri"/>
          <w:b/>
          <w:color w:val="FF0000"/>
          <w:sz w:val="20"/>
          <w:szCs w:val="20"/>
        </w:rPr>
        <w:t>cumplimiento normativo</w:t>
      </w:r>
      <w:r w:rsidRPr="00972DBE" w:rsidR="00D217D7">
        <w:rPr>
          <w:rFonts w:ascii="Calibri" w:hAnsi="Calibri" w:eastAsia="Arial" w:cs="Calibri"/>
          <w:sz w:val="20"/>
          <w:szCs w:val="20"/>
        </w:rPr>
        <w:t xml:space="preserve"> y contribuyen a consolidar destinos competitivos, responsables e incluyentes.</w:t>
      </w:r>
    </w:p>
    <w:p w:rsidRPr="00972DBE" w:rsidR="00D217D7" w:rsidP="00972DBE" w:rsidRDefault="00D217D7" w14:paraId="1DBE258A" w14:textId="77777777">
      <w:pPr>
        <w:rPr>
          <w:rFonts w:ascii="Calibri" w:hAnsi="Calibri" w:cs="Calibri"/>
          <w:sz w:val="20"/>
          <w:szCs w:val="20"/>
        </w:rPr>
      </w:pPr>
      <w:r w:rsidRPr="00972DBE">
        <w:rPr>
          <w:rFonts w:ascii="Calibri" w:hAnsi="Calibri" w:eastAsia="Arial" w:cs="Calibri"/>
          <w:sz w:val="20"/>
          <w:szCs w:val="20"/>
        </w:rPr>
        <w:t xml:space="preserve">Para el aprendiz, comprender estas tendencias favorece su desempeño en la </w:t>
      </w:r>
      <w:r w:rsidRPr="00972DBE">
        <w:rPr>
          <w:rFonts w:ascii="Calibri" w:hAnsi="Calibri" w:eastAsia="Arial" w:cs="Calibri"/>
          <w:b/>
          <w:color w:val="FF0000"/>
          <w:sz w:val="20"/>
          <w:szCs w:val="20"/>
        </w:rPr>
        <w:t>coordinación de servicios de alojamiento</w:t>
      </w:r>
      <w:r w:rsidRPr="00972DBE">
        <w:rPr>
          <w:rFonts w:ascii="Calibri" w:hAnsi="Calibri" w:eastAsia="Arial" w:cs="Calibri"/>
          <w:sz w:val="20"/>
          <w:szCs w:val="20"/>
        </w:rPr>
        <w:t xml:space="preserve">, la toma de decisiones operativas y la atención de diversos perfiles de huéspedes. Este conocimiento amplía sus posibilidades de </w:t>
      </w:r>
      <w:r w:rsidRPr="00972DBE">
        <w:rPr>
          <w:rFonts w:ascii="Calibri" w:hAnsi="Calibri" w:eastAsia="Arial" w:cs="Calibri"/>
          <w:b/>
          <w:color w:val="FF0000"/>
          <w:sz w:val="20"/>
          <w:szCs w:val="20"/>
        </w:rPr>
        <w:t>empleabilidad</w:t>
      </w:r>
      <w:r w:rsidRPr="00972DBE">
        <w:rPr>
          <w:rFonts w:ascii="Calibri" w:hAnsi="Calibri" w:eastAsia="Arial" w:cs="Calibri"/>
          <w:sz w:val="20"/>
          <w:szCs w:val="20"/>
        </w:rPr>
        <w:t xml:space="preserve"> y aporta herramientas para optimizar recursos, mejorar procesos y promover servicios seguros y sostenibles.</w:t>
      </w:r>
    </w:p>
    <w:p w:rsidRPr="00972DBE" w:rsidR="00D217D7" w:rsidP="00972DBE" w:rsidRDefault="00D217D7" w14:paraId="22B2D90E" w14:textId="77777777">
      <w:pPr>
        <w:rPr>
          <w:rFonts w:ascii="Calibri" w:hAnsi="Calibri" w:cs="Calibri"/>
          <w:sz w:val="20"/>
          <w:szCs w:val="20"/>
        </w:rPr>
      </w:pPr>
      <w:r w:rsidRPr="4D63E4CC" w:rsidR="00D217D7">
        <w:rPr>
          <w:rFonts w:ascii="Calibri" w:hAnsi="Calibri" w:eastAsia="Arial" w:cs="Calibri"/>
          <w:sz w:val="20"/>
          <w:szCs w:val="20"/>
        </w:rPr>
        <w:t xml:space="preserve">Durante el componente se estudian la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calidad turística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los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sellos ambientales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las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normas técnicas sectoriales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la certificación y la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operación sostenible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. También se abordan el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diseño universal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la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infraestructura accesible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los perfiles de clientes, la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economía de experiencias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los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sistemas PMS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la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automatización</w:t>
      </w:r>
      <w:r w:rsidRPr="4D63E4CC" w:rsidR="00D217D7">
        <w:rPr>
          <w:rFonts w:ascii="Calibri" w:hAnsi="Calibri" w:eastAsia="Arial" w:cs="Calibri"/>
          <w:sz w:val="20"/>
          <w:szCs w:val="20"/>
        </w:rPr>
        <w:t>, el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 </w:t>
      </w:r>
      <w:r w:rsidRPr="4D63E4CC" w:rsidR="00D217D7">
        <w:rPr>
          <w:rFonts w:ascii="Calibri" w:hAnsi="Calibri" w:eastAsia="Arial" w:cs="Calibri"/>
          <w:b w:val="1"/>
          <w:bCs w:val="1"/>
          <w:i w:val="1"/>
          <w:iCs w:val="1"/>
          <w:color w:val="FF0000"/>
          <w:sz w:val="20"/>
          <w:szCs w:val="20"/>
        </w:rPr>
        <w:t>marketing</w:t>
      </w:r>
      <w:r w:rsidRPr="4D63E4CC" w:rsidR="00D217D7">
        <w:rPr>
          <w:rFonts w:ascii="Calibri" w:hAnsi="Calibri" w:eastAsia="Arial" w:cs="Calibri"/>
          <w:b w:val="1"/>
          <w:bCs w:val="1"/>
          <w:i w:val="1"/>
          <w:iCs w:val="1"/>
          <w:color w:val="FF0000"/>
          <w:sz w:val="20"/>
          <w:szCs w:val="20"/>
        </w:rPr>
        <w:t xml:space="preserve"> </w:t>
      </w:r>
      <w:r w:rsidRPr="4D63E4CC" w:rsidR="00D217D7">
        <w:rPr>
          <w:rFonts w:ascii="Calibri" w:hAnsi="Calibri" w:eastAsia="Arial" w:cs="Calibri"/>
          <w:b w:val="1"/>
          <w:bCs w:val="1"/>
          <w:i w:val="0"/>
          <w:iCs w:val="0"/>
          <w:color w:val="FF0000"/>
          <w:sz w:val="20"/>
          <w:szCs w:val="20"/>
        </w:rPr>
        <w:t>hotelero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, el </w:t>
      </w:r>
      <w:r w:rsidRPr="4D63E4CC" w:rsidR="00D217D7">
        <w:rPr>
          <w:rFonts w:ascii="Calibri" w:hAnsi="Calibri" w:eastAsia="Arial" w:cs="Calibri"/>
          <w:b w:val="1"/>
          <w:bCs w:val="1"/>
          <w:i w:val="1"/>
          <w:iCs w:val="1"/>
          <w:color w:val="FF0000"/>
          <w:sz w:val="20"/>
          <w:szCs w:val="20"/>
        </w:rPr>
        <w:t>neuromarketing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 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y la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publicidad digital</w:t>
      </w:r>
      <w:r w:rsidRPr="4D63E4CC" w:rsidR="00D217D7">
        <w:rPr>
          <w:rFonts w:ascii="Calibri" w:hAnsi="Calibri" w:eastAsia="Arial" w:cs="Calibri"/>
          <w:sz w:val="20"/>
          <w:szCs w:val="20"/>
        </w:rPr>
        <w:t xml:space="preserve">. Estos contenidos permiten identificar </w:t>
      </w:r>
      <w:r w:rsidRPr="4D63E4CC" w:rsidR="00D217D7">
        <w:rPr>
          <w:rFonts w:ascii="Calibri" w:hAnsi="Calibri" w:eastAsia="Arial" w:cs="Calibri"/>
          <w:b w:val="1"/>
          <w:bCs w:val="1"/>
          <w:color w:val="FF0000"/>
          <w:sz w:val="20"/>
          <w:szCs w:val="20"/>
        </w:rPr>
        <w:t>requerimientos normativos, de sostenibilidad y accesibilidad</w:t>
      </w:r>
      <w:r w:rsidRPr="4D63E4CC" w:rsidR="00D217D7">
        <w:rPr>
          <w:rFonts w:ascii="Calibri" w:hAnsi="Calibri" w:eastAsia="Arial" w:cs="Calibri"/>
          <w:sz w:val="20"/>
          <w:szCs w:val="20"/>
        </w:rPr>
        <w:t>, y examinar tendencias, tecnologías y estrategias comerciales aplicables al establecimiento.</w:t>
      </w:r>
    </w:p>
    <w:p w:rsidRPr="00972DBE" w:rsidR="00D217D7" w:rsidP="00972DBE" w:rsidRDefault="00D217D7" w14:paraId="423DB139" w14:textId="77777777">
      <w:pPr>
        <w:rPr>
          <w:rFonts w:ascii="Calibri" w:hAnsi="Calibri" w:cs="Calibri"/>
          <w:sz w:val="20"/>
          <w:szCs w:val="20"/>
        </w:rPr>
      </w:pPr>
      <w:r w:rsidRPr="00972DBE">
        <w:rPr>
          <w:rFonts w:ascii="Calibri" w:hAnsi="Calibri" w:eastAsia="Arial" w:cs="Calibri"/>
          <w:sz w:val="20"/>
          <w:szCs w:val="20"/>
        </w:rPr>
        <w:t xml:space="preserve">Al finalizar, el aprendiz contará con criterios para analizar la operación hotelera, reconocer oportunidades de mejora y tomar decisiones coherentes con las necesidades del mercado y los protocolos institucionales. Su aplicación puede elevar la </w:t>
      </w:r>
      <w:r w:rsidRPr="00972DBE">
        <w:rPr>
          <w:rFonts w:ascii="Calibri" w:hAnsi="Calibri" w:eastAsia="Arial" w:cs="Calibri"/>
          <w:b/>
          <w:color w:val="FF0000"/>
          <w:sz w:val="20"/>
          <w:szCs w:val="20"/>
        </w:rPr>
        <w:t>eficiencia</w:t>
      </w:r>
      <w:r w:rsidRPr="00972DBE">
        <w:rPr>
          <w:rFonts w:ascii="Calibri" w:hAnsi="Calibri" w:eastAsia="Arial" w:cs="Calibri"/>
          <w:sz w:val="20"/>
          <w:szCs w:val="20"/>
        </w:rPr>
        <w:t xml:space="preserve">, fortalecer la </w:t>
      </w:r>
      <w:r w:rsidRPr="00972DBE">
        <w:rPr>
          <w:rFonts w:ascii="Calibri" w:hAnsi="Calibri" w:eastAsia="Arial" w:cs="Calibri"/>
          <w:b/>
          <w:color w:val="FF0000"/>
          <w:sz w:val="20"/>
          <w:szCs w:val="20"/>
        </w:rPr>
        <w:t>competitividad</w:t>
      </w:r>
      <w:r w:rsidRPr="00972DBE">
        <w:rPr>
          <w:rFonts w:ascii="Calibri" w:hAnsi="Calibri" w:eastAsia="Arial" w:cs="Calibri"/>
          <w:sz w:val="20"/>
          <w:szCs w:val="20"/>
        </w:rPr>
        <w:t xml:space="preserve">, favorecer la </w:t>
      </w:r>
      <w:r w:rsidRPr="00972DBE">
        <w:rPr>
          <w:rFonts w:ascii="Calibri" w:hAnsi="Calibri" w:eastAsia="Arial" w:cs="Calibri"/>
          <w:b/>
          <w:color w:val="FF0000"/>
          <w:sz w:val="20"/>
          <w:szCs w:val="20"/>
        </w:rPr>
        <w:t>inclusión</w:t>
      </w:r>
      <w:r w:rsidRPr="00972DBE">
        <w:rPr>
          <w:rFonts w:ascii="Calibri" w:hAnsi="Calibri" w:eastAsia="Arial" w:cs="Calibri"/>
          <w:sz w:val="20"/>
          <w:szCs w:val="20"/>
        </w:rPr>
        <w:t xml:space="preserve"> y generar impactos positivos en la economía, el ambiente y el desarrollo turístico colombiano.</w:t>
      </w:r>
    </w:p>
    <w:p w:rsidRPr="00972DBE" w:rsidR="00D217D7" w:rsidP="00972DBE" w:rsidRDefault="00D217D7" w14:paraId="53C4A7F4" w14:textId="77777777">
      <w:pPr>
        <w:spacing w:before="80"/>
        <w:rPr>
          <w:rFonts w:ascii="Calibri" w:hAnsi="Calibri" w:cs="Calibri"/>
          <w:sz w:val="20"/>
          <w:szCs w:val="20"/>
        </w:rPr>
      </w:pPr>
      <w:r w:rsidRPr="00972DBE">
        <w:rPr>
          <w:rFonts w:ascii="Calibri" w:hAnsi="Calibri" w:eastAsia="Arial" w:cs="Calibri"/>
          <w:b/>
          <w:sz w:val="20"/>
          <w:szCs w:val="20"/>
        </w:rPr>
        <w:t>TOTAL PALABRAS: 220</w:t>
      </w:r>
    </w:p>
    <w:p w:rsidRPr="00972DBE" w:rsidR="00B92FA6" w:rsidP="00972DBE" w:rsidRDefault="00B92FA6" w14:paraId="0CD65968" w14:textId="3A6C2A16">
      <w:pPr>
        <w:rPr>
          <w:rFonts w:ascii="Calibri" w:hAnsi="Calibri" w:cs="Calibri"/>
          <w:sz w:val="20"/>
          <w:szCs w:val="20"/>
        </w:rPr>
      </w:pPr>
    </w:p>
    <w:p w:rsidRPr="00972DBE" w:rsidR="00B92FA6" w:rsidP="00972DBE" w:rsidRDefault="00B92FA6" w14:paraId="67E8693F" w14:textId="77777777">
      <w:pPr>
        <w:rPr>
          <w:rFonts w:ascii="Calibri" w:hAnsi="Calibri" w:cs="Calibri"/>
          <w:sz w:val="20"/>
          <w:szCs w:val="20"/>
        </w:rPr>
      </w:pPr>
    </w:p>
    <w:sectPr w:rsidRPr="00972DBE" w:rsidR="00B92F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1A4B" w:rsidP="00E13EDD" w:rsidRDefault="00D51A4B" w14:paraId="7815B5C9" w14:textId="77777777">
      <w:pPr>
        <w:spacing w:after="0" w:line="240" w:lineRule="auto"/>
      </w:pPr>
      <w:r>
        <w:separator/>
      </w:r>
    </w:p>
  </w:endnote>
  <w:endnote w:type="continuationSeparator" w:id="0">
    <w:p w:rsidR="00D51A4B" w:rsidP="00E13EDD" w:rsidRDefault="00D51A4B" w14:paraId="391752B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3EDD" w:rsidRDefault="00E13EDD" w14:paraId="6C05AA8D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3EDD" w:rsidRDefault="00E13EDD" w14:paraId="5A9772C7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3EDD" w:rsidRDefault="00E13EDD" w14:paraId="41CAF8F0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1A4B" w:rsidP="00E13EDD" w:rsidRDefault="00D51A4B" w14:paraId="61FFF56B" w14:textId="77777777">
      <w:pPr>
        <w:spacing w:after="0" w:line="240" w:lineRule="auto"/>
      </w:pPr>
      <w:r>
        <w:separator/>
      </w:r>
    </w:p>
  </w:footnote>
  <w:footnote w:type="continuationSeparator" w:id="0">
    <w:p w:rsidR="00D51A4B" w:rsidP="00E13EDD" w:rsidRDefault="00D51A4B" w14:paraId="761E2B5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3EDD" w:rsidRDefault="00E13EDD" w14:paraId="5D060F84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3EDD" w:rsidRDefault="00E13EDD" w14:paraId="01B22212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3EDD" w:rsidRDefault="00E13EDD" w14:paraId="4DFEBE95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4640F"/>
    <w:rsid w:val="00093136"/>
    <w:rsid w:val="000E58A4"/>
    <w:rsid w:val="00274A7D"/>
    <w:rsid w:val="002E15EF"/>
    <w:rsid w:val="002F79F0"/>
    <w:rsid w:val="00402097"/>
    <w:rsid w:val="00545E9B"/>
    <w:rsid w:val="00596040"/>
    <w:rsid w:val="005C1D65"/>
    <w:rsid w:val="00725EBA"/>
    <w:rsid w:val="00745604"/>
    <w:rsid w:val="007F4119"/>
    <w:rsid w:val="00935230"/>
    <w:rsid w:val="00972DBE"/>
    <w:rsid w:val="00986295"/>
    <w:rsid w:val="009B52F8"/>
    <w:rsid w:val="00AC0BE1"/>
    <w:rsid w:val="00AD1941"/>
    <w:rsid w:val="00B15059"/>
    <w:rsid w:val="00B92FA6"/>
    <w:rsid w:val="00BC489F"/>
    <w:rsid w:val="00BF1548"/>
    <w:rsid w:val="00D217D7"/>
    <w:rsid w:val="00D35C91"/>
    <w:rsid w:val="00D51A4B"/>
    <w:rsid w:val="00E13EDD"/>
    <w:rsid w:val="00E31EBA"/>
    <w:rsid w:val="4D63E4CC"/>
    <w:rsid w:val="5FCC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13ED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13EDD"/>
  </w:style>
  <w:style w:type="paragraph" w:styleId="Piedepgina">
    <w:name w:val="footer"/>
    <w:basedOn w:val="Normal"/>
    <w:link w:val="PiedepginaCar"/>
    <w:uiPriority w:val="99"/>
    <w:unhideWhenUsed/>
    <w:rsid w:val="00E13ED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13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ABDDD1-5FF6-444A-A997-D86CC6A21B6B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2f373bb-a81b-4302-bfea-80bc1145385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F6967-9160-4EE2-B1BB-47DC5BDB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8</revision>
  <dcterms:created xsi:type="dcterms:W3CDTF">2026-09-03T19:30:00.0000000Z</dcterms:created>
  <dcterms:modified xsi:type="dcterms:W3CDTF">2026-09-03T19:31:05.2047744Z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2026-09-03T19:30:30Z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72b8e432-875a-423d-b094-3f0a1079532d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