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58396221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31069E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1069E" w:rsidRPr="0031069E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Competitividad y gestión turística</w:t>
            </w:r>
          </w:p>
          <w:p w14:paraId="7C03BC59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Pr="0031069E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1069E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Pr="0031069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B67EED7" w:rsidR="00C57B0F" w:rsidRPr="0031069E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Identificar aspectos clave en la c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>ompetitividad y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la 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>gestión turística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D8D99A3" w:rsidR="00C57B0F" w:rsidRPr="0031069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i/>
                <w:color w:val="auto"/>
              </w:rPr>
              <w:t>Validar el conocimiento adquirido sobr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>e la c</w:t>
            </w:r>
            <w:r w:rsidR="0031069E" w:rsidRPr="0031069E">
              <w:rPr>
                <w:rFonts w:ascii="Calibri" w:eastAsia="Calibri" w:hAnsi="Calibri" w:cs="Calibri"/>
                <w:i/>
                <w:color w:val="auto"/>
              </w:rPr>
              <w:t xml:space="preserve">ompetitividad y 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 xml:space="preserve">la </w:t>
            </w:r>
            <w:r w:rsidR="0031069E" w:rsidRPr="0031069E">
              <w:rPr>
                <w:rFonts w:ascii="Calibri" w:eastAsia="Calibri" w:hAnsi="Calibri" w:cs="Calibri"/>
                <w:i/>
                <w:color w:val="auto"/>
              </w:rPr>
              <w:t>gestión turística</w:t>
            </w:r>
            <w:r w:rsidRPr="0031069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31069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31069E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31069E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B32C06" w14:paraId="1CB5189C" w14:textId="77777777" w:rsidTr="00FD1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B32C06" w:rsidRDefault="00B32C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56307CDC" w:rsidR="00B32C06" w:rsidRPr="00B32C06" w:rsidRDefault="00B32C06" w:rsidP="00B3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gestión del turismo se enfoca en la administración y optimización de los recursos turísticos que posee una región o país, estos recursos pueden ser de naturaleza diversa, como el patrimonio natural, histórico, folclórico o gastronómico, entre otros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634B03C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s los conceptos de</w:t>
            </w:r>
            <w:r w:rsidR="0031069E">
              <w:rPr>
                <w:rFonts w:ascii="Calibri" w:eastAsia="Calibri" w:hAnsi="Calibri" w:cs="Calibri"/>
                <w:i/>
                <w:color w:val="auto"/>
              </w:rPr>
              <w:t xml:space="preserve"> competitividad y sobre la gestión turística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E64FD1C" w:rsidR="00C57B0F" w:rsidRPr="00B32C06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B32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turismo, no contribuye al desarrollo económico local, generando ingresos que permiten mejorar las condiciones sociales de la comunidad.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55A77672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34EEB59" w:rsidR="00C57B0F" w:rsidRPr="000E3ADC" w:rsidRDefault="0031069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80B365E" w:rsidR="00C57B0F" w:rsidRPr="000E3A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E97319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E97319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A199C74" w:rsidR="00C57B0F" w:rsidRPr="00E97319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Según Arias (2008), citado por Arauz </w:t>
            </w:r>
            <w:proofErr w:type="spellStart"/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>Beita</w:t>
            </w:r>
            <w:proofErr w:type="spellEnd"/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 (2010), esta gestión 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no 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debe mantener un equilibrio entre los diferentes componentes del espacio turístico, 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 xml:space="preserve">ni 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>asegura</w:t>
            </w:r>
            <w:r>
              <w:rPr>
                <w:rFonts w:ascii="Calibri" w:eastAsia="Calibri" w:hAnsi="Calibri" w:cs="Calibri"/>
                <w:b/>
                <w:i/>
                <w:color w:val="auto"/>
              </w:rPr>
              <w:t>r</w:t>
            </w:r>
            <w:r w:rsidRPr="0031069E">
              <w:rPr>
                <w:rFonts w:ascii="Calibri" w:eastAsia="Calibri" w:hAnsi="Calibri" w:cs="Calibri"/>
                <w:b/>
                <w:i/>
                <w:color w:val="auto"/>
              </w:rPr>
              <w:t xml:space="preserve"> una interacción armónica entre los atractivos naturales y culturales y la infraestructura necesaria para el turismo.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43A927B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61223FE" w:rsidR="00C57B0F" w:rsidRPr="000E3ADC" w:rsidRDefault="00E973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393DE63" w:rsidR="00C57B0F" w:rsidRPr="000E3ADC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DB1C72A" w:rsidR="00C57B0F" w:rsidRPr="0031069E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espacio turístico está definido por la presencia de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roles,</w:t>
            </w: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que facilitan la actividad turística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0BACBD5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92A7F20" w:rsidR="00C57B0F" w:rsidRPr="000E3ADC" w:rsidRDefault="00E973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AC76A68" w:rsidR="00C57B0F" w:rsidRPr="000E3A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737FEF2" w:rsidR="00C57B0F" w:rsidRPr="005A74DC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31069E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gestión pública se refiere a las actividades desarrolladas por los organismos oficiales para cumplir con los fines del Estado</w:t>
            </w:r>
            <w:r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0E3ADC" w:rsidRDefault="005A74D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4C40BCA" w:rsidR="00C57B0F" w:rsidRPr="000E3ADC" w:rsidRDefault="00310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C311ACB" w:rsidR="00C57B0F" w:rsidRPr="00B32C06" w:rsidRDefault="00B32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B32C0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planeación es el proceso inicial donde se establecen los objetivos, estrategias y recursos necesarios para el desarrollo turístico sostenible y competitivo.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4A8D1B7E" w:rsidR="00C57B0F" w:rsidRPr="00EA1809" w:rsidRDefault="00BD183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C57B0F" w:rsidRPr="00EA180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DB8F5A6" w:rsidR="00C57B0F" w:rsidRPr="00EA1809" w:rsidRDefault="00310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C57B0F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A2617D7" w:rsidR="00C57B0F" w:rsidRPr="00EA1809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6B3AAF" w:rsidRPr="00B32C06" w14:paraId="7C78820B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0FADB3E" w14:textId="490A043A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12B9C99F" w14:textId="00015AD9" w:rsidR="006B3AAF" w:rsidRPr="00B32C06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B3AAF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gestión turística sostenible implica un equilibrio entre los aspectos económicos, sociales y ambientales sin comprometer el bienestar de futuras generaciones</w:t>
            </w:r>
            <w:r w:rsidRPr="006B3AAF">
              <w:rPr>
                <w:rFonts w:ascii="Calibri" w:eastAsia="Calibri" w:hAnsi="Calibri" w:cs="Calibri"/>
                <w:b/>
                <w:bCs/>
                <w:i/>
                <w:color w:val="AEAAAA"/>
              </w:rPr>
              <w:t>.</w:t>
            </w:r>
          </w:p>
        </w:tc>
      </w:tr>
      <w:tr w:rsidR="006B3AAF" w:rsidRPr="00EA1809" w14:paraId="7465C118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621E36C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D1E70CA" w14:textId="77777777" w:rsidR="006B3AAF" w:rsidRPr="00EA1809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3D9C4F5" w14:textId="77777777" w:rsidR="006B3AAF" w:rsidRPr="00EA1809" w:rsidRDefault="006B3AAF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B3AAF" w:rsidRPr="00EA1809" w14:paraId="1535BA77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EADAA9A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776E3EF" w14:textId="77777777" w:rsidR="006B3AAF" w:rsidRPr="00EA1809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71329C1" w14:textId="77777777" w:rsidR="006B3AAF" w:rsidRPr="00EA1809" w:rsidRDefault="006B3AAF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B3AAF" w:rsidRPr="00EA1809" w14:paraId="2F990C57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93F298B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2989D2" w14:textId="77777777" w:rsidR="006B3AAF" w:rsidRPr="00EA1809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6B3AAF" w:rsidRPr="00EA1809" w14:paraId="1F825A0C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D7B3149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A1E8288" w14:textId="77777777" w:rsidR="006B3AAF" w:rsidRPr="00EA1809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6B3AAF" w:rsidRPr="00B32C06" w14:paraId="2EF3FC44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097AF00" w14:textId="34B84E64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62184E4" w14:textId="7E14F82C" w:rsidR="006B3AAF" w:rsidRPr="00B32C06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B3AAF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competitividad de un destino turístico depende únicamente de sus recursos naturales y culturales, sin necesidad de una gestión eficaz.</w:t>
            </w:r>
          </w:p>
        </w:tc>
      </w:tr>
      <w:tr w:rsidR="006B3AAF" w:rsidRPr="00EA1809" w14:paraId="4F978104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218395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DC1E4E3" w14:textId="77777777" w:rsidR="006B3AAF" w:rsidRPr="00EA1809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276B8AC" w14:textId="5CA703DE" w:rsidR="006B3AAF" w:rsidRPr="00EA1809" w:rsidRDefault="006B3AAF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B3AAF" w:rsidRPr="00EA1809" w14:paraId="0C74ED76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3D4AE7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46F283C" w14:textId="77777777" w:rsidR="006B3AAF" w:rsidRPr="00EA1809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7672EA3" w14:textId="319EA5B7" w:rsidR="006B3AAF" w:rsidRPr="00EA1809" w:rsidRDefault="006B3AAF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B3AAF" w:rsidRPr="00EA1809" w14:paraId="0CEE010B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C692A4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8F4A86B" w14:textId="77777777" w:rsidR="006B3AAF" w:rsidRPr="00EA1809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6B3AAF" w:rsidRPr="00EA1809" w14:paraId="49085D94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1AAB341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CAB7731" w14:textId="77777777" w:rsidR="006B3AAF" w:rsidRPr="00EA1809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6B3AAF" w:rsidRPr="00B32C06" w14:paraId="0830909D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C9520A6" w14:textId="1FF14873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701246BC" w14:textId="2E482CC2" w:rsidR="006B3AAF" w:rsidRPr="00B32C06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B3AAF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sector privado en el turismo no juega un papel fundamental en la provisión de servicios esenciales como alojamiento y transporte.</w:t>
            </w:r>
          </w:p>
        </w:tc>
      </w:tr>
      <w:tr w:rsidR="006B3AAF" w:rsidRPr="00EA1809" w14:paraId="068934B2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A288351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42A1AE" w14:textId="77777777" w:rsidR="006B3AAF" w:rsidRPr="00EA1809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A414F3B" w14:textId="2DB3AE16" w:rsidR="006B3AAF" w:rsidRPr="00EA1809" w:rsidRDefault="006B3AAF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B3AAF" w:rsidRPr="00EA1809" w14:paraId="08A11E8A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8B75539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4D4D44" w14:textId="77777777" w:rsidR="006B3AAF" w:rsidRPr="00EA1809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C99F037" w14:textId="0B2536CB" w:rsidR="006B3AAF" w:rsidRPr="00EA1809" w:rsidRDefault="006B3AAF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B3AAF" w:rsidRPr="00EA1809" w14:paraId="724512FA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1D3C39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9C1101" w14:textId="77777777" w:rsidR="006B3AAF" w:rsidRPr="00EA1809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6B3AAF" w:rsidRPr="00EA1809" w14:paraId="4C5E16A6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F5E2D3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A0BA8F9" w14:textId="77777777" w:rsidR="006B3AAF" w:rsidRPr="00EA1809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6B3AAF" w:rsidRPr="00B32C06" w14:paraId="0B94E20E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8F1D939" w14:textId="485C339D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1274BD3" w14:textId="476EE454" w:rsidR="006B3AAF" w:rsidRPr="00B32C06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B3AAF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modelo de competitividad de Porter sugiere que un país puede mejorar su prosperidad mediante la organización de sus políticas y leyes enfocadas en la productividad.</w:t>
            </w:r>
          </w:p>
        </w:tc>
      </w:tr>
      <w:tr w:rsidR="006B3AAF" w:rsidRPr="00EA1809" w14:paraId="217BF85C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B0E510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507692" w14:textId="77777777" w:rsidR="006B3AAF" w:rsidRPr="00EA1809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3E19E20" w14:textId="77777777" w:rsidR="006B3AAF" w:rsidRPr="00EA1809" w:rsidRDefault="006B3AAF" w:rsidP="00564E6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B3AAF" w:rsidRPr="00EA1809" w14:paraId="176004C2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BF3A6E2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D55EE30" w14:textId="77777777" w:rsidR="006B3AAF" w:rsidRPr="00EA1809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49F8939" w14:textId="77777777" w:rsidR="006B3AAF" w:rsidRPr="00EA1809" w:rsidRDefault="006B3AAF" w:rsidP="00564E6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B3AAF" w:rsidRPr="00EA1809" w14:paraId="668997C6" w14:textId="77777777" w:rsidTr="0056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A35107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86F7A" w14:textId="77777777" w:rsidR="006B3AAF" w:rsidRPr="00EA1809" w:rsidRDefault="006B3AAF" w:rsidP="0056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claro</w:t>
            </w:r>
            <w:r>
              <w:rPr>
                <w:rFonts w:ascii="Calibri" w:eastAsia="Calibri" w:hAnsi="Calibri" w:cs="Calibri"/>
                <w:i/>
                <w:color w:val="auto"/>
              </w:rPr>
              <w:t>s los conceptos de competitividad y sobre la gestión turística.</w:t>
            </w:r>
          </w:p>
        </w:tc>
      </w:tr>
      <w:tr w:rsidR="006B3AAF" w:rsidRPr="00EA1809" w14:paraId="2AE84B15" w14:textId="77777777" w:rsidTr="00564E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7907BD1" w14:textId="77777777" w:rsidR="006B3AAF" w:rsidRDefault="006B3AAF" w:rsidP="00564E6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EAE88E" w14:textId="77777777" w:rsidR="006B3AAF" w:rsidRPr="00EA1809" w:rsidRDefault="006B3AAF" w:rsidP="00564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30D904" w14:textId="7B026297" w:rsidR="00C57B0F" w:rsidRDefault="005D6C01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</w:t>
            </w:r>
            <w:r w:rsidR="00E97319">
              <w:rPr>
                <w:rFonts w:ascii="Calibri" w:eastAsia="Calibri" w:hAnsi="Calibri" w:cs="Calibri"/>
                <w:i/>
                <w:color w:val="auto"/>
              </w:rPr>
              <w:t>o</w:t>
            </w:r>
          </w:p>
          <w:p w14:paraId="674AF642" w14:textId="511C4DC7" w:rsidR="00E97319" w:rsidRPr="00996CB7" w:rsidRDefault="00E97319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996CB7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143A774" w:rsidR="00C0495F" w:rsidRDefault="006B3AA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2E70B" w14:textId="77777777" w:rsidR="00FE529B" w:rsidRDefault="00FE529B">
      <w:pPr>
        <w:spacing w:line="240" w:lineRule="auto"/>
      </w:pPr>
      <w:r>
        <w:separator/>
      </w:r>
    </w:p>
  </w:endnote>
  <w:endnote w:type="continuationSeparator" w:id="0">
    <w:p w14:paraId="6EBF71E2" w14:textId="77777777" w:rsidR="00FE529B" w:rsidRDefault="00FE5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12E20" w14:textId="77777777" w:rsidR="00FE529B" w:rsidRDefault="00FE529B">
      <w:pPr>
        <w:spacing w:line="240" w:lineRule="auto"/>
      </w:pPr>
      <w:r>
        <w:separator/>
      </w:r>
    </w:p>
  </w:footnote>
  <w:footnote w:type="continuationSeparator" w:id="0">
    <w:p w14:paraId="7B5559A6" w14:textId="77777777" w:rsidR="00FE529B" w:rsidRDefault="00FE5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42C06"/>
    <w:rsid w:val="0018141D"/>
    <w:rsid w:val="001B034B"/>
    <w:rsid w:val="001B5CD5"/>
    <w:rsid w:val="001D65D0"/>
    <w:rsid w:val="002240C2"/>
    <w:rsid w:val="00230CDA"/>
    <w:rsid w:val="002D5E9C"/>
    <w:rsid w:val="0031069E"/>
    <w:rsid w:val="00383143"/>
    <w:rsid w:val="00391997"/>
    <w:rsid w:val="003C34E2"/>
    <w:rsid w:val="004A00B2"/>
    <w:rsid w:val="004E274A"/>
    <w:rsid w:val="00577CEE"/>
    <w:rsid w:val="005A74DC"/>
    <w:rsid w:val="005D6C01"/>
    <w:rsid w:val="00654A50"/>
    <w:rsid w:val="006B3AAF"/>
    <w:rsid w:val="006C52FA"/>
    <w:rsid w:val="006F219D"/>
    <w:rsid w:val="00725E57"/>
    <w:rsid w:val="00736566"/>
    <w:rsid w:val="00763ED4"/>
    <w:rsid w:val="0078087A"/>
    <w:rsid w:val="007844D1"/>
    <w:rsid w:val="007878C4"/>
    <w:rsid w:val="008013B8"/>
    <w:rsid w:val="00805A67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51AD"/>
    <w:rsid w:val="009B224D"/>
    <w:rsid w:val="009C2A48"/>
    <w:rsid w:val="009D1BF1"/>
    <w:rsid w:val="009D37F0"/>
    <w:rsid w:val="00A50801"/>
    <w:rsid w:val="00A87231"/>
    <w:rsid w:val="00B02B81"/>
    <w:rsid w:val="00B25195"/>
    <w:rsid w:val="00B32C06"/>
    <w:rsid w:val="00B33D03"/>
    <w:rsid w:val="00B63D1C"/>
    <w:rsid w:val="00BB561B"/>
    <w:rsid w:val="00BD183E"/>
    <w:rsid w:val="00C0495F"/>
    <w:rsid w:val="00C57B0F"/>
    <w:rsid w:val="00CA130F"/>
    <w:rsid w:val="00CA2567"/>
    <w:rsid w:val="00CC4530"/>
    <w:rsid w:val="00CD3981"/>
    <w:rsid w:val="00CF6CED"/>
    <w:rsid w:val="00D154B7"/>
    <w:rsid w:val="00D16CEB"/>
    <w:rsid w:val="00D914E8"/>
    <w:rsid w:val="00D96770"/>
    <w:rsid w:val="00DE3A7D"/>
    <w:rsid w:val="00DF2103"/>
    <w:rsid w:val="00E97319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  <w:rsid w:val="00F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C3CE55-02E3-407E-9654-FDE4A0DEDCE2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2024-10-19T15:47:00Z</dcterms:created>
  <dcterms:modified xsi:type="dcterms:W3CDTF">2024-10-19T15:47:00Z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