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3C4C" w:rsidP="002B3C4C" w:rsidRDefault="002B3C4C" w14:paraId="04C79A18" w14:textId="77777777">
      <w:pPr>
        <w:jc w:val="center"/>
        <w:rPr>
          <w:b w:val="1"/>
          <w:bCs w:val="1"/>
        </w:rPr>
      </w:pPr>
      <w:r w:rsidRPr="3008F903" w:rsidR="5A947235">
        <w:rPr>
          <w:b w:val="1"/>
          <w:bCs w:val="1"/>
        </w:rPr>
        <w:t xml:space="preserve">INFORMACIÓN PARA </w:t>
      </w:r>
      <w:r w:rsidRPr="3008F903" w:rsidR="5A947235">
        <w:rPr>
          <w:b w:val="1"/>
          <w:bCs w:val="1"/>
          <w:i w:val="1"/>
          <w:iCs w:val="1"/>
        </w:rPr>
        <w:t>PODCAST</w:t>
      </w:r>
    </w:p>
    <w:p w:rsidR="002B3C4C" w:rsidP="002B3C4C" w:rsidRDefault="002B3C4C" w14:paraId="786F42FD" w14:textId="77777777">
      <w:pPr>
        <w:jc w:val="center"/>
        <w:rPr>
          <w:b/>
          <w:bCs/>
        </w:rPr>
      </w:pPr>
    </w:p>
    <w:p w:rsidRPr="00E719FA" w:rsidR="002B3C4C" w:rsidP="002B3C4C" w:rsidRDefault="002B3C4C" w14:paraId="5F69CD8F" w14:textId="0D5259D5">
      <w:pPr>
        <w:rPr>
          <w:rFonts w:ascii="Arial" w:hAnsi="Arial" w:cs="Arial"/>
          <w:sz w:val="20"/>
          <w:szCs w:val="20"/>
        </w:rPr>
      </w:pPr>
      <w:r>
        <w:rPr>
          <w:b/>
          <w:bCs/>
        </w:rPr>
        <w:t xml:space="preserve">Programa: </w:t>
      </w:r>
      <w:r w:rsidRPr="0060399D" w:rsidR="0060399D">
        <w:rPr>
          <w:rFonts w:ascii="Arial" w:hAnsi="Arial" w:cs="Arial"/>
          <w:sz w:val="20"/>
          <w:szCs w:val="20"/>
        </w:rPr>
        <w:t>Conceptos y usos para administradores de bases de datos con Microsoft Access.</w:t>
      </w:r>
    </w:p>
    <w:p w:rsidRPr="008B2298" w:rsidR="002B3C4C" w:rsidP="008B2298" w:rsidRDefault="002B3C4C" w14:paraId="492EDF11" w14:textId="1C10B64E">
      <w:pPr>
        <w:rPr>
          <w:rFonts w:ascii="Arial" w:hAnsi="Arial" w:cs="Arial"/>
          <w:sz w:val="20"/>
          <w:szCs w:val="20"/>
        </w:rPr>
      </w:pPr>
      <w:r w:rsidRPr="008B2298">
        <w:rPr>
          <w:rFonts w:ascii="Arial" w:hAnsi="Arial" w:cs="Arial"/>
          <w:b/>
          <w:bCs/>
          <w:sz w:val="20"/>
          <w:szCs w:val="20"/>
        </w:rPr>
        <w:t>Componente</w:t>
      </w:r>
      <w:r w:rsidRPr="008B2298">
        <w:rPr>
          <w:rFonts w:ascii="Arial" w:hAnsi="Arial" w:cs="Arial"/>
          <w:sz w:val="20"/>
          <w:szCs w:val="20"/>
        </w:rPr>
        <w:t>: CF</w:t>
      </w:r>
      <w:r w:rsidRPr="008B2298" w:rsidR="008B2298">
        <w:rPr>
          <w:rFonts w:ascii="Arial" w:hAnsi="Arial" w:cs="Arial"/>
          <w:sz w:val="20"/>
          <w:szCs w:val="20"/>
        </w:rPr>
        <w:t>2</w:t>
      </w:r>
      <w:r w:rsidRPr="008B2298">
        <w:rPr>
          <w:rFonts w:ascii="Arial" w:hAnsi="Arial" w:cs="Arial"/>
          <w:sz w:val="20"/>
          <w:szCs w:val="20"/>
        </w:rPr>
        <w:t xml:space="preserve">- </w:t>
      </w:r>
      <w:bookmarkStart w:name="_Hlk225715404" w:id="0"/>
      <w:r w:rsidRPr="008B2298" w:rsidR="008B2298">
        <w:rPr>
          <w:rFonts w:ascii="Arial" w:hAnsi="Arial" w:cs="Arial"/>
          <w:sz w:val="20"/>
          <w:szCs w:val="20"/>
        </w:rPr>
        <w:t>Ejecución y evaluación del plan de formación</w:t>
      </w:r>
      <w:bookmarkEnd w:id="0"/>
      <w:r w:rsidRPr="008B2298" w:rsidR="008B2298">
        <w:rPr>
          <w:rFonts w:ascii="Arial" w:hAnsi="Arial" w:cs="Arial"/>
          <w:sz w:val="20"/>
          <w:szCs w:val="20"/>
        </w:rPr>
        <w:br/>
      </w:r>
      <w:r w:rsidRPr="008B2298">
        <w:rPr>
          <w:rFonts w:ascii="Arial" w:hAnsi="Arial" w:cs="Arial"/>
          <w:b/>
          <w:bCs/>
          <w:sz w:val="20"/>
          <w:szCs w:val="20"/>
        </w:rPr>
        <w:t xml:space="preserve">Ubicación dentro del componente: </w:t>
      </w:r>
      <w:r w:rsidRPr="008B2298" w:rsidR="008B2298">
        <w:rPr>
          <w:rFonts w:ascii="Arial" w:hAnsi="Arial" w:cs="Arial"/>
          <w:sz w:val="20"/>
          <w:szCs w:val="20"/>
        </w:rPr>
        <w:t>2. Configuración de herramientas y técnicas de seguridad en los datos</w:t>
      </w:r>
    </w:p>
    <w:p w:rsidRPr="008B2298" w:rsidR="008B2298" w:rsidP="008B2298" w:rsidRDefault="002B3C4C" w14:paraId="6A756F24" w14:textId="77777777">
      <w:pPr>
        <w:pStyle w:val="Normal0"/>
        <w:pBdr>
          <w:top w:val="nil"/>
          <w:left w:val="nil"/>
          <w:bottom w:val="nil"/>
          <w:right w:val="nil"/>
          <w:between w:val="nil"/>
        </w:pBdr>
        <w:spacing w:line="360" w:lineRule="auto"/>
        <w:ind w:left="284"/>
        <w:rPr>
          <w:b/>
          <w:bCs/>
          <w:sz w:val="20"/>
          <w:szCs w:val="20"/>
        </w:rPr>
      </w:pPr>
      <w:r w:rsidRPr="008B2298">
        <w:rPr>
          <w:b/>
          <w:bCs/>
          <w:sz w:val="20"/>
          <w:szCs w:val="20"/>
        </w:rPr>
        <w:t xml:space="preserve">Tema a tratar: </w:t>
      </w:r>
      <w:r w:rsidRPr="008B2298" w:rsidR="008B2298">
        <w:rPr>
          <w:b/>
          <w:bCs/>
          <w:sz w:val="20"/>
          <w:szCs w:val="20"/>
        </w:rPr>
        <w:t>Ocultamiento de la interfaz de navegación y anulación de teclas de omisión (</w:t>
      </w:r>
      <w:r w:rsidRPr="008B2298" w:rsidR="008B2298">
        <w:rPr>
          <w:b/>
          <w:bCs/>
          <w:i/>
          <w:iCs/>
          <w:sz w:val="20"/>
          <w:szCs w:val="20"/>
          <w:highlight w:val="yellow"/>
        </w:rPr>
        <w:t>bypass key</w:t>
      </w:r>
      <w:r w:rsidRPr="008B2298" w:rsidR="008B2298">
        <w:rPr>
          <w:b/>
          <w:bCs/>
          <w:sz w:val="20"/>
          <w:szCs w:val="20"/>
        </w:rPr>
        <w:t>)</w:t>
      </w:r>
    </w:p>
    <w:p w:rsidRPr="008B2298" w:rsidR="001028C1" w:rsidP="0060399D" w:rsidRDefault="001028C1" w14:paraId="652E7E2A" w14:textId="36359AFC">
      <w:pPr>
        <w:spacing w:line="360" w:lineRule="auto"/>
        <w:rPr>
          <w:rFonts w:ascii="Arial" w:hAnsi="Arial" w:cs="Arial"/>
          <w:b/>
          <w:sz w:val="20"/>
          <w:szCs w:val="20"/>
        </w:rPr>
      </w:pPr>
    </w:p>
    <w:p w:rsidRPr="003B5D45" w:rsidR="008B2298" w:rsidP="008B2298" w:rsidRDefault="008B2298" w14:paraId="719EC6CB" w14:textId="77777777">
      <w:pPr>
        <w:pStyle w:val="Normal0"/>
        <w:pBdr>
          <w:top w:val="nil"/>
          <w:left w:val="nil"/>
          <w:bottom w:val="nil"/>
          <w:right w:val="nil"/>
          <w:between w:val="nil"/>
        </w:pBdr>
        <w:spacing w:line="360" w:lineRule="auto"/>
        <w:ind w:left="284"/>
        <w:rPr>
          <w:sz w:val="20"/>
          <w:szCs w:val="20"/>
        </w:rPr>
      </w:pPr>
      <w:r w:rsidRPr="003B5D45">
        <w:rPr>
          <w:sz w:val="20"/>
          <w:szCs w:val="20"/>
        </w:rPr>
        <w:t>El último paso de este blindaje lógico consiste en configurar las opciones de la aplicación para que, al iniciarse, se oculte el "Panel de navegación" (el menú lateral donde se listan todas las tablas y objetos). El administrador configura un formulario de inicio o menú principal que se abrirá automáticamente.</w:t>
      </w:r>
    </w:p>
    <w:p w:rsidRPr="003B5D45" w:rsidR="008B2298" w:rsidP="008B2298" w:rsidRDefault="008B2298" w14:paraId="733D4916" w14:textId="77777777">
      <w:pPr>
        <w:pStyle w:val="Normal0"/>
        <w:pBdr>
          <w:top w:val="nil"/>
          <w:left w:val="nil"/>
          <w:bottom w:val="nil"/>
          <w:right w:val="nil"/>
          <w:between w:val="nil"/>
        </w:pBdr>
        <w:spacing w:line="360" w:lineRule="auto"/>
        <w:ind w:left="284"/>
        <w:rPr>
          <w:sz w:val="20"/>
          <w:szCs w:val="20"/>
        </w:rPr>
      </w:pPr>
      <w:r w:rsidRPr="003B5D45">
        <w:rPr>
          <w:sz w:val="20"/>
          <w:szCs w:val="20"/>
        </w:rPr>
        <w:t xml:space="preserve">Adicionalmente, se debe aplicar un ajuste avanzado: deshabilitar la tecla </w:t>
      </w:r>
      <w:r w:rsidRPr="00A57DD1">
        <w:rPr>
          <w:i/>
          <w:iCs/>
          <w:sz w:val="20"/>
          <w:szCs w:val="20"/>
          <w:highlight w:val="yellow"/>
        </w:rPr>
        <w:t>Shift</w:t>
      </w:r>
      <w:r w:rsidRPr="003B5D45">
        <w:rPr>
          <w:sz w:val="20"/>
          <w:szCs w:val="20"/>
        </w:rPr>
        <w:t xml:space="preserve"> (</w:t>
      </w:r>
      <w:r w:rsidRPr="00A57DD1">
        <w:rPr>
          <w:i/>
          <w:iCs/>
          <w:sz w:val="20"/>
          <w:szCs w:val="20"/>
          <w:highlight w:val="yellow"/>
        </w:rPr>
        <w:t>Bypass Key</w:t>
      </w:r>
      <w:r w:rsidRPr="003B5D45">
        <w:rPr>
          <w:sz w:val="20"/>
          <w:szCs w:val="20"/>
        </w:rPr>
        <w:t xml:space="preserve">). En Access, si un usuario mantiene presionada la tecla </w:t>
      </w:r>
      <w:r w:rsidRPr="00A57DD1">
        <w:rPr>
          <w:i/>
          <w:iCs/>
          <w:sz w:val="20"/>
          <w:szCs w:val="20"/>
          <w:highlight w:val="yellow"/>
        </w:rPr>
        <w:t>Shift</w:t>
      </w:r>
      <w:r w:rsidRPr="003B5D45">
        <w:rPr>
          <w:sz w:val="20"/>
          <w:szCs w:val="20"/>
        </w:rPr>
        <w:t xml:space="preserve"> mientras abre la base de datos, el sistema omite las opciones de inicio configuradas y muestra el panel completo. Mediante un breve código de programación o macros (macro AutoExec), el administrador debe anular esta función, forzando a todos los usuarios a interactuar exclusivamente a través de la interfaz visual diseñada y aprobada por el creador del sistema.</w:t>
      </w:r>
    </w:p>
    <w:p w:rsidRPr="003B5D45" w:rsidR="008B2298" w:rsidP="008B2298" w:rsidRDefault="008B2298" w14:paraId="1129CE33" w14:textId="77777777">
      <w:pPr>
        <w:pStyle w:val="Normal0"/>
        <w:pBdr>
          <w:top w:val="nil"/>
          <w:left w:val="nil"/>
          <w:bottom w:val="nil"/>
          <w:right w:val="nil"/>
          <w:between w:val="nil"/>
        </w:pBdr>
        <w:spacing w:line="360" w:lineRule="auto"/>
        <w:ind w:left="284"/>
        <w:rPr>
          <w:sz w:val="20"/>
          <w:szCs w:val="20"/>
        </w:rPr>
      </w:pPr>
    </w:p>
    <w:p w:rsidRPr="0060399D" w:rsidR="0060399D" w:rsidP="008B2298" w:rsidRDefault="008B2298" w14:paraId="78C0D962" w14:textId="05FD435C">
      <w:pPr>
        <w:pStyle w:val="Normal0"/>
        <w:pBdr>
          <w:top w:val="nil"/>
          <w:left w:val="nil"/>
          <w:bottom w:val="nil"/>
          <w:right w:val="nil"/>
          <w:between w:val="nil"/>
        </w:pBdr>
        <w:spacing w:line="360" w:lineRule="auto"/>
        <w:ind w:left="284"/>
        <w:rPr>
          <w:sz w:val="20"/>
          <w:szCs w:val="20"/>
        </w:rPr>
      </w:pPr>
      <w:r w:rsidRPr="003B5D45">
        <w:rPr>
          <w:sz w:val="20"/>
          <w:szCs w:val="20"/>
        </w:rPr>
        <w:t>Este entramado de procesos demuestra que la aplicación de aspectos de seguridad y accesibilidad requiere un pensamiento estratégico. El administrador de bases de datos no solo reacciona a los problemas, sino que anticipa los vectores de ataque y diseña una estructura digital resiliente y confiable, lista para operar en entornos reales de alta exigencia académica y corporativa</w:t>
      </w:r>
      <w:r w:rsidRPr="0060399D" w:rsidR="0060399D">
        <w:rPr>
          <w:sz w:val="20"/>
          <w:szCs w:val="20"/>
        </w:rPr>
        <w:t>.</w:t>
      </w:r>
    </w:p>
    <w:p w:rsidR="001028C1" w:rsidP="002D3BB8" w:rsidRDefault="001028C1" w14:paraId="30E9A7AD" w14:textId="47DDF9CE">
      <w:pPr>
        <w:spacing w:after="0" w:line="360" w:lineRule="auto"/>
        <w:rPr>
          <w:rFonts w:ascii="Arial" w:hAnsi="Arial" w:cs="Arial"/>
          <w:sz w:val="20"/>
          <w:szCs w:val="20"/>
        </w:rPr>
      </w:pPr>
    </w:p>
    <w:p w:rsidRPr="00E719FA" w:rsidR="002B3C4C" w:rsidP="002B3C4C" w:rsidRDefault="002B3C4C" w14:paraId="62535A2E" w14:textId="74A6318A">
      <w:pPr>
        <w:spacing w:after="0" w:line="360" w:lineRule="auto"/>
        <w:rPr>
          <w:rFonts w:ascii="Arial" w:hAnsi="Arial" w:cs="Arial"/>
          <w:sz w:val="20"/>
          <w:szCs w:val="20"/>
        </w:rPr>
      </w:pPr>
      <w:r w:rsidRPr="00E719FA">
        <w:rPr>
          <w:rFonts w:ascii="Arial" w:hAnsi="Arial" w:cs="Arial"/>
          <w:sz w:val="20"/>
          <w:szCs w:val="20"/>
        </w:rPr>
        <w:t>Total, palabras</w:t>
      </w:r>
      <w:r w:rsidR="00E719FA">
        <w:rPr>
          <w:rFonts w:ascii="Arial" w:hAnsi="Arial" w:cs="Arial"/>
          <w:sz w:val="20"/>
          <w:szCs w:val="20"/>
        </w:rPr>
        <w:t xml:space="preserve">: </w:t>
      </w:r>
      <w:r w:rsidR="00E8626E">
        <w:rPr>
          <w:rFonts w:ascii="Arial" w:hAnsi="Arial" w:cs="Arial"/>
          <w:sz w:val="20"/>
          <w:szCs w:val="20"/>
        </w:rPr>
        <w:t>190</w:t>
      </w:r>
    </w:p>
    <w:p w:rsidRPr="00D329FB" w:rsidR="002B3C4C" w:rsidP="002B3C4C" w:rsidRDefault="002B3C4C" w14:paraId="5D1DDAD5" w14:textId="77777777">
      <w:pPr>
        <w:spacing w:after="0" w:line="360" w:lineRule="auto"/>
        <w:rPr>
          <w:rFonts w:ascii="Arial" w:hAnsi="Arial" w:cs="Arial"/>
          <w:b/>
          <w:bCs/>
          <w:sz w:val="20"/>
          <w:szCs w:val="20"/>
        </w:rPr>
      </w:pPr>
    </w:p>
    <w:p w:rsidR="00B15059" w:rsidRDefault="00B15059" w14:paraId="7F1FAB7E" w14:textId="77777777"/>
    <w:sectPr w:rsidR="00B1505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6425D7"/>
    <w:multiLevelType w:val="hybridMultilevel"/>
    <w:tmpl w:val="B9BE4C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C833215"/>
    <w:multiLevelType w:val="hybridMultilevel"/>
    <w:tmpl w:val="4564A310"/>
    <w:lvl w:ilvl="0" w:tplc="29E215CC">
      <w:numFmt w:val="bullet"/>
      <w:lvlText w:val="•"/>
      <w:lvlJc w:val="left"/>
      <w:pPr>
        <w:ind w:left="1425" w:hanging="705"/>
      </w:pPr>
      <w:rPr>
        <w:rFonts w:hint="default" w:ascii="Arial" w:hAnsi="Arial" w:cs="Arial" w:eastAsiaTheme="minorHAnsi"/>
        <w:sz w:val="28"/>
        <w:szCs w:val="28"/>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6E3D5AFC"/>
    <w:multiLevelType w:val="hybridMultilevel"/>
    <w:tmpl w:val="DB1685D0"/>
    <w:lvl w:ilvl="0" w:tplc="9880DF44">
      <w:numFmt w:val="bullet"/>
      <w:lvlText w:val="•"/>
      <w:lvlJc w:val="left"/>
      <w:pPr>
        <w:ind w:left="1065" w:hanging="705"/>
      </w:pPr>
      <w:rPr>
        <w:rFonts w:hint="default" w:ascii="Arial" w:hAnsi="Arial"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16cid:durableId="301467678">
    <w:abstractNumId w:val="0"/>
  </w:num>
  <w:num w:numId="2" w16cid:durableId="1492209177">
    <w:abstractNumId w:val="2"/>
  </w:num>
  <w:num w:numId="3" w16cid:durableId="69621406">
    <w:abstractNumId w:val="1"/>
  </w:num>
  <w:num w:numId="4" w16cid:durableId="1052457764">
    <w:abstractNumId w:val="4"/>
  </w:num>
  <w:num w:numId="5" w16cid:durableId="6246964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C4C"/>
    <w:rsid w:val="001028C1"/>
    <w:rsid w:val="00236C8B"/>
    <w:rsid w:val="002B3C4C"/>
    <w:rsid w:val="002D3BB8"/>
    <w:rsid w:val="002F79F0"/>
    <w:rsid w:val="0060399D"/>
    <w:rsid w:val="008B2298"/>
    <w:rsid w:val="00AD1941"/>
    <w:rsid w:val="00B15059"/>
    <w:rsid w:val="00B76FBA"/>
    <w:rsid w:val="00E719FA"/>
    <w:rsid w:val="00E8626E"/>
    <w:rsid w:val="00F101BB"/>
    <w:rsid w:val="3008F903"/>
    <w:rsid w:val="5A947235"/>
    <w:rsid w:val="7EABB4A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375A2"/>
  <w15:chartTrackingRefBased/>
  <w15:docId w15:val="{6D781F6F-FA06-4941-90D5-4754101F1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C4C"/>
  </w:style>
  <w:style w:type="paragraph" w:styleId="Ttulo1">
    <w:name w:val="heading 1"/>
    <w:basedOn w:val="Normal"/>
    <w:next w:val="Normal"/>
    <w:link w:val="Ttulo1Car"/>
    <w:uiPriority w:val="9"/>
    <w:qFormat/>
    <w:rsid w:val="002B3C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3C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3C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3C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3C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3C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3C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3C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3C4C"/>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2B3C4C"/>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2B3C4C"/>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2B3C4C"/>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2B3C4C"/>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2B3C4C"/>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2B3C4C"/>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2B3C4C"/>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2B3C4C"/>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2B3C4C"/>
    <w:rPr>
      <w:rFonts w:eastAsiaTheme="majorEastAsia" w:cstheme="majorBidi"/>
      <w:color w:val="272727" w:themeColor="text1" w:themeTint="D8"/>
    </w:rPr>
  </w:style>
  <w:style w:type="paragraph" w:styleId="Ttulo">
    <w:name w:val="Title"/>
    <w:basedOn w:val="Normal"/>
    <w:next w:val="Normal"/>
    <w:link w:val="TtuloCar"/>
    <w:uiPriority w:val="10"/>
    <w:qFormat/>
    <w:rsid w:val="002B3C4C"/>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2B3C4C"/>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2B3C4C"/>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2B3C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3C4C"/>
    <w:pPr>
      <w:spacing w:before="160"/>
      <w:jc w:val="center"/>
    </w:pPr>
    <w:rPr>
      <w:i/>
      <w:iCs/>
      <w:color w:val="404040" w:themeColor="text1" w:themeTint="BF"/>
    </w:rPr>
  </w:style>
  <w:style w:type="character" w:styleId="CitaCar" w:customStyle="1">
    <w:name w:val="Cita Car"/>
    <w:basedOn w:val="Fuentedeprrafopredeter"/>
    <w:link w:val="Cita"/>
    <w:uiPriority w:val="29"/>
    <w:rsid w:val="002B3C4C"/>
    <w:rPr>
      <w:i/>
      <w:iCs/>
      <w:color w:val="404040" w:themeColor="text1" w:themeTint="BF"/>
    </w:rPr>
  </w:style>
  <w:style w:type="paragraph" w:styleId="Prrafodelista">
    <w:name w:val="List Paragraph"/>
    <w:basedOn w:val="Normal"/>
    <w:uiPriority w:val="34"/>
    <w:qFormat/>
    <w:rsid w:val="002B3C4C"/>
    <w:pPr>
      <w:ind w:left="720"/>
      <w:contextualSpacing/>
    </w:pPr>
  </w:style>
  <w:style w:type="character" w:styleId="nfasisintenso">
    <w:name w:val="Intense Emphasis"/>
    <w:basedOn w:val="Fuentedeprrafopredeter"/>
    <w:uiPriority w:val="21"/>
    <w:qFormat/>
    <w:rsid w:val="002B3C4C"/>
    <w:rPr>
      <w:i/>
      <w:iCs/>
      <w:color w:val="0F4761" w:themeColor="accent1" w:themeShade="BF"/>
    </w:rPr>
  </w:style>
  <w:style w:type="paragraph" w:styleId="Citadestacada">
    <w:name w:val="Intense Quote"/>
    <w:basedOn w:val="Normal"/>
    <w:next w:val="Normal"/>
    <w:link w:val="CitadestacadaCar"/>
    <w:uiPriority w:val="30"/>
    <w:qFormat/>
    <w:rsid w:val="002B3C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2B3C4C"/>
    <w:rPr>
      <w:i/>
      <w:iCs/>
      <w:color w:val="0F4761" w:themeColor="accent1" w:themeShade="BF"/>
    </w:rPr>
  </w:style>
  <w:style w:type="character" w:styleId="Referenciaintensa">
    <w:name w:val="Intense Reference"/>
    <w:basedOn w:val="Fuentedeprrafopredeter"/>
    <w:uiPriority w:val="32"/>
    <w:qFormat/>
    <w:rsid w:val="002B3C4C"/>
    <w:rPr>
      <w:b/>
      <w:bCs/>
      <w:smallCaps/>
      <w:color w:val="0F4761" w:themeColor="accent1" w:themeShade="BF"/>
      <w:spacing w:val="5"/>
    </w:rPr>
  </w:style>
  <w:style w:type="paragraph" w:styleId="Normal0" w:customStyle="1">
    <w:name w:val="Normal0"/>
    <w:qFormat/>
    <w:rsid w:val="008B2298"/>
    <w:pPr>
      <w:spacing w:after="0" w:line="276" w:lineRule="auto"/>
    </w:pPr>
    <w:rPr>
      <w:rFonts w:ascii="Arial" w:hAnsi="Arial" w:eastAsia="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D470CE-9EC9-48E6-A8C1-18290B49F465}">
  <ds:schemaRefs>
    <ds:schemaRef ds:uri="http://schemas.microsoft.com/sharepoint/v3/contenttype/forms"/>
  </ds:schemaRefs>
</ds:datastoreItem>
</file>

<file path=customXml/itemProps2.xml><?xml version="1.0" encoding="utf-8"?>
<ds:datastoreItem xmlns:ds="http://schemas.openxmlformats.org/officeDocument/2006/customXml" ds:itemID="{39451140-AD7D-44AA-B822-8E9C3A40FD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8043817-1199-4420-96FB-530C1B9402F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Paola Morales Paez</dc:creator>
  <keywords/>
  <dc:description/>
  <lastModifiedBy>Yineth Ibette Gonzalez Quintero</lastModifiedBy>
  <revision>10</revision>
  <dcterms:created xsi:type="dcterms:W3CDTF">2026-04-06T14:12:00.0000000Z</dcterms:created>
  <dcterms:modified xsi:type="dcterms:W3CDTF">2026-04-06T14:12:35.4807884Z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516245d8-e5f4-42ac-a19d-923c969a5d0b_Enabled">
    <vt:lpwstr>true</vt:lpwstr>
  </property>
  <property fmtid="{D5CDD505-2E9C-101B-9397-08002B2CF9AE}" pid="4" name="MSIP_Label_516245d8-e5f4-42ac-a19d-923c969a5d0b_SetDate">
    <vt:lpwstr>2026-04-06T14:12:16Z</vt:lpwstr>
  </property>
  <property fmtid="{D5CDD505-2E9C-101B-9397-08002B2CF9AE}" pid="5" name="MSIP_Label_516245d8-e5f4-42ac-a19d-923c969a5d0b_Method">
    <vt:lpwstr>Privileged</vt:lpwstr>
  </property>
  <property fmtid="{D5CDD505-2E9C-101B-9397-08002B2CF9AE}" pid="6" name="MSIP_Label_516245d8-e5f4-42ac-a19d-923c969a5d0b_Name">
    <vt:lpwstr>Confidential</vt:lpwstr>
  </property>
  <property fmtid="{D5CDD505-2E9C-101B-9397-08002B2CF9AE}" pid="7" name="MSIP_Label_516245d8-e5f4-42ac-a19d-923c969a5d0b_SiteId">
    <vt:lpwstr>cbc2c381-2f2e-4d93-91d1-506c9316ace7</vt:lpwstr>
  </property>
  <property fmtid="{D5CDD505-2E9C-101B-9397-08002B2CF9AE}" pid="8" name="MSIP_Label_516245d8-e5f4-42ac-a19d-923c969a5d0b_ActionId">
    <vt:lpwstr>dcc03eca-9d75-4c62-9b0c-d482674af2d6</vt:lpwstr>
  </property>
  <property fmtid="{D5CDD505-2E9C-101B-9397-08002B2CF9AE}" pid="9" name="MSIP_Label_516245d8-e5f4-42ac-a19d-923c969a5d0b_ContentBits">
    <vt:lpwstr>0</vt:lpwstr>
  </property>
  <property fmtid="{D5CDD505-2E9C-101B-9397-08002B2CF9AE}" pid="10" name="MSIP_Label_516245d8-e5f4-42ac-a19d-923c969a5d0b_Tag">
    <vt:lpwstr>10, 0, 1, 2</vt:lpwstr>
  </property>
  <property fmtid="{D5CDD505-2E9C-101B-9397-08002B2CF9AE}" pid="11" name="MediaServiceImageTags">
    <vt:lpwstr/>
  </property>
</Properties>
</file>