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D6B70" w:rsidR="00B15059" w:rsidRDefault="00B15059" w14:paraId="2B6C35F3" w14:textId="77777777">
      <w:pPr>
        <w:rPr>
          <w:rFonts w:ascii="Calibri" w:hAnsi="Calibri" w:cs="Calibri"/>
        </w:rPr>
      </w:pPr>
    </w:p>
    <w:p w:rsidRPr="00ED6B70" w:rsidR="00B92FA6" w:rsidRDefault="00B92FA6" w14:paraId="01DBCBF1" w14:textId="77777777">
      <w:pPr>
        <w:rPr>
          <w:rFonts w:ascii="Calibri" w:hAnsi="Calibri" w:cs="Calibri"/>
        </w:rPr>
      </w:pPr>
    </w:p>
    <w:p w:rsidRPr="00ED6B70" w:rsidR="00B92FA6" w:rsidP="00B92FA6" w:rsidRDefault="00B92FA6" w14:paraId="35FA3132" w14:textId="2DE33187">
      <w:pPr>
        <w:jc w:val="center"/>
        <w:rPr>
          <w:rFonts w:ascii="Calibri" w:hAnsi="Calibri" w:cs="Calibri"/>
          <w:b/>
          <w:lang w:val="es-ES"/>
        </w:rPr>
      </w:pPr>
      <w:r w:rsidRPr="00ED6B70">
        <w:rPr>
          <w:rFonts w:ascii="Calibri" w:hAnsi="Calibri" w:cs="Calibri"/>
          <w:b/>
          <w:lang w:val="es-ES"/>
        </w:rPr>
        <w:t>GUION INTRODUCCIÓN COMPONENTE FORMATIVO 0</w:t>
      </w:r>
      <w:r w:rsidRPr="00ED6B70" w:rsidR="006A1865">
        <w:rPr>
          <w:rFonts w:ascii="Calibri" w:hAnsi="Calibri" w:cs="Calibri"/>
          <w:b/>
          <w:lang w:val="es-ES"/>
        </w:rPr>
        <w:t>2</w:t>
      </w:r>
    </w:p>
    <w:p w:rsidRPr="00ED6B70" w:rsidR="00B92FA6" w:rsidP="00B92FA6" w:rsidRDefault="00B92FA6" w14:paraId="18868461" w14:textId="77777777">
      <w:pPr>
        <w:jc w:val="center"/>
        <w:rPr>
          <w:rFonts w:ascii="Calibri" w:hAnsi="Calibri" w:cs="Calibri"/>
          <w:b/>
          <w:lang w:val="es-ES"/>
        </w:rPr>
      </w:pPr>
    </w:p>
    <w:p w:rsidRPr="00ED6B70" w:rsidR="00AC0BE1" w:rsidP="00402097" w:rsidRDefault="00B92FA6" w14:paraId="74FBDF57" w14:textId="6A2AC5E6">
      <w:pPr>
        <w:spacing w:after="0" w:line="276" w:lineRule="auto"/>
        <w:rPr>
          <w:rFonts w:ascii="Calibri" w:hAnsi="Calibri" w:cs="Calibri"/>
          <w:b/>
        </w:rPr>
      </w:pPr>
      <w:r w:rsidRPr="00ED6B70">
        <w:rPr>
          <w:rFonts w:ascii="Calibri" w:hAnsi="Calibri" w:cs="Calibri"/>
          <w:b/>
          <w:bCs/>
          <w:lang w:val="es-ES"/>
        </w:rPr>
        <w:t>Título del video:</w:t>
      </w:r>
      <w:r w:rsidRPr="00ED6B70" w:rsidR="00402097">
        <w:rPr>
          <w:rFonts w:ascii="Calibri" w:hAnsi="Calibri" w:cs="Calibri"/>
        </w:rPr>
        <w:t xml:space="preserve"> </w:t>
      </w:r>
      <w:r w:rsidRPr="00ED6B70" w:rsidR="00ED6B70">
        <w:rPr>
          <w:rFonts w:ascii="Calibri" w:hAnsi="Calibri" w:eastAsia="Arial" w:cs="Calibri"/>
          <w:color w:val="000000"/>
        </w:rPr>
        <w:t>Pruebas de seguridad y mitigación de riesgos.</w:t>
      </w:r>
    </w:p>
    <w:p w:rsidRPr="00ED6B70" w:rsidR="00ED6B70" w:rsidP="00ED6B70" w:rsidRDefault="00AC0BE1" w14:paraId="3704F372" w14:textId="52E94A75">
      <w:pPr>
        <w:spacing w:before="120" w:after="120"/>
        <w:rPr>
          <w:rFonts w:ascii="Calibri" w:hAnsi="Calibri" w:cs="Calibri"/>
        </w:rPr>
      </w:pPr>
      <w:r w:rsidRPr="00ED6B70">
        <w:rPr>
          <w:rFonts w:ascii="Calibri" w:hAnsi="Calibri" w:cs="Calibri"/>
        </w:rPr>
        <w:br/>
      </w:r>
      <w:r w:rsidR="00ED6B70">
        <w:rPr>
          <w:rFonts w:ascii="Calibri" w:hAnsi="Calibri" w:eastAsia="Arial" w:cs="Calibri"/>
        </w:rPr>
        <w:t>L</w:t>
      </w:r>
      <w:r w:rsidRPr="00ED6B70" w:rsidR="00ED6B70">
        <w:rPr>
          <w:rFonts w:ascii="Calibri" w:hAnsi="Calibri" w:eastAsia="Arial" w:cs="Calibri"/>
        </w:rPr>
        <w:t xml:space="preserve">a </w:t>
      </w:r>
      <w:r w:rsidRPr="00ED6B70" w:rsidR="00ED6B70">
        <w:rPr>
          <w:rFonts w:ascii="Calibri" w:hAnsi="Calibri" w:eastAsia="Arial" w:cs="Calibri"/>
          <w:b/>
          <w:color w:val="C00000"/>
        </w:rPr>
        <w:t>transformación digital</w:t>
      </w:r>
      <w:r w:rsidRPr="00ED6B70" w:rsidR="00ED6B70">
        <w:rPr>
          <w:rFonts w:ascii="Calibri" w:hAnsi="Calibri" w:eastAsia="Arial" w:cs="Calibri"/>
        </w:rPr>
        <w:t xml:space="preserve"> ha ampliado el uso de plataformas institucionales, servicios en la nube, </w:t>
      </w:r>
      <w:r w:rsidRPr="00ED6B70" w:rsidR="00ED6B70">
        <w:rPr>
          <w:rFonts w:ascii="Calibri" w:hAnsi="Calibri" w:eastAsia="Arial" w:cs="Calibri"/>
          <w:b/>
          <w:color w:val="C00000"/>
        </w:rPr>
        <w:t xml:space="preserve">aplicaciones </w:t>
      </w:r>
      <w:r w:rsidRPr="00ED6B70" w:rsidR="00ED6B70">
        <w:rPr>
          <w:rFonts w:ascii="Calibri" w:hAnsi="Calibri" w:eastAsia="Arial" w:cs="Calibri"/>
          <w:b/>
          <w:i/>
          <w:color w:val="C00000"/>
        </w:rPr>
        <w:t>web</w:t>
      </w:r>
      <w:r w:rsidRPr="00ED6B70" w:rsidR="00ED6B70">
        <w:rPr>
          <w:rFonts w:ascii="Calibri" w:hAnsi="Calibri" w:eastAsia="Arial" w:cs="Calibri"/>
        </w:rPr>
        <w:t xml:space="preserve">, redes y dispositivos conectados. Esta realidad exige comprender la </w:t>
      </w:r>
      <w:r w:rsidRPr="00ED6B70" w:rsidR="00ED6B70">
        <w:rPr>
          <w:rFonts w:ascii="Calibri" w:hAnsi="Calibri" w:eastAsia="Arial" w:cs="Calibri"/>
          <w:b/>
          <w:color w:val="C00000"/>
        </w:rPr>
        <w:t>ciberseguridad</w:t>
      </w:r>
      <w:r w:rsidRPr="00ED6B70" w:rsidR="00ED6B70">
        <w:rPr>
          <w:rFonts w:ascii="Calibri" w:hAnsi="Calibri" w:eastAsia="Arial" w:cs="Calibri"/>
        </w:rPr>
        <w:t xml:space="preserve"> como una práctica continua para prevenir afectaciones, proteger información y asegurar la continuidad de servicios educativos, productivos y comunitarios.</w:t>
      </w:r>
    </w:p>
    <w:p w:rsidRPr="00ED6B70" w:rsidR="00ED6B70" w:rsidP="00ED6B70" w:rsidRDefault="00ED6B70" w14:paraId="53FC307C" w14:textId="77777777">
      <w:pPr>
        <w:spacing w:before="120" w:after="120"/>
        <w:rPr>
          <w:rFonts w:ascii="Calibri" w:hAnsi="Calibri" w:cs="Calibri"/>
        </w:rPr>
      </w:pPr>
      <w:r w:rsidRPr="00ED6B70">
        <w:rPr>
          <w:rFonts w:ascii="Calibri" w:hAnsi="Calibri" w:eastAsia="Arial" w:cs="Calibri"/>
        </w:rPr>
        <w:t xml:space="preserve">Para el aprendiz, este componente resulta relevante porque fortalece capacidades aplicables en entornos laborales donde se administran sistemas, cuentas, datos y servicios digitales. El dominio de </w:t>
      </w:r>
      <w:r w:rsidRPr="00ED6B70">
        <w:rPr>
          <w:rFonts w:ascii="Calibri" w:hAnsi="Calibri" w:eastAsia="Arial" w:cs="Calibri"/>
          <w:b/>
          <w:color w:val="C00000"/>
        </w:rPr>
        <w:t>acciones preventivas</w:t>
      </w:r>
      <w:r w:rsidRPr="00ED6B70">
        <w:rPr>
          <w:rFonts w:ascii="Calibri" w:hAnsi="Calibri" w:eastAsia="Arial" w:cs="Calibri"/>
        </w:rPr>
        <w:t xml:space="preserve">, </w:t>
      </w:r>
      <w:r w:rsidRPr="00ED6B70">
        <w:rPr>
          <w:rFonts w:ascii="Calibri" w:hAnsi="Calibri" w:eastAsia="Arial" w:cs="Calibri"/>
          <w:b/>
          <w:color w:val="C00000"/>
        </w:rPr>
        <w:t>monitoreo</w:t>
      </w:r>
      <w:r w:rsidRPr="00ED6B70">
        <w:rPr>
          <w:rFonts w:ascii="Calibri" w:hAnsi="Calibri" w:eastAsia="Arial" w:cs="Calibri"/>
        </w:rPr>
        <w:t xml:space="preserve"> y </w:t>
      </w:r>
      <w:r w:rsidRPr="00ED6B70">
        <w:rPr>
          <w:rFonts w:ascii="Calibri" w:hAnsi="Calibri" w:eastAsia="Arial" w:cs="Calibri"/>
          <w:b/>
          <w:color w:val="C00000"/>
        </w:rPr>
        <w:t>validación de resultados</w:t>
      </w:r>
      <w:r w:rsidRPr="00ED6B70">
        <w:rPr>
          <w:rFonts w:ascii="Calibri" w:hAnsi="Calibri" w:eastAsia="Arial" w:cs="Calibri"/>
        </w:rPr>
        <w:t xml:space="preserve"> favorece la </w:t>
      </w:r>
      <w:r w:rsidRPr="00ED6B70">
        <w:rPr>
          <w:rFonts w:ascii="Calibri" w:hAnsi="Calibri" w:eastAsia="Arial" w:cs="Calibri"/>
          <w:b/>
          <w:color w:val="C00000"/>
        </w:rPr>
        <w:t>empleabilidad</w:t>
      </w:r>
      <w:r w:rsidRPr="00ED6B70">
        <w:rPr>
          <w:rFonts w:ascii="Calibri" w:hAnsi="Calibri" w:eastAsia="Arial" w:cs="Calibri"/>
        </w:rPr>
        <w:t>, la confianza digital y la protección responsable de activos tecnológicos.</w:t>
      </w:r>
    </w:p>
    <w:p w:rsidRPr="00ED6B70" w:rsidR="00ED6B70" w:rsidP="00ED6B70" w:rsidRDefault="00ED6B70" w14:paraId="0CDCD73F" w14:textId="77777777">
      <w:pPr>
        <w:spacing w:before="120" w:after="120"/>
        <w:rPr>
          <w:rFonts w:ascii="Calibri" w:hAnsi="Calibri" w:cs="Calibri"/>
        </w:rPr>
      </w:pPr>
      <w:r w:rsidRPr="4FE8E6FE" w:rsidR="2FD4BC8D">
        <w:rPr>
          <w:rFonts w:ascii="Calibri" w:hAnsi="Calibri" w:eastAsia="Arial" w:cs="Calibri"/>
        </w:rPr>
        <w:t xml:space="preserve">En este componente formativo se estudiarán el </w:t>
      </w:r>
      <w:r w:rsidRPr="4FE8E6FE" w:rsidR="2FD4BC8D">
        <w:rPr>
          <w:rFonts w:ascii="Calibri" w:hAnsi="Calibri" w:eastAsia="Arial" w:cs="Calibri"/>
          <w:b w:val="1"/>
          <w:bCs w:val="1"/>
          <w:color w:val="C00000"/>
        </w:rPr>
        <w:t>código seguro</w:t>
      </w:r>
      <w:r w:rsidRPr="4FE8E6FE" w:rsidR="2FD4BC8D">
        <w:rPr>
          <w:rFonts w:ascii="Calibri" w:hAnsi="Calibri" w:eastAsia="Arial" w:cs="Calibri"/>
        </w:rPr>
        <w:t xml:space="preserve">, la protección de </w:t>
      </w:r>
      <w:r w:rsidRPr="4FE8E6FE" w:rsidR="2FD4BC8D">
        <w:rPr>
          <w:rFonts w:ascii="Calibri" w:hAnsi="Calibri" w:eastAsia="Arial" w:cs="Calibri"/>
          <w:b w:val="1"/>
          <w:bCs w:val="1"/>
          <w:color w:val="C00000"/>
        </w:rPr>
        <w:t xml:space="preserve">aplicaciones </w:t>
      </w:r>
      <w:r w:rsidRPr="4FE8E6FE" w:rsidR="2FD4BC8D">
        <w:rPr>
          <w:rFonts w:ascii="Calibri" w:hAnsi="Calibri" w:eastAsia="Arial" w:cs="Calibri"/>
          <w:b w:val="1"/>
          <w:bCs w:val="1"/>
          <w:i w:val="1"/>
          <w:iCs w:val="1"/>
          <w:color w:val="C00000"/>
        </w:rPr>
        <w:t>web</w:t>
      </w:r>
      <w:r w:rsidRPr="4FE8E6FE" w:rsidR="2FD4BC8D">
        <w:rPr>
          <w:rFonts w:ascii="Calibri" w:hAnsi="Calibri" w:eastAsia="Arial" w:cs="Calibri"/>
        </w:rPr>
        <w:t xml:space="preserve"> y </w:t>
      </w:r>
      <w:r w:rsidRPr="4FE8E6FE" w:rsidR="2FD4BC8D">
        <w:rPr>
          <w:rFonts w:ascii="Calibri" w:hAnsi="Calibri" w:eastAsia="Arial" w:cs="Calibri"/>
          <w:b w:val="1"/>
          <w:bCs w:val="1"/>
          <w:color w:val="C00000"/>
        </w:rPr>
        <w:t xml:space="preserve">servicios </w:t>
      </w:r>
      <w:r w:rsidRPr="4FE8E6FE" w:rsidR="2FD4BC8D">
        <w:rPr>
          <w:rFonts w:ascii="Calibri" w:hAnsi="Calibri" w:eastAsia="Arial" w:cs="Calibri"/>
          <w:b w:val="1"/>
          <w:bCs w:val="1"/>
          <w:i w:val="1"/>
          <w:iCs w:val="1"/>
          <w:color w:val="C00000"/>
        </w:rPr>
        <w:t>cloud</w:t>
      </w:r>
      <w:r w:rsidRPr="4FE8E6FE" w:rsidR="2FD4BC8D">
        <w:rPr>
          <w:rFonts w:ascii="Calibri" w:hAnsi="Calibri" w:eastAsia="Arial" w:cs="Calibri"/>
        </w:rPr>
        <w:t xml:space="preserve">, la exposición de </w:t>
      </w:r>
      <w:r w:rsidRPr="4FE8E6FE" w:rsidR="2FD4BC8D">
        <w:rPr>
          <w:rFonts w:ascii="Calibri" w:hAnsi="Calibri" w:eastAsia="Arial" w:cs="Calibri"/>
          <w:b w:val="1"/>
          <w:bCs w:val="1"/>
          <w:color w:val="C00000"/>
        </w:rPr>
        <w:t xml:space="preserve">dispositivos </w:t>
      </w:r>
      <w:r w:rsidRPr="4FE8E6FE" w:rsidR="2FD4BC8D">
        <w:rPr>
          <w:rFonts w:ascii="Calibri" w:hAnsi="Calibri" w:eastAsia="Arial" w:cs="Calibri"/>
          <w:b w:val="1"/>
          <w:bCs w:val="1"/>
          <w:i w:val="1"/>
          <w:iCs w:val="1"/>
          <w:color w:val="C00000"/>
        </w:rPr>
        <w:t>IoT</w:t>
      </w:r>
      <w:r w:rsidRPr="4FE8E6FE" w:rsidR="2FD4BC8D">
        <w:rPr>
          <w:rFonts w:ascii="Calibri" w:hAnsi="Calibri" w:eastAsia="Arial" w:cs="Calibri"/>
        </w:rPr>
        <w:t xml:space="preserve">, las </w:t>
      </w:r>
      <w:r w:rsidRPr="4FE8E6FE" w:rsidR="2FD4BC8D">
        <w:rPr>
          <w:rFonts w:ascii="Calibri" w:hAnsi="Calibri" w:eastAsia="Arial" w:cs="Calibri"/>
          <w:b w:val="1"/>
          <w:bCs w:val="1"/>
          <w:color w:val="C00000"/>
        </w:rPr>
        <w:t>infraestructuras críticas</w:t>
      </w:r>
      <w:r w:rsidRPr="4FE8E6FE" w:rsidR="2FD4BC8D">
        <w:rPr>
          <w:rFonts w:ascii="Calibri" w:hAnsi="Calibri" w:eastAsia="Arial" w:cs="Calibri"/>
        </w:rPr>
        <w:t xml:space="preserve">, la </w:t>
      </w:r>
      <w:r w:rsidRPr="4FE8E6FE" w:rsidR="2FD4BC8D">
        <w:rPr>
          <w:rFonts w:ascii="Calibri" w:hAnsi="Calibri" w:eastAsia="Arial" w:cs="Calibri"/>
          <w:b w:val="1"/>
          <w:bCs w:val="1"/>
          <w:color w:val="C00000"/>
        </w:rPr>
        <w:t>clasificación de ataques</w:t>
      </w:r>
      <w:r w:rsidRPr="4FE8E6FE" w:rsidR="2FD4BC8D">
        <w:rPr>
          <w:rFonts w:ascii="Calibri" w:hAnsi="Calibri" w:eastAsia="Arial" w:cs="Calibri"/>
        </w:rPr>
        <w:t xml:space="preserve">, el </w:t>
      </w:r>
      <w:r w:rsidRPr="4FE8E6FE" w:rsidR="2FD4BC8D">
        <w:rPr>
          <w:rFonts w:ascii="Calibri" w:hAnsi="Calibri" w:eastAsia="Arial" w:cs="Calibri"/>
          <w:b w:val="1"/>
          <w:bCs w:val="1"/>
          <w:color w:val="C00000"/>
        </w:rPr>
        <w:t>cibercrimen</w:t>
      </w:r>
      <w:r w:rsidRPr="4FE8E6FE" w:rsidR="2FD4BC8D">
        <w:rPr>
          <w:rFonts w:ascii="Calibri" w:hAnsi="Calibri" w:eastAsia="Arial" w:cs="Calibri"/>
        </w:rPr>
        <w:t xml:space="preserve">, las </w:t>
      </w:r>
      <w:r w:rsidRPr="4FE8E6FE" w:rsidR="2FD4BC8D">
        <w:rPr>
          <w:rFonts w:ascii="Calibri" w:hAnsi="Calibri" w:eastAsia="Arial" w:cs="Calibri"/>
          <w:b w:val="1"/>
          <w:bCs w:val="1"/>
          <w:color w:val="C00000"/>
        </w:rPr>
        <w:t>amenazas dirigidas</w:t>
      </w:r>
      <w:r w:rsidRPr="4FE8E6FE" w:rsidR="2FD4BC8D">
        <w:rPr>
          <w:rFonts w:ascii="Calibri" w:hAnsi="Calibri" w:eastAsia="Arial" w:cs="Calibri"/>
        </w:rPr>
        <w:t xml:space="preserve"> a personas, los </w:t>
      </w:r>
      <w:r w:rsidRPr="4FE8E6FE" w:rsidR="2FD4BC8D">
        <w:rPr>
          <w:rFonts w:ascii="Calibri" w:hAnsi="Calibri" w:eastAsia="Arial" w:cs="Calibri"/>
          <w:b w:val="1"/>
          <w:bCs w:val="1"/>
          <w:color w:val="C00000"/>
        </w:rPr>
        <w:t xml:space="preserve">entornos </w:t>
      </w:r>
      <w:r w:rsidRPr="4FE8E6FE" w:rsidR="2FD4BC8D">
        <w:rPr>
          <w:rFonts w:ascii="Calibri" w:hAnsi="Calibri" w:eastAsia="Arial" w:cs="Calibri"/>
          <w:b w:val="1"/>
          <w:bCs w:val="1"/>
          <w:i w:val="1"/>
          <w:iCs w:val="1"/>
          <w:color w:val="C00000"/>
        </w:rPr>
        <w:t>web</w:t>
      </w:r>
      <w:r w:rsidRPr="4FE8E6FE" w:rsidR="2FD4BC8D">
        <w:rPr>
          <w:rFonts w:ascii="Calibri" w:hAnsi="Calibri" w:eastAsia="Arial" w:cs="Calibri"/>
          <w:b w:val="1"/>
          <w:bCs w:val="1"/>
          <w:color w:val="C00000"/>
        </w:rPr>
        <w:t xml:space="preserve"> seguros</w:t>
      </w:r>
      <w:r w:rsidRPr="4FE8E6FE" w:rsidR="2FD4BC8D">
        <w:rPr>
          <w:rFonts w:ascii="Calibri" w:hAnsi="Calibri" w:eastAsia="Arial" w:cs="Calibri"/>
        </w:rPr>
        <w:t xml:space="preserve">, las </w:t>
      </w:r>
      <w:r w:rsidRPr="4FE8E6FE" w:rsidR="2FD4BC8D">
        <w:rPr>
          <w:rFonts w:ascii="Calibri" w:hAnsi="Calibri" w:eastAsia="Arial" w:cs="Calibri"/>
          <w:b w:val="1"/>
          <w:bCs w:val="1"/>
          <w:color w:val="C00000"/>
        </w:rPr>
        <w:t>herramientas de seguridad</w:t>
      </w:r>
      <w:r w:rsidRPr="4FE8E6FE" w:rsidR="2FD4BC8D">
        <w:rPr>
          <w:rFonts w:ascii="Calibri" w:hAnsi="Calibri" w:eastAsia="Arial" w:cs="Calibri"/>
        </w:rPr>
        <w:t xml:space="preserve"> y la </w:t>
      </w:r>
      <w:r w:rsidRPr="4FE8E6FE" w:rsidR="2FD4BC8D">
        <w:rPr>
          <w:rFonts w:ascii="Calibri" w:hAnsi="Calibri" w:eastAsia="Arial" w:cs="Calibri"/>
          <w:b w:val="1"/>
          <w:bCs w:val="1"/>
          <w:color w:val="C00000"/>
        </w:rPr>
        <w:t>mitigación de riesgos</w:t>
      </w:r>
      <w:r w:rsidRPr="4FE8E6FE" w:rsidR="2FD4BC8D">
        <w:rPr>
          <w:rFonts w:ascii="Calibri" w:hAnsi="Calibri" w:eastAsia="Arial" w:cs="Calibri"/>
        </w:rPr>
        <w:t xml:space="preserve">. Estos contenidos se articulan con la ejecución de </w:t>
      </w:r>
      <w:r w:rsidRPr="4FE8E6FE" w:rsidR="2FD4BC8D">
        <w:rPr>
          <w:rFonts w:ascii="Calibri" w:hAnsi="Calibri" w:eastAsia="Arial" w:cs="Calibri"/>
          <w:b w:val="1"/>
          <w:bCs w:val="1"/>
          <w:color w:val="C00000"/>
        </w:rPr>
        <w:t>acciones preventivas</w:t>
      </w:r>
      <w:r w:rsidRPr="4FE8E6FE" w:rsidR="2FD4BC8D">
        <w:rPr>
          <w:rFonts w:ascii="Calibri" w:hAnsi="Calibri" w:eastAsia="Arial" w:cs="Calibri"/>
        </w:rPr>
        <w:t xml:space="preserve"> y la validación de </w:t>
      </w:r>
      <w:r w:rsidRPr="4FE8E6FE" w:rsidR="2FD4BC8D">
        <w:rPr>
          <w:rFonts w:ascii="Calibri" w:hAnsi="Calibri" w:eastAsia="Arial" w:cs="Calibri"/>
          <w:b w:val="1"/>
          <w:bCs w:val="1"/>
          <w:color w:val="C00000"/>
        </w:rPr>
        <w:t>vulnerabilidades, amenazas y riesgos</w:t>
      </w:r>
      <w:r w:rsidRPr="4FE8E6FE" w:rsidR="2FD4BC8D">
        <w:rPr>
          <w:rFonts w:ascii="Calibri" w:hAnsi="Calibri" w:eastAsia="Arial" w:cs="Calibri"/>
        </w:rPr>
        <w:t xml:space="preserve"> mediante herramientas tecnológicas de seguridad.</w:t>
      </w:r>
    </w:p>
    <w:p w:rsidRPr="00ED6B70" w:rsidR="00ED6B70" w:rsidP="00ED6B70" w:rsidRDefault="00ED6B70" w14:paraId="0F3A4955" w14:textId="77777777">
      <w:pPr>
        <w:spacing w:before="120" w:after="120"/>
        <w:rPr>
          <w:rFonts w:ascii="Calibri" w:hAnsi="Calibri" w:eastAsia="Arial" w:cs="Calibri"/>
        </w:rPr>
      </w:pPr>
      <w:r w:rsidRPr="00ED6B70">
        <w:rPr>
          <w:rFonts w:ascii="Calibri" w:hAnsi="Calibri" w:eastAsia="Arial" w:cs="Calibri"/>
        </w:rPr>
        <w:t xml:space="preserve">Al finalizar, el aprendiz contará con criterios técnicos y éticos para aplicar </w:t>
      </w:r>
      <w:r w:rsidRPr="00ED6B70">
        <w:rPr>
          <w:rFonts w:ascii="Calibri" w:hAnsi="Calibri" w:eastAsia="Arial" w:cs="Calibri"/>
          <w:b/>
          <w:color w:val="C00000"/>
        </w:rPr>
        <w:t>controles</w:t>
      </w:r>
      <w:r w:rsidRPr="00ED6B70">
        <w:rPr>
          <w:rFonts w:ascii="Calibri" w:hAnsi="Calibri" w:eastAsia="Arial" w:cs="Calibri"/>
        </w:rPr>
        <w:t xml:space="preserve">, revisar </w:t>
      </w:r>
      <w:r w:rsidRPr="00ED6B70">
        <w:rPr>
          <w:rFonts w:ascii="Calibri" w:hAnsi="Calibri" w:eastAsia="Arial" w:cs="Calibri"/>
          <w:b/>
          <w:color w:val="C00000"/>
        </w:rPr>
        <w:t>evidencias</w:t>
      </w:r>
      <w:r w:rsidRPr="00ED6B70">
        <w:rPr>
          <w:rFonts w:ascii="Calibri" w:hAnsi="Calibri" w:eastAsia="Arial" w:cs="Calibri"/>
        </w:rPr>
        <w:t xml:space="preserve">, documentar </w:t>
      </w:r>
      <w:r w:rsidRPr="00ED6B70">
        <w:rPr>
          <w:rFonts w:ascii="Calibri" w:hAnsi="Calibri" w:eastAsia="Arial" w:cs="Calibri"/>
          <w:b/>
          <w:color w:val="C00000"/>
        </w:rPr>
        <w:t>hallazgos</w:t>
      </w:r>
      <w:r w:rsidRPr="00ED6B70">
        <w:rPr>
          <w:rFonts w:ascii="Calibri" w:hAnsi="Calibri" w:eastAsia="Arial" w:cs="Calibri"/>
        </w:rPr>
        <w:t xml:space="preserve"> y verificar si las medidas reducen la exposición sin afectar la operación legítima. Este aprendizaje contribuye a proteger personas, información, servicios digitales e </w:t>
      </w:r>
      <w:r w:rsidRPr="00ED6B70">
        <w:rPr>
          <w:rFonts w:ascii="Calibri" w:hAnsi="Calibri" w:eastAsia="Arial" w:cs="Calibri"/>
          <w:b/>
          <w:color w:val="C00000"/>
        </w:rPr>
        <w:t>infraestructuras críticas</w:t>
      </w:r>
      <w:r w:rsidRPr="00ED6B70">
        <w:rPr>
          <w:rFonts w:ascii="Calibri" w:hAnsi="Calibri" w:eastAsia="Arial" w:cs="Calibri"/>
        </w:rPr>
        <w:t xml:space="preserve"> en las organizaciones y territorios.</w:t>
      </w:r>
    </w:p>
    <w:p w:rsidRPr="00ED6B70" w:rsidR="00ED6B70" w:rsidP="00ED6B70" w:rsidRDefault="00ED6B70" w14:paraId="636661EC" w14:textId="77777777">
      <w:pPr>
        <w:spacing w:before="120" w:after="120"/>
        <w:rPr>
          <w:rFonts w:ascii="Calibri" w:hAnsi="Calibri" w:cs="Calibri"/>
        </w:rPr>
      </w:pPr>
    </w:p>
    <w:p w:rsidRPr="00ED6B70" w:rsidR="005C1D65" w:rsidP="00ED6B70" w:rsidRDefault="005C1D65" w14:paraId="782C3094" w14:textId="4C8DFD0B">
      <w:pPr>
        <w:rPr>
          <w:rFonts w:ascii="Calibri" w:hAnsi="Calibri" w:cs="Calibri"/>
        </w:rPr>
      </w:pPr>
      <w:r w:rsidRPr="00ED6B70">
        <w:rPr>
          <w:rFonts w:ascii="Calibri" w:hAnsi="Calibri" w:eastAsia="Arial" w:cs="Calibri"/>
          <w:b/>
          <w:color w:val="000000"/>
        </w:rPr>
        <w:t>TOTAL PALABRAS: 2</w:t>
      </w:r>
      <w:r w:rsidR="00ED6B70">
        <w:rPr>
          <w:rFonts w:ascii="Calibri" w:hAnsi="Calibri" w:eastAsia="Arial" w:cs="Calibri"/>
          <w:b/>
          <w:color w:val="000000"/>
        </w:rPr>
        <w:t>10</w:t>
      </w:r>
    </w:p>
    <w:p w:rsidRPr="00ED6B70" w:rsidR="00B92FA6" w:rsidP="005C1D65" w:rsidRDefault="00B92FA6" w14:paraId="0CD65968" w14:textId="52508F22">
      <w:pPr>
        <w:rPr>
          <w:rFonts w:ascii="Calibri" w:hAnsi="Calibri" w:cs="Calibri"/>
        </w:rPr>
      </w:pPr>
    </w:p>
    <w:p w:rsidRPr="00ED6B70" w:rsidR="00B92FA6" w:rsidRDefault="00B92FA6" w14:paraId="67E8693F" w14:textId="77777777">
      <w:pPr>
        <w:rPr>
          <w:rFonts w:ascii="Calibri" w:hAnsi="Calibri" w:cs="Calibri"/>
        </w:rPr>
      </w:pPr>
    </w:p>
    <w:sectPr w:rsidRPr="00ED6B70" w:rsidR="00B92FA6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FA6"/>
    <w:rsid w:val="00093136"/>
    <w:rsid w:val="000E58A4"/>
    <w:rsid w:val="00274A7D"/>
    <w:rsid w:val="002E15EF"/>
    <w:rsid w:val="002F79F0"/>
    <w:rsid w:val="00402097"/>
    <w:rsid w:val="005C1D65"/>
    <w:rsid w:val="006A1865"/>
    <w:rsid w:val="00725EBA"/>
    <w:rsid w:val="00745604"/>
    <w:rsid w:val="007F4119"/>
    <w:rsid w:val="00911930"/>
    <w:rsid w:val="00935230"/>
    <w:rsid w:val="009538A6"/>
    <w:rsid w:val="009B52F8"/>
    <w:rsid w:val="00AC0BE1"/>
    <w:rsid w:val="00AD1941"/>
    <w:rsid w:val="00B15059"/>
    <w:rsid w:val="00B92FA6"/>
    <w:rsid w:val="00BF1548"/>
    <w:rsid w:val="00E31EBA"/>
    <w:rsid w:val="00EA3D47"/>
    <w:rsid w:val="00ED6B70"/>
    <w:rsid w:val="034DDE77"/>
    <w:rsid w:val="2FD4BC8D"/>
    <w:rsid w:val="4FE8E6FE"/>
    <w:rsid w:val="666BDFEF"/>
    <w:rsid w:val="7DE58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F6A75"/>
  <w15:chartTrackingRefBased/>
  <w15:docId w15:val="{49EC4A9C-2A43-4A82-A2CF-1BE6FDB7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2FA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2FA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B92FA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B92FA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B92FA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B92FA6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B92FA6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B92FA6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B92FA6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B92FA6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B92F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2FA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B92FA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B9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2FA6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B92F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2F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2F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2FA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92F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2F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0BE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AC0BE1"/>
    <w:rPr>
      <w:b/>
      <w:bCs/>
    </w:rPr>
  </w:style>
  <w:style w:type="paragraph" w:styleId="font-claude-response-body" w:customStyle="1">
    <w:name w:val="font-claude-response-body"/>
    <w:basedOn w:val="Normal"/>
    <w:rsid w:val="0040209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1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D8FE09-FDDD-4624-A726-370745BF778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2.xml><?xml version="1.0" encoding="utf-8"?>
<ds:datastoreItem xmlns:ds="http://schemas.openxmlformats.org/officeDocument/2006/customXml" ds:itemID="{EE7EB3E4-3582-4297-BCF7-74C55CC9E860}"/>
</file>

<file path=customXml/itemProps3.xml><?xml version="1.0" encoding="utf-8"?>
<ds:datastoreItem xmlns:ds="http://schemas.openxmlformats.org/officeDocument/2006/customXml" ds:itemID="{C53CC4B2-B865-44BA-B25D-B64778F1CBB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Yineth Ibette Gonzalez Quintero</cp:lastModifiedBy>
  <cp:revision>10</cp:revision>
  <dcterms:created xsi:type="dcterms:W3CDTF">2026-07-21T00:26:00Z</dcterms:created>
  <dcterms:modified xsi:type="dcterms:W3CDTF">2026-07-21T00:28:19Z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  <property fmtid="{D5CDD505-2E9C-101B-9397-08002B2CF9AE}" pid="4" name="MSIP_Label_516245d8-e5f4-42ac-a19d-923c969a5d0b_Enabled">
    <vt:lpwstr>true</vt:lpwstr>
  </property>
  <property fmtid="{D5CDD505-2E9C-101B-9397-08002B2CF9AE}" pid="5" name="MSIP_Label_516245d8-e5f4-42ac-a19d-923c969a5d0b_SetDate">
    <vt:lpwstr>2026-07-21T00:26:27Z</vt:lpwstr>
  </property>
  <property fmtid="{D5CDD505-2E9C-101B-9397-08002B2CF9AE}" pid="6" name="MSIP_Label_516245d8-e5f4-42ac-a19d-923c969a5d0b_Method">
    <vt:lpwstr>Privileged</vt:lpwstr>
  </property>
  <property fmtid="{D5CDD505-2E9C-101B-9397-08002B2CF9AE}" pid="7" name="MSIP_Label_516245d8-e5f4-42ac-a19d-923c969a5d0b_Name">
    <vt:lpwstr>Confidential</vt:lpwstr>
  </property>
  <property fmtid="{D5CDD505-2E9C-101B-9397-08002B2CF9AE}" pid="8" name="MSIP_Label_516245d8-e5f4-42ac-a19d-923c969a5d0b_SiteId">
    <vt:lpwstr>cbc2c381-2f2e-4d93-91d1-506c9316ace7</vt:lpwstr>
  </property>
  <property fmtid="{D5CDD505-2E9C-101B-9397-08002B2CF9AE}" pid="9" name="MSIP_Label_516245d8-e5f4-42ac-a19d-923c969a5d0b_ActionId">
    <vt:lpwstr>cd6d346d-077f-46b2-9864-1a52980e2bd7</vt:lpwstr>
  </property>
  <property fmtid="{D5CDD505-2E9C-101B-9397-08002B2CF9AE}" pid="10" name="MSIP_Label_516245d8-e5f4-42ac-a19d-923c969a5d0b_ContentBits">
    <vt:lpwstr>0</vt:lpwstr>
  </property>
  <property fmtid="{D5CDD505-2E9C-101B-9397-08002B2CF9AE}" pid="11" name="MSIP_Label_516245d8-e5f4-42ac-a19d-923c969a5d0b_Tag">
    <vt:lpwstr>10, 0, 1, 2</vt:lpwstr>
  </property>
</Properties>
</file>