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45F99F" w14:textId="0E7606E4" w:rsidR="00D329FB" w:rsidRPr="00E90904" w:rsidRDefault="00D329FB" w:rsidP="00D329F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E90904">
        <w:rPr>
          <w:rFonts w:ascii="Arial" w:hAnsi="Arial" w:cs="Arial"/>
          <w:b/>
          <w:bCs/>
          <w:sz w:val="20"/>
          <w:szCs w:val="20"/>
        </w:rPr>
        <w:t>INFORMACIÓN PARA PODCAST</w:t>
      </w:r>
    </w:p>
    <w:p w14:paraId="7F2D116D" w14:textId="77777777" w:rsidR="00E60430" w:rsidRPr="00E90904" w:rsidRDefault="00E60430" w:rsidP="00D329FB">
      <w:pPr>
        <w:jc w:val="center"/>
        <w:rPr>
          <w:rFonts w:ascii="Arial" w:hAnsi="Arial" w:cs="Arial"/>
          <w:sz w:val="20"/>
          <w:szCs w:val="20"/>
        </w:rPr>
      </w:pPr>
    </w:p>
    <w:p w14:paraId="3812921A" w14:textId="05A7E5DF" w:rsidR="00E60430" w:rsidRPr="00E90904" w:rsidRDefault="00E60430" w:rsidP="00E60430">
      <w:pPr>
        <w:rPr>
          <w:rFonts w:ascii="Arial" w:hAnsi="Arial" w:cs="Arial"/>
          <w:sz w:val="20"/>
          <w:szCs w:val="20"/>
        </w:rPr>
      </w:pPr>
      <w:r w:rsidRPr="00E90904">
        <w:rPr>
          <w:rFonts w:ascii="Arial" w:hAnsi="Arial" w:cs="Arial"/>
          <w:b/>
          <w:bCs/>
          <w:sz w:val="20"/>
          <w:szCs w:val="20"/>
        </w:rPr>
        <w:t>Programa:</w:t>
      </w:r>
      <w:r w:rsidRPr="00E90904">
        <w:rPr>
          <w:rFonts w:ascii="Arial" w:hAnsi="Arial" w:cs="Arial"/>
          <w:sz w:val="20"/>
          <w:szCs w:val="20"/>
        </w:rPr>
        <w:t xml:space="preserve"> </w:t>
      </w:r>
      <w:r w:rsidR="00E90904" w:rsidRPr="00E90904">
        <w:rPr>
          <w:rFonts w:ascii="Arial" w:hAnsi="Arial" w:cs="Arial"/>
          <w:color w:val="000000"/>
          <w:sz w:val="20"/>
          <w:szCs w:val="20"/>
        </w:rPr>
        <w:t>Técnicas de diagnóstico en ciberseguridad.</w:t>
      </w:r>
    </w:p>
    <w:p w14:paraId="5D9339FE" w14:textId="09E5E15E" w:rsidR="00E60430" w:rsidRPr="00E90904" w:rsidRDefault="00E60430" w:rsidP="00E60430">
      <w:pPr>
        <w:rPr>
          <w:rFonts w:ascii="Arial" w:hAnsi="Arial" w:cs="Arial"/>
          <w:sz w:val="20"/>
          <w:szCs w:val="20"/>
        </w:rPr>
      </w:pPr>
      <w:r w:rsidRPr="00E90904">
        <w:rPr>
          <w:rFonts w:ascii="Arial" w:hAnsi="Arial" w:cs="Arial"/>
          <w:b/>
          <w:bCs/>
          <w:sz w:val="20"/>
          <w:szCs w:val="20"/>
        </w:rPr>
        <w:t>Componente:</w:t>
      </w:r>
      <w:r w:rsidRPr="00E90904">
        <w:rPr>
          <w:rFonts w:ascii="Arial" w:hAnsi="Arial" w:cs="Arial"/>
          <w:sz w:val="20"/>
          <w:szCs w:val="20"/>
        </w:rPr>
        <w:t xml:space="preserve"> </w:t>
      </w:r>
      <w:r w:rsidR="00D50AFC" w:rsidRPr="00E90904">
        <w:rPr>
          <w:rFonts w:ascii="Arial" w:hAnsi="Arial" w:cs="Arial"/>
          <w:sz w:val="20"/>
          <w:szCs w:val="20"/>
        </w:rPr>
        <w:t>CF</w:t>
      </w:r>
      <w:r w:rsidR="00FD76F8">
        <w:rPr>
          <w:rFonts w:ascii="Arial" w:hAnsi="Arial" w:cs="Arial"/>
          <w:sz w:val="20"/>
          <w:szCs w:val="20"/>
        </w:rPr>
        <w:t>2</w:t>
      </w:r>
      <w:r w:rsidR="00D50AFC" w:rsidRPr="00E90904">
        <w:rPr>
          <w:rFonts w:ascii="Arial" w:hAnsi="Arial" w:cs="Arial"/>
          <w:sz w:val="20"/>
          <w:szCs w:val="20"/>
        </w:rPr>
        <w:t xml:space="preserve"> - </w:t>
      </w:r>
      <w:r w:rsidR="00FD76F8" w:rsidRPr="00D06433">
        <w:rPr>
          <w:rStyle w:val="Fuerte"/>
          <w:rFonts w:ascii="Arial" w:hAnsi="Arial" w:cs="Arial"/>
          <w:b w:val="0"/>
          <w:bCs w:val="0"/>
          <w:color w:val="000000"/>
          <w:sz w:val="20"/>
          <w:szCs w:val="20"/>
        </w:rPr>
        <w:t>Pruebas de seguridad y mitigación de riesgos</w:t>
      </w:r>
      <w:r w:rsidR="00FD76F8">
        <w:rPr>
          <w:rStyle w:val="Fuerte"/>
          <w:rFonts w:ascii="Arial" w:hAnsi="Arial" w:cs="Arial"/>
          <w:b w:val="0"/>
          <w:bCs w:val="0"/>
          <w:color w:val="000000"/>
          <w:sz w:val="20"/>
          <w:szCs w:val="20"/>
        </w:rPr>
        <w:t>.</w:t>
      </w:r>
    </w:p>
    <w:p w14:paraId="4B3FD91A" w14:textId="77777777" w:rsidR="00D329FB" w:rsidRPr="00E90904" w:rsidRDefault="00D329FB" w:rsidP="00D329FB">
      <w:pPr>
        <w:rPr>
          <w:rFonts w:ascii="Arial" w:hAnsi="Arial" w:cs="Arial"/>
          <w:sz w:val="20"/>
          <w:szCs w:val="20"/>
        </w:rPr>
      </w:pPr>
    </w:p>
    <w:p w14:paraId="2AAD513E" w14:textId="6C750F5A" w:rsidR="00D50AFC" w:rsidRPr="00E90904" w:rsidRDefault="00D329FB" w:rsidP="00D50AFC">
      <w:pPr>
        <w:rPr>
          <w:rFonts w:ascii="Arial" w:hAnsi="Arial" w:cs="Arial"/>
          <w:sz w:val="20"/>
          <w:szCs w:val="20"/>
        </w:rPr>
      </w:pPr>
      <w:r w:rsidRPr="00E90904">
        <w:rPr>
          <w:rFonts w:ascii="Arial" w:hAnsi="Arial" w:cs="Arial"/>
          <w:b/>
          <w:bCs/>
          <w:sz w:val="20"/>
          <w:szCs w:val="20"/>
        </w:rPr>
        <w:t>Ubicación</w:t>
      </w:r>
      <w:r w:rsidR="00E60430" w:rsidRPr="00E90904">
        <w:rPr>
          <w:rFonts w:ascii="Arial" w:hAnsi="Arial" w:cs="Arial"/>
          <w:b/>
          <w:bCs/>
          <w:sz w:val="20"/>
          <w:szCs w:val="20"/>
        </w:rPr>
        <w:t xml:space="preserve"> dentro del componente</w:t>
      </w:r>
      <w:r w:rsidRPr="00E90904">
        <w:rPr>
          <w:rFonts w:ascii="Arial" w:hAnsi="Arial" w:cs="Arial"/>
          <w:b/>
          <w:bCs/>
          <w:sz w:val="20"/>
          <w:szCs w:val="20"/>
        </w:rPr>
        <w:t>:</w:t>
      </w:r>
      <w:r w:rsidRPr="00E90904">
        <w:rPr>
          <w:rFonts w:ascii="Arial" w:hAnsi="Arial" w:cs="Arial"/>
          <w:sz w:val="20"/>
          <w:szCs w:val="20"/>
        </w:rPr>
        <w:t xml:space="preserve"> </w:t>
      </w:r>
      <w:r w:rsidR="00BD4604" w:rsidRPr="00BD4604">
        <w:rPr>
          <w:rFonts w:ascii="Arial" w:eastAsia="Arial" w:hAnsi="Arial" w:cs="Arial"/>
          <w:sz w:val="20"/>
          <w:szCs w:val="20"/>
        </w:rPr>
        <w:t>Punto 5. Monitoreo, mitigación y validación de riesgos. Subtema: 5.3 Mitigación de riesgos y verificación de resultados.</w:t>
      </w:r>
    </w:p>
    <w:p w14:paraId="5D9348F3" w14:textId="6A5041F8" w:rsidR="00D329FB" w:rsidRDefault="00D329FB" w:rsidP="00D329FB">
      <w:pPr>
        <w:rPr>
          <w:rFonts w:ascii="Arial" w:eastAsia="Arial" w:hAnsi="Arial" w:cs="Arial"/>
          <w:sz w:val="20"/>
          <w:szCs w:val="20"/>
        </w:rPr>
      </w:pPr>
      <w:r w:rsidRPr="00E90904">
        <w:rPr>
          <w:rFonts w:ascii="Arial" w:hAnsi="Arial" w:cs="Arial"/>
          <w:b/>
          <w:bCs/>
          <w:sz w:val="20"/>
          <w:szCs w:val="20"/>
        </w:rPr>
        <w:t>T</w:t>
      </w:r>
      <w:r w:rsidR="00E90904" w:rsidRPr="00E90904">
        <w:rPr>
          <w:rFonts w:ascii="Arial" w:hAnsi="Arial" w:cs="Arial"/>
          <w:b/>
          <w:bCs/>
          <w:sz w:val="20"/>
          <w:szCs w:val="20"/>
        </w:rPr>
        <w:t xml:space="preserve">ítulo: </w:t>
      </w:r>
      <w:r w:rsidR="00BD4604" w:rsidRPr="00BD4604">
        <w:rPr>
          <w:rFonts w:ascii="Arial" w:eastAsia="Arial" w:hAnsi="Arial" w:cs="Arial"/>
          <w:sz w:val="20"/>
          <w:szCs w:val="20"/>
        </w:rPr>
        <w:t>Validar antes de cerrar: cómo comprobar una mitigación</w:t>
      </w:r>
      <w:r w:rsidR="00BD4604">
        <w:rPr>
          <w:rFonts w:ascii="Arial" w:eastAsia="Arial" w:hAnsi="Arial" w:cs="Arial"/>
          <w:sz w:val="20"/>
          <w:szCs w:val="20"/>
        </w:rPr>
        <w:t>.</w:t>
      </w:r>
    </w:p>
    <w:p w14:paraId="218B79F6" w14:textId="77777777" w:rsidR="00BD4604" w:rsidRPr="00E90904" w:rsidRDefault="00BD4604" w:rsidP="00D329FB">
      <w:pPr>
        <w:rPr>
          <w:rFonts w:ascii="Arial" w:hAnsi="Arial" w:cs="Arial"/>
          <w:sz w:val="20"/>
          <w:szCs w:val="20"/>
        </w:rPr>
      </w:pPr>
    </w:p>
    <w:p w14:paraId="761E9639" w14:textId="5A938F18" w:rsidR="00D329FB" w:rsidRPr="00E90904" w:rsidRDefault="00D329FB" w:rsidP="00D329FB">
      <w:pPr>
        <w:rPr>
          <w:rFonts w:ascii="Arial" w:hAnsi="Arial" w:cs="Arial"/>
          <w:b/>
          <w:bCs/>
          <w:sz w:val="20"/>
          <w:szCs w:val="20"/>
        </w:rPr>
      </w:pPr>
      <w:r w:rsidRPr="00E90904">
        <w:rPr>
          <w:rFonts w:ascii="Arial" w:hAnsi="Arial" w:cs="Arial"/>
          <w:b/>
          <w:bCs/>
          <w:sz w:val="20"/>
          <w:szCs w:val="20"/>
        </w:rPr>
        <w:t xml:space="preserve">Sugerencia </w:t>
      </w:r>
      <w:r w:rsidR="00823AB8" w:rsidRPr="00E90904">
        <w:rPr>
          <w:rFonts w:ascii="Arial" w:hAnsi="Arial" w:cs="Arial"/>
          <w:b/>
          <w:bCs/>
          <w:sz w:val="20"/>
          <w:szCs w:val="20"/>
        </w:rPr>
        <w:t>de conversación</w:t>
      </w:r>
      <w:r w:rsidR="000811DB" w:rsidRPr="00E90904">
        <w:rPr>
          <w:rFonts w:ascii="Arial" w:hAnsi="Arial" w:cs="Arial"/>
          <w:b/>
          <w:bCs/>
          <w:sz w:val="20"/>
          <w:szCs w:val="20"/>
        </w:rPr>
        <w:t xml:space="preserve"> para p</w:t>
      </w:r>
      <w:r w:rsidRPr="00E90904">
        <w:rPr>
          <w:rFonts w:ascii="Arial" w:hAnsi="Arial" w:cs="Arial"/>
          <w:b/>
          <w:bCs/>
          <w:sz w:val="20"/>
          <w:szCs w:val="20"/>
        </w:rPr>
        <w:t>odcast</w:t>
      </w:r>
    </w:p>
    <w:p w14:paraId="3FE23E12" w14:textId="77777777" w:rsidR="00BD4604" w:rsidRDefault="00BD4604" w:rsidP="00BD4604">
      <w:pPr>
        <w:spacing w:after="120"/>
      </w:pPr>
      <w:r>
        <w:rPr>
          <w:rFonts w:ascii="Arial" w:eastAsia="Arial" w:hAnsi="Arial"/>
          <w:b/>
          <w:color w:val="000000"/>
          <w:sz w:val="20"/>
        </w:rPr>
        <w:t xml:space="preserve">Voz 1: </w:t>
      </w:r>
      <w:r>
        <w:rPr>
          <w:rFonts w:ascii="Arial" w:eastAsia="Arial" w:hAnsi="Arial"/>
          <w:color w:val="000000"/>
          <w:sz w:val="20"/>
        </w:rPr>
        <w:t>Imagine que en una plataforma virtual se detecta que una cuenta administrativa tiene permisos superiores a los necesarios. El equipo ajusta los permisos y dice: “listo, problema resuelto”. Pero surge una pregunta clave: ¿con aplicar el cambio ya se puede afirmar que el riesgo quedó mitigado?</w:t>
      </w:r>
    </w:p>
    <w:p w14:paraId="65740783" w14:textId="77777777" w:rsidR="00BD4604" w:rsidRDefault="00BD4604" w:rsidP="00BD4604">
      <w:pPr>
        <w:spacing w:after="120"/>
      </w:pPr>
      <w:r>
        <w:rPr>
          <w:rFonts w:ascii="Arial" w:eastAsia="Arial" w:hAnsi="Arial"/>
          <w:b/>
          <w:color w:val="000000"/>
          <w:sz w:val="20"/>
        </w:rPr>
        <w:t xml:space="preserve">Voz 2: </w:t>
      </w:r>
      <w:r>
        <w:rPr>
          <w:rFonts w:ascii="Arial" w:eastAsia="Arial" w:hAnsi="Arial"/>
          <w:color w:val="000000"/>
          <w:sz w:val="20"/>
        </w:rPr>
        <w:t>No necesariamente. En ciberseguridad, mitigar no significa solo hacer un ajuste técnico. Significa identificar el riesgo, seleccionar un control proporcional, implementarlo de forma autorizada y comprobar que realmente reduce la exposición sin afectar el funcionamiento legítimo del servicio. Por eso, este tema se relaciona directamente con la competencia de diagnosticar la seguridad de la información y con los resultados de aprendizaje orientados a ejecutar acciones preventivas y validar vulnerabilidades, amenazas y riesgos.</w:t>
      </w:r>
    </w:p>
    <w:p w14:paraId="2F5117AA" w14:textId="77777777" w:rsidR="00BD4604" w:rsidRDefault="00BD4604" w:rsidP="00BD4604">
      <w:pPr>
        <w:spacing w:after="120"/>
      </w:pPr>
      <w:r>
        <w:rPr>
          <w:rFonts w:ascii="Arial" w:eastAsia="Arial" w:hAnsi="Arial"/>
          <w:b/>
          <w:color w:val="000000"/>
          <w:sz w:val="20"/>
        </w:rPr>
        <w:t xml:space="preserve">Voz 1: </w:t>
      </w:r>
      <w:r>
        <w:rPr>
          <w:rFonts w:ascii="Arial" w:eastAsia="Arial" w:hAnsi="Arial"/>
          <w:color w:val="000000"/>
          <w:sz w:val="20"/>
        </w:rPr>
        <w:t>Entonces, ¿por qué no basta con instalar una herramienta, cambiar una configuración o bloquear un acceso?</w:t>
      </w:r>
    </w:p>
    <w:p w14:paraId="55059DE3" w14:textId="77777777" w:rsidR="00BD4604" w:rsidRDefault="00BD4604" w:rsidP="00BD4604">
      <w:pPr>
        <w:spacing w:after="120"/>
      </w:pPr>
      <w:r>
        <w:rPr>
          <w:rFonts w:ascii="Arial" w:eastAsia="Arial" w:hAnsi="Arial"/>
          <w:b/>
          <w:color w:val="000000"/>
          <w:sz w:val="20"/>
        </w:rPr>
        <w:t xml:space="preserve">Voz 2: </w:t>
      </w:r>
      <w:r>
        <w:rPr>
          <w:rFonts w:ascii="Arial" w:eastAsia="Arial" w:hAnsi="Arial"/>
          <w:color w:val="000000"/>
          <w:sz w:val="20"/>
        </w:rPr>
        <w:t xml:space="preserve">Porque una acción preventiva necesita tres elementos. Primero, debe responder al riesgo identificado; no se trata de aplicar controles al azar. Segundo, debe validarse con evidencia, como registros, pruebas posteriores, revisión de configuración o comparación antes y después. Tercero, debe documentarse para que la organización pueda tomar decisiones, conservar trazabilidad y mejorar sus procedimientos. Una herramienta como un </w:t>
      </w:r>
      <w:r>
        <w:rPr>
          <w:rFonts w:ascii="Arial" w:eastAsia="Arial" w:hAnsi="Arial"/>
          <w:i/>
          <w:color w:val="000000"/>
          <w:sz w:val="20"/>
        </w:rPr>
        <w:t>firewall</w:t>
      </w:r>
      <w:r>
        <w:rPr>
          <w:rFonts w:ascii="Arial" w:eastAsia="Arial" w:hAnsi="Arial"/>
          <w:color w:val="000000"/>
          <w:sz w:val="20"/>
        </w:rPr>
        <w:t xml:space="preserve">, un </w:t>
      </w:r>
      <w:r>
        <w:rPr>
          <w:rFonts w:ascii="Arial" w:eastAsia="Arial" w:hAnsi="Arial"/>
          <w:i/>
          <w:color w:val="000000"/>
          <w:sz w:val="20"/>
        </w:rPr>
        <w:t>SIEM</w:t>
      </w:r>
      <w:r>
        <w:rPr>
          <w:rFonts w:ascii="Arial" w:eastAsia="Arial" w:hAnsi="Arial"/>
          <w:color w:val="000000"/>
          <w:sz w:val="20"/>
        </w:rPr>
        <w:t xml:space="preserve"> o un sistema </w:t>
      </w:r>
      <w:r>
        <w:rPr>
          <w:rFonts w:ascii="Arial" w:eastAsia="Arial" w:hAnsi="Arial"/>
          <w:i/>
          <w:color w:val="000000"/>
          <w:sz w:val="20"/>
        </w:rPr>
        <w:t>antimalware</w:t>
      </w:r>
      <w:r>
        <w:rPr>
          <w:rFonts w:ascii="Arial" w:eastAsia="Arial" w:hAnsi="Arial"/>
          <w:color w:val="000000"/>
          <w:sz w:val="20"/>
        </w:rPr>
        <w:t xml:space="preserve"> puede aportar mucho, pero solo si existe una metodología clara y responsables definidos.</w:t>
      </w:r>
    </w:p>
    <w:p w14:paraId="5386F218" w14:textId="77777777" w:rsidR="00BD4604" w:rsidRDefault="00BD4604" w:rsidP="00BD4604">
      <w:pPr>
        <w:spacing w:after="120"/>
      </w:pPr>
      <w:r>
        <w:rPr>
          <w:rFonts w:ascii="Arial" w:eastAsia="Arial" w:hAnsi="Arial"/>
          <w:b/>
          <w:color w:val="000000"/>
          <w:sz w:val="20"/>
        </w:rPr>
        <w:t xml:space="preserve">Voz 1: </w:t>
      </w:r>
      <w:r>
        <w:rPr>
          <w:rFonts w:ascii="Arial" w:eastAsia="Arial" w:hAnsi="Arial"/>
          <w:color w:val="000000"/>
          <w:sz w:val="20"/>
        </w:rPr>
        <w:t>Pensemos en un ejemplo. En una institución educativa, el equipo técnico identifica múltiples intentos fallidos de acceso a una cuenta administrativa fuera del horario habitual. ¿Cómo se aplica la ruta de mitigación en ese caso?</w:t>
      </w:r>
    </w:p>
    <w:p w14:paraId="7B025A62" w14:textId="77777777" w:rsidR="00BD4604" w:rsidRDefault="00BD4604" w:rsidP="00BD4604">
      <w:pPr>
        <w:spacing w:after="120"/>
      </w:pPr>
      <w:r>
        <w:rPr>
          <w:rFonts w:ascii="Arial" w:eastAsia="Arial" w:hAnsi="Arial"/>
          <w:b/>
          <w:color w:val="000000"/>
          <w:sz w:val="20"/>
        </w:rPr>
        <w:t xml:space="preserve">Voz 2: </w:t>
      </w:r>
      <w:r>
        <w:rPr>
          <w:rFonts w:ascii="Arial" w:eastAsia="Arial" w:hAnsi="Arial"/>
          <w:color w:val="000000"/>
          <w:sz w:val="20"/>
        </w:rPr>
        <w:t>Primero, se analiza el activo, la vulnerabilidad, la amenaza y el posible impacto. Luego, se selecciona un control proporcional, por ejemplo, revisar permisos, activar autenticación multifactor o fortalecer el monitoreo. Después, se implementa el ajuste en condiciones autorizadas. Más adelante, se valida si disminuyen los intentos indebidos, si la cuenta mantiene su operación legítima y si los registros respaldan la conclusión. Finalmente, se documenta lo realizado y se define qué debe revisarse periódicamente.</w:t>
      </w:r>
    </w:p>
    <w:p w14:paraId="24524F60" w14:textId="77777777" w:rsidR="00BD4604" w:rsidRDefault="00BD4604" w:rsidP="00BD4604">
      <w:pPr>
        <w:spacing w:after="120"/>
      </w:pPr>
      <w:r>
        <w:rPr>
          <w:rFonts w:ascii="Arial" w:eastAsia="Arial" w:hAnsi="Arial"/>
          <w:b/>
          <w:color w:val="000000"/>
          <w:sz w:val="20"/>
        </w:rPr>
        <w:t xml:space="preserve">Voz 1: </w:t>
      </w:r>
      <w:r>
        <w:rPr>
          <w:rFonts w:ascii="Arial" w:eastAsia="Arial" w:hAnsi="Arial"/>
          <w:color w:val="000000"/>
          <w:sz w:val="20"/>
        </w:rPr>
        <w:t>¿Qué puede salir bien cuando esa ruta se aplica correctamente y qué puede salir mal si se omite la validación?</w:t>
      </w:r>
    </w:p>
    <w:p w14:paraId="04BBCD67" w14:textId="77777777" w:rsidR="00BD4604" w:rsidRDefault="00BD4604" w:rsidP="00BD4604">
      <w:pPr>
        <w:spacing w:after="120"/>
      </w:pPr>
      <w:r>
        <w:rPr>
          <w:rFonts w:ascii="Arial" w:eastAsia="Arial" w:hAnsi="Arial"/>
          <w:b/>
          <w:color w:val="000000"/>
          <w:sz w:val="20"/>
        </w:rPr>
        <w:t xml:space="preserve">Voz 2: </w:t>
      </w:r>
      <w:r>
        <w:rPr>
          <w:rFonts w:ascii="Arial" w:eastAsia="Arial" w:hAnsi="Arial"/>
          <w:color w:val="000000"/>
          <w:sz w:val="20"/>
        </w:rPr>
        <w:t xml:space="preserve">Si se aplica correctamente, la organización reduce la exposición, conserva evidencia y evita decisiones improvisadas. Además, el aprendiz comprende que la seguridad no termina al ejecutar una acción, sino cuando se verifica su efectividad. Si no se valida, puede quedar una falsa </w:t>
      </w:r>
      <w:r>
        <w:rPr>
          <w:rFonts w:ascii="Arial" w:eastAsia="Arial" w:hAnsi="Arial"/>
          <w:color w:val="000000"/>
          <w:sz w:val="20"/>
        </w:rPr>
        <w:lastRenderedPageBreak/>
        <w:t>sensación de protección: el acceso podría seguir expuesto, el control podría afectar usuarios legítimos o no existiría evidencia para sustentar el informe técnico.</w:t>
      </w:r>
    </w:p>
    <w:p w14:paraId="33C38C62" w14:textId="77777777" w:rsidR="00BD4604" w:rsidRDefault="00BD4604" w:rsidP="00BD4604">
      <w:pPr>
        <w:spacing w:after="120"/>
      </w:pPr>
      <w:r>
        <w:rPr>
          <w:rFonts w:ascii="Arial" w:eastAsia="Arial" w:hAnsi="Arial"/>
          <w:b/>
          <w:color w:val="000000"/>
          <w:sz w:val="20"/>
        </w:rPr>
        <w:t xml:space="preserve">Voz 1: </w:t>
      </w:r>
      <w:r>
        <w:rPr>
          <w:rFonts w:ascii="Arial" w:eastAsia="Arial" w:hAnsi="Arial"/>
          <w:color w:val="000000"/>
          <w:sz w:val="20"/>
        </w:rPr>
        <w:t>En otras palabras, una mitigación sin validación es como cerrar una puerta sin comprobar si quedó asegurada.</w:t>
      </w:r>
    </w:p>
    <w:p w14:paraId="6FED6CA2" w14:textId="77777777" w:rsidR="00BD4604" w:rsidRDefault="00BD4604" w:rsidP="00BD4604">
      <w:pPr>
        <w:spacing w:after="120"/>
      </w:pPr>
      <w:r>
        <w:rPr>
          <w:rFonts w:ascii="Arial" w:eastAsia="Arial" w:hAnsi="Arial"/>
          <w:b/>
          <w:color w:val="000000"/>
          <w:sz w:val="20"/>
        </w:rPr>
        <w:t xml:space="preserve">Voz 2: </w:t>
      </w:r>
      <w:r>
        <w:rPr>
          <w:rFonts w:ascii="Arial" w:eastAsia="Arial" w:hAnsi="Arial"/>
          <w:color w:val="000000"/>
          <w:sz w:val="20"/>
        </w:rPr>
        <w:t>Exactamente. La idea central es esta: mitigar, validar y documentar forman una misma ruta de protección. Revise el punto 5.3, “Mitigación de riesgos y verificación de resultados”, para reconocer cada momento del proceso y aplicarlo de manera ética, responsable y basada en evidencias dentro de entornos autorizados o de laboratorio.</w:t>
      </w:r>
    </w:p>
    <w:p w14:paraId="35931815" w14:textId="77777777" w:rsidR="00990FC8" w:rsidRPr="00E90904" w:rsidRDefault="00990FC8" w:rsidP="00BD4604">
      <w:pPr>
        <w:spacing w:after="140"/>
        <w:rPr>
          <w:rFonts w:ascii="Arial" w:hAnsi="Arial" w:cs="Arial"/>
          <w:sz w:val="20"/>
          <w:szCs w:val="20"/>
        </w:rPr>
      </w:pPr>
    </w:p>
    <w:sectPr w:rsidR="00990FC8" w:rsidRPr="00E909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3D89F3" w14:textId="77777777" w:rsidR="00865508" w:rsidRDefault="00865508" w:rsidP="0013484A">
      <w:pPr>
        <w:spacing w:after="0" w:line="240" w:lineRule="auto"/>
      </w:pPr>
      <w:r>
        <w:separator/>
      </w:r>
    </w:p>
  </w:endnote>
  <w:endnote w:type="continuationSeparator" w:id="0">
    <w:p w14:paraId="6116AC71" w14:textId="77777777" w:rsidR="00865508" w:rsidRDefault="00865508" w:rsidP="00134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A25983" w14:textId="77777777" w:rsidR="00865508" w:rsidRDefault="00865508" w:rsidP="0013484A">
      <w:pPr>
        <w:spacing w:after="0" w:line="240" w:lineRule="auto"/>
      </w:pPr>
      <w:r>
        <w:separator/>
      </w:r>
    </w:p>
  </w:footnote>
  <w:footnote w:type="continuationSeparator" w:id="0">
    <w:p w14:paraId="59CB8170" w14:textId="77777777" w:rsidR="00865508" w:rsidRDefault="00865508" w:rsidP="001348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0C6AFF"/>
    <w:multiLevelType w:val="multilevel"/>
    <w:tmpl w:val="0F76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62761"/>
    <w:multiLevelType w:val="multilevel"/>
    <w:tmpl w:val="89760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B0D26"/>
    <w:multiLevelType w:val="hybridMultilevel"/>
    <w:tmpl w:val="FADA0C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C05089"/>
    <w:multiLevelType w:val="multilevel"/>
    <w:tmpl w:val="6C08F7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C518C"/>
    <w:multiLevelType w:val="multilevel"/>
    <w:tmpl w:val="64E4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8612F"/>
    <w:multiLevelType w:val="hybridMultilevel"/>
    <w:tmpl w:val="1996F654"/>
    <w:lvl w:ilvl="0" w:tplc="B694C194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DEBEDC14">
      <w:numFmt w:val="decimal"/>
      <w:lvlText w:val=""/>
      <w:lvlJc w:val="left"/>
    </w:lvl>
    <w:lvl w:ilvl="2" w:tplc="8C2CECA0">
      <w:numFmt w:val="decimal"/>
      <w:lvlText w:val=""/>
      <w:lvlJc w:val="left"/>
    </w:lvl>
    <w:lvl w:ilvl="3" w:tplc="3B92D4D4">
      <w:numFmt w:val="decimal"/>
      <w:lvlText w:val=""/>
      <w:lvlJc w:val="left"/>
    </w:lvl>
    <w:lvl w:ilvl="4" w:tplc="8614118C">
      <w:numFmt w:val="decimal"/>
      <w:lvlText w:val=""/>
      <w:lvlJc w:val="left"/>
    </w:lvl>
    <w:lvl w:ilvl="5" w:tplc="A1769A6E">
      <w:numFmt w:val="decimal"/>
      <w:lvlText w:val=""/>
      <w:lvlJc w:val="left"/>
    </w:lvl>
    <w:lvl w:ilvl="6" w:tplc="0D06E730">
      <w:numFmt w:val="decimal"/>
      <w:lvlText w:val=""/>
      <w:lvlJc w:val="left"/>
    </w:lvl>
    <w:lvl w:ilvl="7" w:tplc="DF88E424">
      <w:numFmt w:val="decimal"/>
      <w:lvlText w:val=""/>
      <w:lvlJc w:val="left"/>
    </w:lvl>
    <w:lvl w:ilvl="8" w:tplc="BF42F46E">
      <w:numFmt w:val="decimal"/>
      <w:lvlText w:val=""/>
      <w:lvlJc w:val="left"/>
    </w:lvl>
  </w:abstractNum>
  <w:num w:numId="1" w16cid:durableId="1729838348">
    <w:abstractNumId w:val="2"/>
  </w:num>
  <w:num w:numId="2" w16cid:durableId="828516156">
    <w:abstractNumId w:val="1"/>
  </w:num>
  <w:num w:numId="3" w16cid:durableId="1360202746">
    <w:abstractNumId w:val="3"/>
  </w:num>
  <w:num w:numId="4" w16cid:durableId="1009797520">
    <w:abstractNumId w:val="0"/>
  </w:num>
  <w:num w:numId="5" w16cid:durableId="817649481">
    <w:abstractNumId w:val="5"/>
    <w:lvlOverride w:ilvl="0">
      <w:startOverride w:val="1"/>
    </w:lvlOverride>
  </w:num>
  <w:num w:numId="6" w16cid:durableId="57679333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FB"/>
    <w:rsid w:val="000811DB"/>
    <w:rsid w:val="00123EE3"/>
    <w:rsid w:val="0013484A"/>
    <w:rsid w:val="001B1CCA"/>
    <w:rsid w:val="001F4495"/>
    <w:rsid w:val="00276C3B"/>
    <w:rsid w:val="002F79F0"/>
    <w:rsid w:val="003C75E2"/>
    <w:rsid w:val="003D5220"/>
    <w:rsid w:val="00495082"/>
    <w:rsid w:val="006033F6"/>
    <w:rsid w:val="0061070E"/>
    <w:rsid w:val="006B2504"/>
    <w:rsid w:val="006D1CC9"/>
    <w:rsid w:val="00777374"/>
    <w:rsid w:val="007935E6"/>
    <w:rsid w:val="007F4119"/>
    <w:rsid w:val="00823AB8"/>
    <w:rsid w:val="00865508"/>
    <w:rsid w:val="00935230"/>
    <w:rsid w:val="009538A6"/>
    <w:rsid w:val="00990FC8"/>
    <w:rsid w:val="00A957F1"/>
    <w:rsid w:val="00AD1941"/>
    <w:rsid w:val="00B1323C"/>
    <w:rsid w:val="00B15059"/>
    <w:rsid w:val="00B453DA"/>
    <w:rsid w:val="00B76FBA"/>
    <w:rsid w:val="00BD4604"/>
    <w:rsid w:val="00BF1548"/>
    <w:rsid w:val="00C70941"/>
    <w:rsid w:val="00D21C3E"/>
    <w:rsid w:val="00D329FB"/>
    <w:rsid w:val="00D50AFC"/>
    <w:rsid w:val="00E60430"/>
    <w:rsid w:val="00E90904"/>
    <w:rsid w:val="00EA3D47"/>
    <w:rsid w:val="00FD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96F23"/>
  <w15:chartTrackingRefBased/>
  <w15:docId w15:val="{C2BD1F58-FA2B-4261-A17D-DC35AC0A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2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2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2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2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2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29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29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29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29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29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29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2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29FB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D329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9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29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9F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34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customStyle="1" w:styleId="whitespace-normal">
    <w:name w:val="whitespace-normal"/>
    <w:basedOn w:val="Normal"/>
    <w:rsid w:val="00134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484A"/>
  </w:style>
  <w:style w:type="paragraph" w:styleId="Piedepgina">
    <w:name w:val="footer"/>
    <w:basedOn w:val="Normal"/>
    <w:link w:val="Piedepgina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484A"/>
  </w:style>
  <w:style w:type="character" w:styleId="Fuerte">
    <w:name w:val="Strong"/>
    <w:basedOn w:val="Fuentedeprrafopredeter"/>
    <w:uiPriority w:val="22"/>
    <w:qFormat/>
    <w:rsid w:val="00777374"/>
    <w:rPr>
      <w:b/>
      <w:bCs/>
    </w:rPr>
  </w:style>
  <w:style w:type="table" w:styleId="Tablaconcuadrcula">
    <w:name w:val="Table Grid"/>
    <w:basedOn w:val="Tablanormal"/>
    <w:uiPriority w:val="59"/>
    <w:rsid w:val="00BD4604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984AB151-1235-408B-B9F6-92E70ACCCDDC}"/>
</file>

<file path=customXml/itemProps2.xml><?xml version="1.0" encoding="utf-8"?>
<ds:datastoreItem xmlns:ds="http://schemas.openxmlformats.org/officeDocument/2006/customXml" ds:itemID="{1F97C229-CA6D-4B37-A002-5E8D75F006B5}"/>
</file>

<file path=customXml/itemProps3.xml><?xml version="1.0" encoding="utf-8"?>
<ds:datastoreItem xmlns:ds="http://schemas.openxmlformats.org/officeDocument/2006/customXml" ds:itemID="{064EDB50-56AC-4F1B-8D60-EC6A6E08B93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570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Angelica Varon Quintero</cp:lastModifiedBy>
  <cp:revision>9</cp:revision>
  <dcterms:created xsi:type="dcterms:W3CDTF">2026-03-11T22:34:00Z</dcterms:created>
  <dcterms:modified xsi:type="dcterms:W3CDTF">2026-07-06T20:25:00Z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