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Default="00CB6F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  <w:p w14:paraId="537F088C" w14:textId="77777777" w:rsidR="00833EC4" w:rsidRDefault="00CB6F6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B77D247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EC4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Default="00CB6F6D" w:rsidP="009F7429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EBE4CE7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9F7429"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878129B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273884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6266D8D5" w14:textId="74F4D587" w:rsidR="00833EC4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Default="00CB6F6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9F7429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833EC4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D19BE07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  <w:p w14:paraId="6F9BEB1B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93677C2" w14:textId="68125E20" w:rsidR="00833EC4" w:rsidRPr="003B020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6F7E37">
              <w:rPr>
                <w:rFonts w:ascii="Calibri" w:eastAsia="Calibri" w:hAnsi="Calibri" w:cs="Calibri"/>
                <w:b/>
                <w:bCs/>
                <w:i/>
                <w:color w:val="000000"/>
              </w:rPr>
              <w:t xml:space="preserve">Ensamble de prendas de vestir </w:t>
            </w:r>
          </w:p>
          <w:p w14:paraId="6593D552" w14:textId="77777777" w:rsidR="00833EC4" w:rsidRPr="003B020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</w:rPr>
            </w:pPr>
          </w:p>
          <w:p w14:paraId="736BA28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E8A43" w14:textId="6A5A1F56" w:rsidR="00833EC4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25E9FC48" w:rsidR="00833EC4" w:rsidRDefault="006F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Ampliar conocimiento sobre ensamble de prendas de vestir </w:t>
            </w:r>
          </w:p>
        </w:tc>
      </w:tr>
      <w:tr w:rsidR="00833EC4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21E5B07" w14:textId="31A8CDF8" w:rsidR="00833EC4" w:rsidRDefault="00CB6F6D" w:rsidP="006F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Validar los conocimientos y conceptos aprendidos en el proceso </w:t>
            </w:r>
            <w:r w:rsidR="006F7E37">
              <w:rPr>
                <w:rFonts w:ascii="Calibri" w:eastAsia="Calibri" w:hAnsi="Calibri" w:cs="Calibri"/>
                <w:i/>
                <w:color w:val="000000"/>
              </w:rPr>
              <w:t>de ensamble de prendas de vestir</w:t>
            </w:r>
          </w:p>
        </w:tc>
      </w:tr>
      <w:tr w:rsidR="00833EC4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51158B5A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8114A0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¡Adelante y mucho ánimo!</w:t>
            </w:r>
          </w:p>
          <w:p w14:paraId="2A00F786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33EC4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Default="00CB6F6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833EC4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D55D67C" w14:textId="6449761B" w:rsidR="00833EC4" w:rsidRPr="00EF516B" w:rsidRDefault="006F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Una orden operacional, corresponde a la secuenciación de procesos requeridos para dar finalidad a la manufactura de </w:t>
            </w:r>
            <w:r>
              <w:rPr>
                <w:color w:val="000000"/>
                <w:sz w:val="20"/>
                <w:szCs w:val="20"/>
              </w:rPr>
              <w:lastRenderedPageBreak/>
              <w:t>la materia prima, y se establece de acuerdo con las líneas de confección de las prendas</w:t>
            </w:r>
          </w:p>
        </w:tc>
        <w:tc>
          <w:tcPr>
            <w:tcW w:w="2160" w:type="dxa"/>
          </w:tcPr>
          <w:p w14:paraId="011208ED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833EC4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63BE3243" w:rsidR="00833EC4" w:rsidRPr="003B0204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6F7E37">
              <w:rPr>
                <w:color w:val="000000"/>
                <w:sz w:val="20"/>
                <w:szCs w:val="20"/>
              </w:rPr>
              <w:t>Una orden operacional, corresponde a la secuenciación de procesos requeridos para dar finalidad a la manufactura de la materia prima</w:t>
            </w:r>
            <w:r w:rsidR="006F7E37">
              <w:rPr>
                <w:color w:val="000000"/>
                <w:sz w:val="20"/>
                <w:szCs w:val="20"/>
              </w:rPr>
              <w:t>.</w:t>
            </w:r>
          </w:p>
        </w:tc>
      </w:tr>
      <w:tr w:rsidR="00833EC4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FE2F16E" w14:textId="4481097A" w:rsidR="00833EC4" w:rsidRPr="003B0204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Incorrecto. Esta afirmación es </w:t>
            </w:r>
            <w:r w:rsidR="00EF516B" w:rsidRPr="003B0204">
              <w:rPr>
                <w:rFonts w:ascii="Calibri" w:eastAsia="Calibri" w:hAnsi="Calibri" w:cs="Calibri"/>
                <w:iCs/>
                <w:color w:val="000000"/>
              </w:rPr>
              <w:t>v</w:t>
            </w: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erdadera, </w:t>
            </w:r>
            <w:r w:rsidR="003B0204" w:rsidRPr="003B0204">
              <w:rPr>
                <w:rFonts w:ascii="Calibri" w:hAnsi="Calibri" w:cs="Calibri"/>
                <w:color w:val="auto"/>
              </w:rPr>
              <w:t xml:space="preserve">Nada más importante </w:t>
            </w:r>
            <w:r w:rsidR="006F7E37">
              <w:rPr>
                <w:rFonts w:ascii="Calibri" w:hAnsi="Calibri" w:cs="Calibri"/>
                <w:color w:val="auto"/>
              </w:rPr>
              <w:t>que seguir la secuencia de procesos en una orden operacional.</w:t>
            </w:r>
          </w:p>
        </w:tc>
      </w:tr>
      <w:tr w:rsidR="006F7E37" w14:paraId="137F99EC" w14:textId="77777777" w:rsidTr="006F7E37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43B05C" w14:textId="77777777" w:rsidR="006F7E37" w:rsidRDefault="006F7E3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78D160E8" w14:textId="77777777" w:rsidR="006F7E37" w:rsidRPr="003B0204" w:rsidRDefault="006F7E37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</w:p>
        </w:tc>
      </w:tr>
      <w:tr w:rsidR="00833EC4" w14:paraId="40B081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7241EA60" w:rsidR="00833EC4" w:rsidRPr="003B0204" w:rsidRDefault="006F7E37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6F7E37">
              <w:rPr>
                <w:rFonts w:ascii="Calibri" w:eastAsia="Calibri" w:hAnsi="Calibri" w:cs="Calibri"/>
                <w:b/>
                <w:iCs/>
                <w:color w:val="000000"/>
              </w:rPr>
              <w:t>Prevenir riesgos laborales, se refiere a evitar o disminuir las posibilidades de que alguno de los trabajadores de una empresa sufra daños derivados de la labor que desempeñan</w:t>
            </w:r>
          </w:p>
        </w:tc>
      </w:tr>
      <w:tr w:rsidR="00833EC4" w14:paraId="13545E4D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1E1470AA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3A1F675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4C5AD7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6F199A0F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6552D08F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6F7E37">
              <w:rPr>
                <w:rFonts w:ascii="Calibri" w:eastAsia="Calibri" w:hAnsi="Calibri" w:cs="Calibri"/>
                <w:iCs/>
                <w:color w:val="000000"/>
              </w:rPr>
              <w:t xml:space="preserve"> Ya que </w:t>
            </w:r>
            <w:r w:rsidR="002068EB">
              <w:rPr>
                <w:rFonts w:ascii="Calibri" w:eastAsia="Calibri" w:hAnsi="Calibri" w:cs="Calibri"/>
                <w:iCs/>
                <w:color w:val="000000"/>
              </w:rPr>
              <w:t>l</w:t>
            </w:r>
            <w:r w:rsidR="002068EB" w:rsidRPr="002068EB">
              <w:rPr>
                <w:rFonts w:ascii="Calibri" w:eastAsia="Calibri" w:hAnsi="Calibri" w:cs="Calibri"/>
                <w:iCs/>
                <w:color w:val="000000"/>
              </w:rPr>
              <w:t>a prevención de riesgos laborales se enfoca en evitar o reducir las probabilidades de que los trabajadores de una empresa sufran daños como consecuencia de las actividades que realizan.</w:t>
            </w:r>
          </w:p>
        </w:tc>
      </w:tr>
      <w:tr w:rsidR="00833EC4" w14:paraId="1027E024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5BC35008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3B0204">
              <w:rPr>
                <w:rFonts w:ascii="Calibri" w:eastAsia="Calibri" w:hAnsi="Calibri" w:cs="Calibri"/>
                <w:iCs/>
                <w:color w:val="000000"/>
              </w:rPr>
              <w:t>Recuerda que se debe tener clara l</w:t>
            </w:r>
            <w:r w:rsidR="003B0204" w:rsidRPr="003B0204">
              <w:rPr>
                <w:rFonts w:ascii="Calibri" w:eastAsia="Calibri" w:hAnsi="Calibri" w:cs="Calibri"/>
                <w:iCs/>
                <w:color w:val="000000"/>
              </w:rPr>
              <w:t xml:space="preserve">a </w:t>
            </w:r>
            <w:r w:rsidR="002068EB" w:rsidRPr="002068EB">
              <w:rPr>
                <w:rFonts w:ascii="Calibri" w:eastAsia="Calibri" w:hAnsi="Calibri" w:cs="Calibri"/>
                <w:iCs/>
                <w:color w:val="000000"/>
              </w:rPr>
              <w:t xml:space="preserve">prevención de riesgos laborales </w:t>
            </w:r>
            <w:r w:rsidR="002068EB">
              <w:rPr>
                <w:rFonts w:ascii="Calibri" w:eastAsia="Calibri" w:hAnsi="Calibri" w:cs="Calibri"/>
                <w:iCs/>
                <w:color w:val="000000"/>
              </w:rPr>
              <w:t xml:space="preserve">para </w:t>
            </w:r>
            <w:r w:rsidR="002068EB" w:rsidRPr="002068EB">
              <w:rPr>
                <w:rFonts w:ascii="Calibri" w:eastAsia="Calibri" w:hAnsi="Calibri" w:cs="Calibri"/>
                <w:iCs/>
                <w:color w:val="000000"/>
              </w:rPr>
              <w:t xml:space="preserve">reducir las probabilidades de que los trabajadores de una empresa </w:t>
            </w:r>
            <w:r w:rsidR="002068EB">
              <w:rPr>
                <w:rFonts w:ascii="Calibri" w:eastAsia="Calibri" w:hAnsi="Calibri" w:cs="Calibri"/>
                <w:iCs/>
                <w:color w:val="000000"/>
              </w:rPr>
              <w:t>se vean afectados</w:t>
            </w:r>
          </w:p>
        </w:tc>
      </w:tr>
      <w:tr w:rsidR="00833EC4" w14:paraId="2E4D62C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0B1B2F34" w:rsidR="00833EC4" w:rsidRPr="00EF516B" w:rsidRDefault="002068EB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2068EB">
              <w:rPr>
                <w:rFonts w:ascii="Calibri" w:eastAsia="Calibri" w:hAnsi="Calibri" w:cs="Calibri"/>
                <w:b/>
                <w:iCs/>
                <w:color w:val="000000"/>
              </w:rPr>
              <w:t>3.</w:t>
            </w:r>
            <w:r w:rsidRPr="002068EB">
              <w:rPr>
                <w:rFonts w:ascii="Calibri" w:eastAsia="Calibri" w:hAnsi="Calibri" w:cs="Calibri"/>
                <w:b/>
                <w:iCs/>
                <w:color w:val="000000"/>
              </w:rPr>
              <w:tab/>
              <w:t xml:space="preserve">La metodología </w:t>
            </w:r>
            <w:proofErr w:type="spellStart"/>
            <w:r w:rsidRPr="002068EB">
              <w:rPr>
                <w:rFonts w:ascii="Calibri" w:eastAsia="Calibri" w:hAnsi="Calibri" w:cs="Calibri"/>
                <w:b/>
                <w:iCs/>
                <w:color w:val="000000"/>
              </w:rPr>
              <w:t>Kaisen</w:t>
            </w:r>
            <w:proofErr w:type="spellEnd"/>
            <w:r w:rsidRPr="002068EB">
              <w:rPr>
                <w:rFonts w:ascii="Calibri" w:eastAsia="Calibri" w:hAnsi="Calibri" w:cs="Calibri"/>
                <w:b/>
                <w:iCs/>
                <w:color w:val="000000"/>
              </w:rPr>
              <w:t>, involucra varios el ciclo PHVA, para el mejoramiento continuo</w:t>
            </w:r>
          </w:p>
        </w:tc>
      </w:tr>
      <w:tr w:rsidR="00833EC4" w14:paraId="69384F7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2CEE9B09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B64A0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58BE6423" w:rsidR="00833EC4" w:rsidRDefault="002068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610E2D9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036D41A3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Correcto</w:t>
            </w:r>
            <w:r w:rsidRPr="00944CDA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.</w:t>
            </w:r>
            <w:r w:rsidR="002068EB">
              <w:t xml:space="preserve"> </w:t>
            </w:r>
            <w:r w:rsidR="002068EB" w:rsidRPr="002068EB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La metodología </w:t>
            </w:r>
            <w:proofErr w:type="spellStart"/>
            <w:r w:rsidR="002068EB" w:rsidRPr="002068EB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Kaizen</w:t>
            </w:r>
            <w:proofErr w:type="spellEnd"/>
            <w:r w:rsidR="002068EB" w:rsidRPr="002068EB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 implica el uso del ciclo PHVA (Planificar, Hacer, Verificar, Actuar) para el mejoramiento </w:t>
            </w:r>
            <w:proofErr w:type="gramStart"/>
            <w:r w:rsidR="002068EB" w:rsidRPr="002068EB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continuo.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>.</w:t>
            </w:r>
            <w:proofErr w:type="gramEnd"/>
          </w:p>
        </w:tc>
      </w:tr>
      <w:tr w:rsidR="00833EC4" w14:paraId="289F429D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24744D67" w:rsidR="00833EC4" w:rsidRPr="00EF516B" w:rsidRDefault="00CB6F6D" w:rsidP="00944C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 xml:space="preserve">Tu respuesta no es correcta </w:t>
            </w:r>
            <w:r w:rsidR="00944CDA" w:rsidRPr="00944CDA">
              <w:rPr>
                <w:color w:val="auto"/>
              </w:rPr>
              <w:t xml:space="preserve">debido a que </w:t>
            </w:r>
            <w:r w:rsidR="002068EB" w:rsidRPr="002068EB">
              <w:rPr>
                <w:color w:val="auto"/>
              </w:rPr>
              <w:t xml:space="preserve">La metodología </w:t>
            </w:r>
            <w:proofErr w:type="spellStart"/>
            <w:r w:rsidR="002068EB" w:rsidRPr="002068EB">
              <w:rPr>
                <w:color w:val="auto"/>
              </w:rPr>
              <w:t>Kaizen</w:t>
            </w:r>
            <w:proofErr w:type="spellEnd"/>
            <w:r w:rsidR="002068EB" w:rsidRPr="002068EB">
              <w:rPr>
                <w:color w:val="auto"/>
              </w:rPr>
              <w:t xml:space="preserve"> implica el uso del ciclo PHVA (Planificar, Hacer, Verificar, Actuar)</w:t>
            </w:r>
            <w:r w:rsidR="002068EB">
              <w:rPr>
                <w:color w:val="auto"/>
              </w:rPr>
              <w:t>.</w:t>
            </w:r>
          </w:p>
        </w:tc>
      </w:tr>
      <w:tr w:rsidR="00833EC4" w14:paraId="66428EE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CB5808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</w:tcPr>
          <w:p w14:paraId="13FCD9F7" w14:textId="17579B40" w:rsidR="00833EC4" w:rsidRPr="00EF516B" w:rsidRDefault="002068EB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2068EB">
              <w:rPr>
                <w:rFonts w:ascii="Calibri" w:eastAsia="Calibri" w:hAnsi="Calibri" w:cs="Calibri"/>
                <w:b/>
                <w:iCs/>
                <w:color w:val="000000"/>
              </w:rPr>
              <w:t xml:space="preserve">La ruta operacional en la confección disminuye el riesgo de error en el control de calidad, sobre todo cuando se trata de trabajar con telas y colores.                                                        </w:t>
            </w:r>
          </w:p>
        </w:tc>
      </w:tr>
      <w:tr w:rsidR="00833EC4" w14:paraId="6DEF446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681BFEBD" w:rsidR="00833EC4" w:rsidRDefault="002068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73E9D46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16EB9E13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BD562E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72A4A84F" w:rsidR="00833EC4" w:rsidRPr="002068E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944CDA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2068EB">
              <w:t xml:space="preserve"> </w:t>
            </w:r>
            <w:r w:rsidR="002068EB" w:rsidRPr="002068EB">
              <w:rPr>
                <w:rFonts w:ascii="Calibri" w:eastAsia="Calibri" w:hAnsi="Calibri" w:cs="Calibri"/>
                <w:iCs/>
                <w:color w:val="auto"/>
              </w:rPr>
              <w:t xml:space="preserve">La ruta operacional en la confección </w:t>
            </w:r>
            <w:r w:rsidR="002068EB">
              <w:rPr>
                <w:rFonts w:ascii="Calibri" w:eastAsia="Calibri" w:hAnsi="Calibri" w:cs="Calibri"/>
                <w:iCs/>
                <w:color w:val="auto"/>
              </w:rPr>
              <w:t xml:space="preserve">No </w:t>
            </w:r>
            <w:r w:rsidR="002068EB" w:rsidRPr="002068EB">
              <w:rPr>
                <w:rFonts w:ascii="Calibri" w:eastAsia="Calibri" w:hAnsi="Calibri" w:cs="Calibri"/>
                <w:iCs/>
                <w:color w:val="auto"/>
              </w:rPr>
              <w:t xml:space="preserve">disminuye el riesgo de error en el control de calidad, sobre todo cuando se trata de trabajar con telas y colores.                                                        </w:t>
            </w:r>
          </w:p>
        </w:tc>
      </w:tr>
      <w:tr w:rsidR="00833EC4" w14:paraId="3BFDC90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40C77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4E43C868" w:rsidR="00833EC4" w:rsidRPr="00944CD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944CDA">
              <w:rPr>
                <w:rFonts w:ascii="Calibri" w:eastAsia="Calibri" w:hAnsi="Calibri" w:cs="Calibri"/>
                <w:iCs/>
                <w:color w:val="auto"/>
              </w:rPr>
              <w:t>Incorrecto,</w:t>
            </w:r>
            <w:r w:rsidR="002068EB">
              <w:t xml:space="preserve"> </w:t>
            </w:r>
            <w:r w:rsidR="002068EB" w:rsidRPr="002068EB">
              <w:rPr>
                <w:rFonts w:ascii="Calibri" w:eastAsia="Calibri" w:hAnsi="Calibri" w:cs="Calibri"/>
                <w:iCs/>
                <w:color w:val="auto"/>
              </w:rPr>
              <w:t>La ruta operacional en la confección reduce los errores en el control de calidad, especialmente con telas y colores, al mejorar la precisión y consistencia del proceso.</w:t>
            </w:r>
          </w:p>
        </w:tc>
      </w:tr>
      <w:tr w:rsidR="00833EC4" w14:paraId="7DDC9ABF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1E42A5BA" w14:textId="20C4973F" w:rsidR="00833EC4" w:rsidRPr="00EF516B" w:rsidRDefault="002068EB" w:rsidP="00944C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2068EB">
              <w:rPr>
                <w:rFonts w:ascii="Calibri" w:eastAsia="Calibri" w:hAnsi="Calibri" w:cs="Calibri"/>
                <w:b/>
                <w:iCs/>
                <w:color w:val="000000"/>
              </w:rPr>
              <w:t xml:space="preserve">Un riesgo al introducir herramientas para controlar los procesos de calidad en una empresa son los altos costos financieros que esto trae.                                                                          </w:t>
            </w:r>
          </w:p>
        </w:tc>
      </w:tr>
      <w:tr w:rsidR="00833EC4" w14:paraId="08A2433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09AEF56B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58ACD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515D771A" w:rsidR="00833EC4" w:rsidRDefault="002068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687CE1A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33875DEA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Correcto.</w:t>
            </w:r>
            <w:r w:rsidR="002068EB">
              <w:t xml:space="preserve"> </w:t>
            </w:r>
            <w:r w:rsidR="002068EB" w:rsidRPr="002068EB">
              <w:rPr>
                <w:color w:val="auto"/>
              </w:rPr>
              <w:t>Introducir herramientas para controlar los procesos de calidad en una empresa puede implicar altos costos financieros, lo que constituye un riesgo que debe ser considerado</w:t>
            </w:r>
            <w:r w:rsidR="002068EB" w:rsidRPr="002068EB">
              <w:t>.</w:t>
            </w:r>
          </w:p>
        </w:tc>
      </w:tr>
      <w:tr w:rsidR="00833EC4" w14:paraId="1C29C9C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701D2D5E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Incorrecto.</w:t>
            </w:r>
            <w:r w:rsidR="00944CDA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 xml:space="preserve">Ya que </w:t>
            </w:r>
            <w:r w:rsidR="002068EB" w:rsidRPr="002068EB">
              <w:rPr>
                <w:rFonts w:ascii="Calibri" w:eastAsia="Calibri" w:hAnsi="Calibri" w:cs="Calibri"/>
                <w:iCs/>
                <w:color w:val="000000"/>
              </w:rPr>
              <w:t>Introducir herramientas para controlar los procesos de calidad constituye un riesgo que debe ser considerado</w:t>
            </w:r>
          </w:p>
        </w:tc>
      </w:tr>
      <w:tr w:rsidR="00833EC4" w14:paraId="4965318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2E3A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6</w:t>
            </w:r>
          </w:p>
        </w:tc>
        <w:tc>
          <w:tcPr>
            <w:tcW w:w="7620" w:type="dxa"/>
            <w:gridSpan w:val="2"/>
          </w:tcPr>
          <w:p w14:paraId="4FDF6CFE" w14:textId="2C8C1AFB" w:rsidR="00833EC4" w:rsidRDefault="005B4CEE" w:rsidP="005B4C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B4CEE">
              <w:rPr>
                <w:rFonts w:ascii="Calibri" w:eastAsia="Calibri" w:hAnsi="Calibri" w:cs="Calibri"/>
                <w:b/>
                <w:i/>
                <w:color w:val="000000"/>
              </w:rPr>
              <w:t xml:space="preserve">¿Cómo se relaciona la prevención de riesgos laborales con la metodología </w:t>
            </w:r>
            <w:proofErr w:type="spellStart"/>
            <w:r w:rsidRPr="005B4CEE">
              <w:rPr>
                <w:rFonts w:ascii="Calibri" w:eastAsia="Calibri" w:hAnsi="Calibri" w:cs="Calibri"/>
                <w:b/>
                <w:i/>
                <w:color w:val="000000"/>
              </w:rPr>
              <w:t>Kaizen</w:t>
            </w:r>
            <w:proofErr w:type="spellEnd"/>
            <w:r w:rsidRPr="005B4CEE">
              <w:rPr>
                <w:rFonts w:ascii="Calibri" w:eastAsia="Calibri" w:hAnsi="Calibri" w:cs="Calibri"/>
                <w:b/>
                <w:i/>
                <w:color w:val="000000"/>
              </w:rPr>
              <w:t xml:space="preserve"> y el ciclo PHVA, y cómo impacta la implementación de rutas operacionales y herramientas de control de calidad en términos de reducción de errores y costos financieros en una empresa de confección?</w:t>
            </w:r>
          </w:p>
        </w:tc>
      </w:tr>
      <w:tr w:rsidR="00833EC4" w14:paraId="37DDF776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28E48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D4C207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2440FE" w14:textId="561085A0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290DA5F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6B43A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30E688F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ACDED18" w14:textId="5E27A34F" w:rsidR="00833EC4" w:rsidRDefault="003D5E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769EE31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9E1CC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D38B96" w14:textId="4F465CAC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5B4CEE" w:rsidRPr="005B4CEE">
              <w:rPr>
                <w:rFonts w:ascii="Calibri" w:eastAsia="Calibri" w:hAnsi="Calibri" w:cs="Calibri"/>
                <w:iCs/>
                <w:color w:val="000000"/>
              </w:rPr>
              <w:t xml:space="preserve">La prevención de riesgos laborales y la metodología </w:t>
            </w:r>
            <w:proofErr w:type="spellStart"/>
            <w:r w:rsidR="005B4CEE" w:rsidRPr="005B4CEE">
              <w:rPr>
                <w:rFonts w:ascii="Calibri" w:eastAsia="Calibri" w:hAnsi="Calibri" w:cs="Calibri"/>
                <w:iCs/>
                <w:color w:val="000000"/>
              </w:rPr>
              <w:t>Kaizen</w:t>
            </w:r>
            <w:proofErr w:type="spellEnd"/>
            <w:r w:rsidR="005B4CEE" w:rsidRPr="005B4CEE">
              <w:rPr>
                <w:rFonts w:ascii="Calibri" w:eastAsia="Calibri" w:hAnsi="Calibri" w:cs="Calibri"/>
                <w:iCs/>
                <w:color w:val="000000"/>
              </w:rPr>
              <w:t>, con el ciclo PHVA, mejoran la seguridad y la calidad. En la confección, la ruta operacional reduce errores. Aunque las herramientas de control de calidad pueden ser costosas, sus beneficios a largo plazo suelen compensar los gastos iniciales.</w:t>
            </w:r>
          </w:p>
        </w:tc>
      </w:tr>
      <w:tr w:rsidR="00833EC4" w14:paraId="5C16B594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79DA6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0A8ED8" w14:textId="25D3A753" w:rsidR="00833EC4" w:rsidRPr="00EF516B" w:rsidRDefault="00CB6F6D" w:rsidP="003D5E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Incorrecto,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 xml:space="preserve">Ya que </w:t>
            </w:r>
            <w:r w:rsidR="005B4CEE" w:rsidRPr="005B4CEE">
              <w:rPr>
                <w:rFonts w:ascii="Calibri" w:eastAsia="Calibri" w:hAnsi="Calibri" w:cs="Calibri"/>
                <w:iCs/>
                <w:color w:val="000000"/>
              </w:rPr>
              <w:t xml:space="preserve">La prevención de riesgos laborales y la metodología </w:t>
            </w:r>
            <w:proofErr w:type="spellStart"/>
            <w:r w:rsidR="005B4CEE" w:rsidRPr="005B4CEE">
              <w:rPr>
                <w:rFonts w:ascii="Calibri" w:eastAsia="Calibri" w:hAnsi="Calibri" w:cs="Calibri"/>
                <w:iCs/>
                <w:color w:val="000000"/>
              </w:rPr>
              <w:t>Kaizen</w:t>
            </w:r>
            <w:proofErr w:type="spellEnd"/>
            <w:r w:rsidR="005B4CEE" w:rsidRPr="005B4CEE">
              <w:rPr>
                <w:rFonts w:ascii="Calibri" w:eastAsia="Calibri" w:hAnsi="Calibri" w:cs="Calibri"/>
                <w:iCs/>
                <w:color w:val="000000"/>
              </w:rPr>
              <w:t xml:space="preserve">, con el ciclo PHVA, mejoran la seguridad y la calidad. </w:t>
            </w:r>
          </w:p>
        </w:tc>
      </w:tr>
      <w:tr w:rsidR="00833EC4" w14:paraId="29AAB63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FINAL ACTIVIDAD</w:t>
            </w:r>
          </w:p>
        </w:tc>
      </w:tr>
      <w:tr w:rsidR="00833EC4" w14:paraId="739D92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3FF70FD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</w:t>
            </w:r>
          </w:p>
          <w:p w14:paraId="599E8F2C" w14:textId="77777777" w:rsidR="00833EC4" w:rsidRDefault="00833E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2E76F17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833EC4" w14:paraId="6A228C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7EF0304E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</w:p>
          <w:p w14:paraId="5F7A191E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4A79080D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p w14:paraId="2036AA39" w14:textId="77777777" w:rsidR="00833EC4" w:rsidRDefault="00833EC4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33EC4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Default="00833EC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F7429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7BC05AB1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80039E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6AC1630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D64297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BE72B6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5BB9A47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2696B8AE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206FCAB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6E788413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7FDE9AB" w14:textId="77777777" w:rsidR="00833EC4" w:rsidRDefault="00833EC4"/>
    <w:sectPr w:rsidR="00833EC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B71AA" w14:textId="77777777" w:rsidR="00925D18" w:rsidRDefault="00925D18">
      <w:pPr>
        <w:spacing w:line="240" w:lineRule="auto"/>
      </w:pPr>
      <w:r>
        <w:separator/>
      </w:r>
    </w:p>
  </w:endnote>
  <w:endnote w:type="continuationSeparator" w:id="0">
    <w:p w14:paraId="66B519C0" w14:textId="77777777" w:rsidR="00925D18" w:rsidRDefault="0092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1076E" w14:textId="77777777" w:rsidR="00925D18" w:rsidRDefault="00925D18">
      <w:pPr>
        <w:spacing w:line="240" w:lineRule="auto"/>
      </w:pPr>
      <w:r>
        <w:separator/>
      </w:r>
    </w:p>
  </w:footnote>
  <w:footnote w:type="continuationSeparator" w:id="0">
    <w:p w14:paraId="3EBE4C8C" w14:textId="77777777" w:rsidR="00925D18" w:rsidRDefault="00925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5720" distB="45720" distL="114300" distR="114300" simplePos="0" relativeHeight="0" behindDoc="0" locked="0" layoutInCell="1" hidden="0" allowOverlap="1" wp14:anchorId="2E5BA96E" wp14:editId="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68582937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660466">
    <w:abstractNumId w:val="0"/>
  </w:num>
  <w:num w:numId="2" w16cid:durableId="83211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126A71"/>
    <w:rsid w:val="002068EB"/>
    <w:rsid w:val="003B0204"/>
    <w:rsid w:val="003D5E3C"/>
    <w:rsid w:val="005B4CEE"/>
    <w:rsid w:val="00686170"/>
    <w:rsid w:val="006F7E37"/>
    <w:rsid w:val="00833EC4"/>
    <w:rsid w:val="00925D18"/>
    <w:rsid w:val="00944CDA"/>
    <w:rsid w:val="009F7429"/>
    <w:rsid w:val="00A072EE"/>
    <w:rsid w:val="00B32E68"/>
    <w:rsid w:val="00C21DA5"/>
    <w:rsid w:val="00CA7F3B"/>
    <w:rsid w:val="00CB6F6D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DE7DA-D38A-4FA7-8D62-6F47F36CD8D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Sandra Paola Morales Paez</cp:lastModifiedBy>
  <cp:revision>3</cp:revision>
  <dcterms:created xsi:type="dcterms:W3CDTF">2024-06-19T13:59:00Z</dcterms:created>
  <dcterms:modified xsi:type="dcterms:W3CDTF">2024-06-19T14:16:00Z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