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ABE7F" w14:textId="77777777" w:rsidR="00A026BF" w:rsidRDefault="00A026BF" w:rsidP="00A026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A026BF" w14:paraId="32B7F790" w14:textId="77777777" w:rsidTr="00F0215E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0F5B0ABF" w14:textId="77777777" w:rsidR="00A026BF" w:rsidRDefault="00A026BF" w:rsidP="00F0215E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 DE ACTIVIDAD DIDÁCTICA</w:t>
            </w:r>
          </w:p>
        </w:tc>
      </w:tr>
      <w:tr w:rsidR="00A026BF" w14:paraId="2FF3F338" w14:textId="77777777" w:rsidTr="00F0215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6A10F4D" w14:textId="77777777" w:rsidR="00A026BF" w:rsidRDefault="00A026BF" w:rsidP="00F0215E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BD4DB74" w14:textId="77777777" w:rsidR="00A026BF" w:rsidRDefault="00A026BF" w:rsidP="00F0215E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Emparejamiento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entre </w:t>
            </w:r>
            <w:proofErr w:type="spellStart"/>
            <w:r>
              <w:rPr>
                <w:rFonts w:ascii="Calibri" w:eastAsia="Calibri" w:hAnsi="Calibri" w:cs="Calibri"/>
              </w:rPr>
              <w:t>término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definición</w:t>
            </w:r>
            <w:proofErr w:type="spellEnd"/>
          </w:p>
        </w:tc>
      </w:tr>
      <w:tr w:rsidR="00A026BF" w14:paraId="38798764" w14:textId="77777777" w:rsidTr="00F0215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CC66B68" w14:textId="77777777" w:rsidR="00A026BF" w:rsidRDefault="00A026BF" w:rsidP="00F0215E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Objetivo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actividad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23135A3C" w14:textId="77777777" w:rsidR="00A026BF" w:rsidRDefault="00A026BF" w:rsidP="00F0215E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Afianzar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algunos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</w:rPr>
              <w:t>los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conceptos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más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importantes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computación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nube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A026BF" w14:paraId="167BDDB4" w14:textId="77777777" w:rsidTr="00F0215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94BC7C5" w14:textId="77777777" w:rsidR="00A026BF" w:rsidRDefault="00A026BF" w:rsidP="00F0215E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Tipo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actividad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sugerida</w:t>
            </w:r>
            <w:proofErr w:type="spellEnd"/>
          </w:p>
        </w:tc>
        <w:tc>
          <w:tcPr>
            <w:tcW w:w="6706" w:type="dxa"/>
            <w:shd w:val="clear" w:color="auto" w:fill="auto"/>
            <w:vAlign w:val="center"/>
          </w:tcPr>
          <w:p w14:paraId="5B3B8C22" w14:textId="77777777" w:rsidR="00A026BF" w:rsidRDefault="00A026BF" w:rsidP="00F0215E">
            <w:pPr>
              <w:spacing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Arrastrar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soltar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término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con la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definición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corresponde</w:t>
            </w:r>
            <w:proofErr w:type="spellEnd"/>
          </w:p>
        </w:tc>
      </w:tr>
      <w:tr w:rsidR="00A026BF" w14:paraId="1E0B8116" w14:textId="77777777" w:rsidTr="00F0215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8F504B4" w14:textId="77777777" w:rsidR="00A026BF" w:rsidRDefault="00A026BF" w:rsidP="00F0215E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Archivo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actividad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</w:p>
          <w:p w14:paraId="5AC23DB6" w14:textId="77777777" w:rsidR="00A026BF" w:rsidRDefault="00A026BF" w:rsidP="00F0215E">
            <w:pPr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(Anexo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donde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se describe la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actividad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propuesta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8C66487" w14:textId="77777777" w:rsidR="00A026BF" w:rsidRDefault="00A026BF" w:rsidP="00F0215E">
            <w:pPr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Anexo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documento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en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Word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llamado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Actividad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didáctica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1</w:t>
            </w:r>
          </w:p>
        </w:tc>
      </w:tr>
    </w:tbl>
    <w:p w14:paraId="3A63EE00" w14:textId="77777777" w:rsidR="00A026BF" w:rsidRDefault="00A026BF" w:rsidP="00A026BF"/>
    <w:p w14:paraId="26AE5B01" w14:textId="77777777" w:rsidR="00A026BF" w:rsidRDefault="00A026BF" w:rsidP="00A026BF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Desarrollo de la </w:t>
      </w:r>
      <w:proofErr w:type="spellStart"/>
      <w:r>
        <w:rPr>
          <w:rFonts w:ascii="Calibri" w:eastAsia="Calibri" w:hAnsi="Calibri" w:cs="Calibri"/>
          <w:color w:val="000000"/>
        </w:rPr>
        <w:t>actividad</w:t>
      </w:r>
      <w:proofErr w:type="spellEnd"/>
      <w:r>
        <w:rPr>
          <w:rFonts w:ascii="Calibri" w:eastAsia="Calibri" w:hAnsi="Calibri" w:cs="Calibri"/>
          <w:color w:val="000000"/>
        </w:rPr>
        <w:t>:</w:t>
      </w:r>
    </w:p>
    <w:p w14:paraId="09E60983" w14:textId="77777777" w:rsidR="00A026BF" w:rsidRDefault="00A026BF" w:rsidP="00A026BF">
      <w:pPr>
        <w:rPr>
          <w:rFonts w:ascii="Calibri" w:eastAsia="Calibri" w:hAnsi="Calibri" w:cs="Calibri"/>
          <w:color w:val="000000"/>
        </w:rPr>
      </w:pPr>
    </w:p>
    <w:p w14:paraId="59079964" w14:textId="77777777" w:rsidR="00A026BF" w:rsidRDefault="00A026BF" w:rsidP="00A026BF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La </w:t>
      </w:r>
      <w:proofErr w:type="spellStart"/>
      <w:r>
        <w:rPr>
          <w:rFonts w:ascii="Calibri" w:eastAsia="Calibri" w:hAnsi="Calibri" w:cs="Calibri"/>
          <w:color w:val="000000"/>
        </w:rPr>
        <w:t>actividad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planteada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consiste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organizar</w:t>
      </w:r>
      <w:proofErr w:type="spellEnd"/>
      <w:r>
        <w:rPr>
          <w:rFonts w:ascii="Calibri" w:eastAsia="Calibri" w:hAnsi="Calibri" w:cs="Calibri"/>
          <w:color w:val="000000"/>
        </w:rPr>
        <w:t xml:space="preserve"> dos </w:t>
      </w:r>
      <w:proofErr w:type="spellStart"/>
      <w:r>
        <w:rPr>
          <w:rFonts w:ascii="Calibri" w:eastAsia="Calibri" w:hAnsi="Calibri" w:cs="Calibri"/>
          <w:color w:val="000000"/>
        </w:rPr>
        <w:t>columnas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una</w:t>
      </w:r>
      <w:proofErr w:type="spellEnd"/>
      <w:r>
        <w:rPr>
          <w:rFonts w:ascii="Calibri" w:eastAsia="Calibri" w:hAnsi="Calibri" w:cs="Calibri"/>
          <w:color w:val="000000"/>
        </w:rPr>
        <w:t xml:space="preserve"> se </w:t>
      </w:r>
      <w:proofErr w:type="spellStart"/>
      <w:r>
        <w:rPr>
          <w:rFonts w:ascii="Calibri" w:eastAsia="Calibri" w:hAnsi="Calibri" w:cs="Calibri"/>
          <w:color w:val="000000"/>
        </w:rPr>
        <w:t>deben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poner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los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términos</w:t>
      </w:r>
      <w:proofErr w:type="spellEnd"/>
      <w:r>
        <w:rPr>
          <w:rFonts w:ascii="Calibri" w:eastAsia="Calibri" w:hAnsi="Calibri" w:cs="Calibri"/>
          <w:color w:val="000000"/>
        </w:rPr>
        <w:t xml:space="preserve"> y </w:t>
      </w:r>
      <w:proofErr w:type="spellStart"/>
      <w:r>
        <w:rPr>
          <w:rFonts w:ascii="Calibri" w:eastAsia="Calibri" w:hAnsi="Calibri" w:cs="Calibri"/>
          <w:color w:val="000000"/>
        </w:rPr>
        <w:t>en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otra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columna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aparte</w:t>
      </w:r>
      <w:proofErr w:type="spellEnd"/>
      <w:r>
        <w:rPr>
          <w:rFonts w:ascii="Calibri" w:eastAsia="Calibri" w:hAnsi="Calibri" w:cs="Calibri"/>
          <w:color w:val="000000"/>
        </w:rPr>
        <w:t xml:space="preserve"> las </w:t>
      </w:r>
      <w:proofErr w:type="spellStart"/>
      <w:r>
        <w:rPr>
          <w:rFonts w:ascii="Calibri" w:eastAsia="Calibri" w:hAnsi="Calibri" w:cs="Calibri"/>
          <w:color w:val="000000"/>
        </w:rPr>
        <w:t>definiciones</w:t>
      </w:r>
      <w:proofErr w:type="spellEnd"/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</w:rPr>
        <w:t>el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objetivo</w:t>
      </w:r>
      <w:proofErr w:type="spellEnd"/>
      <w:r>
        <w:rPr>
          <w:rFonts w:ascii="Calibri" w:eastAsia="Calibri" w:hAnsi="Calibri" w:cs="Calibri"/>
          <w:color w:val="000000"/>
        </w:rPr>
        <w:t xml:space="preserve"> es que </w:t>
      </w:r>
      <w:proofErr w:type="spellStart"/>
      <w:r>
        <w:rPr>
          <w:rFonts w:ascii="Calibri" w:eastAsia="Calibri" w:hAnsi="Calibri" w:cs="Calibri"/>
          <w:color w:val="000000"/>
        </w:rPr>
        <w:t>el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aprendiz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haga</w:t>
      </w:r>
      <w:proofErr w:type="spellEnd"/>
      <w:r>
        <w:rPr>
          <w:rFonts w:ascii="Calibri" w:eastAsia="Calibri" w:hAnsi="Calibri" w:cs="Calibri"/>
          <w:color w:val="000000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</w:rPr>
        <w:t>unión</w:t>
      </w:r>
      <w:proofErr w:type="spellEnd"/>
      <w:r>
        <w:rPr>
          <w:rFonts w:ascii="Calibri" w:eastAsia="Calibri" w:hAnsi="Calibri" w:cs="Calibri"/>
          <w:color w:val="000000"/>
        </w:rPr>
        <w:t xml:space="preserve"> entre </w:t>
      </w:r>
      <w:proofErr w:type="spellStart"/>
      <w:r>
        <w:rPr>
          <w:rFonts w:ascii="Calibri" w:eastAsia="Calibri" w:hAnsi="Calibri" w:cs="Calibri"/>
        </w:rPr>
        <w:t>término</w:t>
      </w:r>
      <w:proofErr w:type="spellEnd"/>
      <w:r>
        <w:rPr>
          <w:rFonts w:ascii="Calibri" w:eastAsia="Calibri" w:hAnsi="Calibri" w:cs="Calibri"/>
          <w:color w:val="000000"/>
        </w:rPr>
        <w:t xml:space="preserve"> y </w:t>
      </w:r>
      <w:proofErr w:type="spellStart"/>
      <w:r>
        <w:rPr>
          <w:rFonts w:ascii="Calibri" w:eastAsia="Calibri" w:hAnsi="Calibri" w:cs="Calibri"/>
          <w:color w:val="000000"/>
        </w:rPr>
        <w:t>definición</w:t>
      </w:r>
      <w:proofErr w:type="spellEnd"/>
      <w:r>
        <w:rPr>
          <w:rFonts w:ascii="Calibri" w:eastAsia="Calibri" w:hAnsi="Calibri" w:cs="Calibri"/>
          <w:color w:val="000000"/>
        </w:rPr>
        <w:t xml:space="preserve">, de </w:t>
      </w:r>
      <w:proofErr w:type="spellStart"/>
      <w:r>
        <w:rPr>
          <w:rFonts w:ascii="Calibri" w:eastAsia="Calibri" w:hAnsi="Calibri" w:cs="Calibri"/>
          <w:color w:val="000000"/>
        </w:rPr>
        <w:t>esta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manera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podrá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hacer</w:t>
      </w:r>
      <w:proofErr w:type="spellEnd"/>
      <w:r>
        <w:rPr>
          <w:rFonts w:ascii="Calibri" w:eastAsia="Calibri" w:hAnsi="Calibri" w:cs="Calibri"/>
          <w:color w:val="000000"/>
        </w:rPr>
        <w:t xml:space="preserve"> un </w:t>
      </w:r>
      <w:proofErr w:type="spellStart"/>
      <w:r>
        <w:rPr>
          <w:rFonts w:ascii="Calibri" w:eastAsia="Calibri" w:hAnsi="Calibri" w:cs="Calibri"/>
          <w:color w:val="000000"/>
        </w:rPr>
        <w:t>repaso</w:t>
      </w:r>
      <w:proofErr w:type="spellEnd"/>
      <w:r>
        <w:rPr>
          <w:rFonts w:ascii="Calibri" w:eastAsia="Calibri" w:hAnsi="Calibri" w:cs="Calibri"/>
          <w:color w:val="000000"/>
        </w:rPr>
        <w:t xml:space="preserve"> general del </w:t>
      </w:r>
      <w:proofErr w:type="spellStart"/>
      <w:r>
        <w:rPr>
          <w:rFonts w:ascii="Calibri" w:eastAsia="Calibri" w:hAnsi="Calibri" w:cs="Calibri"/>
          <w:color w:val="000000"/>
        </w:rPr>
        <w:t>desarrollo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este</w:t>
      </w:r>
      <w:proofErr w:type="spellEnd"/>
      <w:r>
        <w:rPr>
          <w:rFonts w:ascii="Calibri" w:eastAsia="Calibri" w:hAnsi="Calibri" w:cs="Calibri"/>
          <w:color w:val="000000"/>
        </w:rPr>
        <w:t xml:space="preserve"> primer </w:t>
      </w:r>
      <w:proofErr w:type="spellStart"/>
      <w:r>
        <w:rPr>
          <w:rFonts w:ascii="Calibri" w:eastAsia="Calibri" w:hAnsi="Calibri" w:cs="Calibri"/>
          <w:color w:val="000000"/>
        </w:rPr>
        <w:t>componente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formativo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13947104" w14:textId="77777777" w:rsidR="00A026BF" w:rsidRDefault="00A026BF" w:rsidP="00A026BF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Término</w:t>
      </w:r>
      <w:proofErr w:type="spellEnd"/>
      <w:r>
        <w:rPr>
          <w:rFonts w:ascii="Calibri" w:eastAsia="Calibri" w:hAnsi="Calibri" w:cs="Calibri"/>
        </w:rPr>
        <w:t xml:space="preserve">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</w:rPr>
        <w:t>Definición</w:t>
      </w:r>
      <w:proofErr w:type="spellEnd"/>
      <w:r>
        <w:rPr>
          <w:rFonts w:ascii="Calibri" w:eastAsia="Calibri" w:hAnsi="Calibri" w:cs="Calibri"/>
        </w:rPr>
        <w:t xml:space="preserve">  </w:t>
      </w:r>
    </w:p>
    <w:tbl>
      <w:tblPr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0"/>
        <w:gridCol w:w="476"/>
        <w:gridCol w:w="879"/>
        <w:gridCol w:w="4263"/>
      </w:tblGrid>
      <w:tr w:rsidR="00A026BF" w14:paraId="4DD92284" w14:textId="77777777" w:rsidTr="00F0215E">
        <w:trPr>
          <w:trHeight w:val="1200"/>
        </w:trPr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05835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CapEx</w:t>
            </w:r>
            <w:proofErr w:type="spell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B41C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5B42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B895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a.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Representa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el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volumen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total de gases de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efecto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invernadero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(GEI) que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producen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actividades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económicas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cotidianas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 xml:space="preserve"> del ser </w:t>
            </w:r>
            <w:proofErr w:type="spellStart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humano</w:t>
            </w:r>
            <w:proofErr w:type="spellEnd"/>
            <w:r>
              <w:rPr>
                <w:rFonts w:ascii="Calibri" w:eastAsia="Calibri" w:hAnsi="Calibri" w:cs="Calibri"/>
                <w:b/>
                <w:color w:val="C55A11"/>
                <w:sz w:val="20"/>
                <w:szCs w:val="20"/>
              </w:rPr>
              <w:t>.</w:t>
            </w:r>
          </w:p>
        </w:tc>
      </w:tr>
      <w:tr w:rsidR="00A026BF" w14:paraId="166A2EF5" w14:textId="77777777" w:rsidTr="00F0215E">
        <w:trPr>
          <w:trHeight w:val="390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FB7F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2F5597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color w:val="2F5597"/>
                <w:sz w:val="20"/>
                <w:szCs w:val="20"/>
              </w:rPr>
              <w:t>GCP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ECF0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76B2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7DC1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b/>
                <w:color w:val="2F5597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2F5597"/>
              </w:rPr>
              <w:t>b.</w:t>
            </w:r>
            <w:r>
              <w:rPr>
                <w:rFonts w:ascii="Times New Roman" w:eastAsia="Times New Roman" w:hAnsi="Times New Roman" w:cs="Times New Roman"/>
                <w:color w:val="2F5597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2F5597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b/>
                <w:color w:val="2F5597"/>
                <w:sz w:val="20"/>
                <w:szCs w:val="20"/>
              </w:rPr>
              <w:t>Google Cloud Platform</w:t>
            </w:r>
          </w:p>
        </w:tc>
      </w:tr>
      <w:tr w:rsidR="00A026BF" w14:paraId="796F1530" w14:textId="77777777" w:rsidTr="00F0215E">
        <w:trPr>
          <w:trHeight w:val="1145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1851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OpEx</w:t>
            </w:r>
            <w:proofErr w:type="spell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8E74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C65E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8E6E7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c.</w:t>
            </w:r>
            <w:r>
              <w:rPr>
                <w:rFonts w:ascii="Calibri" w:eastAsia="Calibri" w:hAnsi="Calibri" w:cs="Calibri"/>
                <w:color w:val="FFC000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color w:val="FFC000"/>
                <w:sz w:val="14"/>
                <w:szCs w:val="14"/>
              </w:rPr>
              <w:tab/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Trabajo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equipo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colaborativo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y la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integración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entre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diferentes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recursos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tecnológicos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permiten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potenciar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maximizar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el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potencial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 xml:space="preserve"> de las redes de </w:t>
            </w:r>
            <w:proofErr w:type="spellStart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datos</w:t>
            </w:r>
            <w:proofErr w:type="spellEnd"/>
            <w:r>
              <w:rPr>
                <w:rFonts w:ascii="Calibri" w:eastAsia="Calibri" w:hAnsi="Calibri" w:cs="Calibri"/>
                <w:b/>
                <w:color w:val="FFC000"/>
                <w:sz w:val="20"/>
                <w:szCs w:val="20"/>
              </w:rPr>
              <w:t>.</w:t>
            </w:r>
          </w:p>
        </w:tc>
      </w:tr>
      <w:tr w:rsidR="00A026BF" w14:paraId="3F8A5826" w14:textId="77777777" w:rsidTr="00F0215E">
        <w:trPr>
          <w:trHeight w:val="980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CDA82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92D05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4.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color w:val="92D050"/>
              </w:rPr>
              <w:t>SOC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1AB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7228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5E3F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d.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Es un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gasto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recurrente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podría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dotar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a la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compañía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agilidad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de usar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fondos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otras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inversiones</w:t>
            </w:r>
            <w:proofErr w:type="spellEnd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rentables</w:t>
            </w:r>
            <w:proofErr w:type="spellEnd"/>
          </w:p>
        </w:tc>
      </w:tr>
      <w:tr w:rsidR="00A026BF" w14:paraId="70B52FE2" w14:textId="77777777" w:rsidTr="00F0215E">
        <w:trPr>
          <w:trHeight w:val="740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8BA9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C55A1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C55A11"/>
                <w:sz w:val="20"/>
                <w:szCs w:val="20"/>
              </w:rPr>
              <w:t>Huella</w:t>
            </w:r>
            <w:proofErr w:type="spellEnd"/>
            <w:r>
              <w:rPr>
                <w:rFonts w:ascii="Calibri" w:eastAsia="Calibri" w:hAnsi="Calibri" w:cs="Calibri"/>
                <w:color w:val="C55A1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C55A11"/>
                <w:sz w:val="20"/>
                <w:szCs w:val="20"/>
              </w:rPr>
              <w:t>Carbono</w:t>
            </w:r>
            <w:proofErr w:type="spell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B4C6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9FCBA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3B85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CC00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CC00FF"/>
              </w:rPr>
              <w:t>e.</w:t>
            </w:r>
            <w:r>
              <w:rPr>
                <w:rFonts w:ascii="Times New Roman" w:eastAsia="Times New Roman" w:hAnsi="Times New Roman" w:cs="Times New Roman"/>
                <w:color w:val="CC00FF"/>
                <w:sz w:val="14"/>
                <w:szCs w:val="14"/>
              </w:rPr>
              <w:t xml:space="preserve">       </w:t>
            </w:r>
            <w:proofErr w:type="spellStart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>Servicios</w:t>
            </w:r>
            <w:proofErr w:type="spellEnd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>computación</w:t>
            </w:r>
            <w:proofErr w:type="spellEnd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 xml:space="preserve"> la </w:t>
            </w:r>
            <w:proofErr w:type="spellStart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>nube</w:t>
            </w:r>
            <w:proofErr w:type="spellEnd"/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 xml:space="preserve"> de Microsoft</w:t>
            </w:r>
          </w:p>
        </w:tc>
      </w:tr>
      <w:tr w:rsidR="00A026BF" w14:paraId="71A4C534" w14:textId="77777777" w:rsidTr="00F0215E">
        <w:trPr>
          <w:trHeight w:val="500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F7BF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7030A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 </w:t>
            </w:r>
            <w:r>
              <w:rPr>
                <w:rFonts w:ascii="Calibri" w:eastAsia="Calibri" w:hAnsi="Calibri" w:cs="Calibri"/>
                <w:color w:val="7030A0"/>
                <w:sz w:val="20"/>
                <w:szCs w:val="20"/>
              </w:rPr>
              <w:t>Redes de Datos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3F6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0BA9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1D53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00669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6699"/>
                <w:sz w:val="20"/>
                <w:szCs w:val="20"/>
              </w:rPr>
              <w:t>f.</w:t>
            </w:r>
            <w:r>
              <w:rPr>
                <w:rFonts w:ascii="Calibri" w:eastAsia="Calibri" w:hAnsi="Calibri" w:cs="Calibri"/>
                <w:color w:val="006699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  <w:color w:val="006699"/>
                <w:sz w:val="14"/>
                <w:szCs w:val="14"/>
              </w:rPr>
              <w:tab/>
            </w:r>
            <w:proofErr w:type="spellStart"/>
            <w:r>
              <w:rPr>
                <w:rFonts w:ascii="Calibri" w:eastAsia="Calibri" w:hAnsi="Calibri" w:cs="Calibri"/>
                <w:color w:val="006699"/>
                <w:sz w:val="20"/>
                <w:szCs w:val="20"/>
              </w:rPr>
              <w:t>Organización</w:t>
            </w:r>
            <w:proofErr w:type="spellEnd"/>
            <w:r>
              <w:rPr>
                <w:rFonts w:ascii="Calibri" w:eastAsia="Calibri" w:hAnsi="Calibri" w:cs="Calibri"/>
                <w:color w:val="006699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6699"/>
                <w:sz w:val="20"/>
                <w:szCs w:val="20"/>
              </w:rPr>
              <w:t>estándares</w:t>
            </w:r>
            <w:proofErr w:type="spellEnd"/>
            <w:r>
              <w:rPr>
                <w:rFonts w:ascii="Calibri" w:eastAsia="Calibri" w:hAnsi="Calibri" w:cs="Calibri"/>
                <w:color w:val="006699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6699"/>
                <w:sz w:val="20"/>
                <w:szCs w:val="20"/>
              </w:rPr>
              <w:t>internacionales</w:t>
            </w:r>
            <w:proofErr w:type="spellEnd"/>
          </w:p>
        </w:tc>
      </w:tr>
      <w:tr w:rsidR="00A026BF" w14:paraId="01A25BC7" w14:textId="77777777" w:rsidTr="00F0215E">
        <w:trPr>
          <w:trHeight w:val="515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E43BD" w14:textId="77777777" w:rsidR="00A026BF" w:rsidRDefault="00A026BF" w:rsidP="00F0215E">
            <w:pPr>
              <w:spacing w:before="240" w:after="240"/>
              <w:ind w:left="360"/>
              <w:rPr>
                <w:rFonts w:ascii="Calibri" w:eastAsia="Calibri" w:hAnsi="Calibri" w:cs="Calibri"/>
                <w:color w:val="FFC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color w:val="FFC000"/>
                <w:sz w:val="20"/>
                <w:szCs w:val="20"/>
              </w:rPr>
              <w:t>Networking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A092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E4FE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AC9F5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g.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proofErr w:type="spellStart"/>
            <w:r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  <w:t>Auditoría</w:t>
            </w:r>
            <w:proofErr w:type="spellEnd"/>
            <w:r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  <w:t>Controles</w:t>
            </w:r>
            <w:proofErr w:type="spellEnd"/>
            <w:r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92D050"/>
                <w:sz w:val="20"/>
                <w:szCs w:val="20"/>
              </w:rPr>
              <w:t>Servicio</w:t>
            </w:r>
            <w:proofErr w:type="spellEnd"/>
          </w:p>
        </w:tc>
      </w:tr>
      <w:tr w:rsidR="00A026BF" w14:paraId="7D1B111D" w14:textId="77777777" w:rsidTr="00F0215E">
        <w:trPr>
          <w:trHeight w:val="980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955E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FF99CC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color w:val="FF99CC"/>
                <w:sz w:val="20"/>
                <w:szCs w:val="20"/>
              </w:rPr>
              <w:t xml:space="preserve">Nube </w:t>
            </w:r>
            <w:proofErr w:type="spellStart"/>
            <w:r>
              <w:rPr>
                <w:rFonts w:ascii="Calibri" w:eastAsia="Calibri" w:hAnsi="Calibri" w:cs="Calibri"/>
                <w:color w:val="FF99CC"/>
                <w:sz w:val="20"/>
                <w:szCs w:val="20"/>
              </w:rPr>
              <w:t>Híbrida</w:t>
            </w:r>
            <w:proofErr w:type="spellEnd"/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25B4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40DD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02ED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h.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En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los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sistemas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 TI es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inversión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a largo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plazo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inmoviliza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gran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suma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de dinero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una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sola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inversión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.</w:t>
            </w:r>
          </w:p>
        </w:tc>
      </w:tr>
      <w:tr w:rsidR="00A026BF" w14:paraId="1117E5E9" w14:textId="77777777" w:rsidTr="00F0215E">
        <w:trPr>
          <w:trHeight w:val="1145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8FA2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00999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</w:t>
            </w:r>
            <w:r>
              <w:rPr>
                <w:rFonts w:ascii="Calibri" w:eastAsia="Calibri" w:hAnsi="Calibri" w:cs="Calibri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color w:val="009999"/>
                <w:sz w:val="20"/>
                <w:szCs w:val="20"/>
              </w:rPr>
              <w:t>ISO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E455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A90B5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E44F3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i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.</w:t>
            </w:r>
            <w:r>
              <w:rPr>
                <w:rFonts w:ascii="Calibri" w:eastAsia="Calibri" w:hAnsi="Calibri" w:cs="Calibri"/>
                <w:color w:val="7030A0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  <w:color w:val="7030A0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Conjunto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equipos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conectados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por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medio de cables,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señales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ondas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cualquier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otro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método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transporte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datos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, para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compartir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información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recursos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servicios</w:t>
            </w:r>
            <w:proofErr w:type="spellEnd"/>
            <w:r>
              <w:rPr>
                <w:rFonts w:ascii="Calibri" w:eastAsia="Calibri" w:hAnsi="Calibri" w:cs="Calibri"/>
                <w:b/>
                <w:color w:val="7030A0"/>
                <w:sz w:val="20"/>
                <w:szCs w:val="20"/>
              </w:rPr>
              <w:t>.</w:t>
            </w:r>
          </w:p>
        </w:tc>
      </w:tr>
      <w:tr w:rsidR="00A026BF" w14:paraId="54180E62" w14:textId="77777777" w:rsidTr="00F0215E">
        <w:trPr>
          <w:trHeight w:val="725"/>
        </w:trPr>
        <w:tc>
          <w:tcPr>
            <w:tcW w:w="32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E7FF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  <w:color w:val="CC00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  <w:color w:val="CC00FF"/>
                <w:sz w:val="20"/>
                <w:szCs w:val="20"/>
              </w:rPr>
              <w:t>Azure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FEFE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62EA" w14:textId="77777777" w:rsidR="00A026BF" w:rsidRDefault="00A026BF" w:rsidP="00F0215E">
            <w:pPr>
              <w:spacing w:before="240" w:after="24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2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D8299" w14:textId="77777777" w:rsidR="00A026BF" w:rsidRDefault="00A026BF" w:rsidP="00F0215E">
            <w:pPr>
              <w:spacing w:before="240" w:after="240"/>
              <w:ind w:left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99CC"/>
                <w:sz w:val="20"/>
                <w:szCs w:val="20"/>
              </w:rPr>
              <w:t>j.</w:t>
            </w:r>
            <w:r>
              <w:rPr>
                <w:rFonts w:ascii="Calibri" w:eastAsia="Calibri" w:hAnsi="Calibri" w:cs="Calibri"/>
                <w:color w:val="FF99CC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  <w:color w:val="FF99CC"/>
                <w:sz w:val="14"/>
                <w:szCs w:val="14"/>
              </w:rPr>
              <w:tab/>
            </w:r>
            <w:r>
              <w:rPr>
                <w:rFonts w:ascii="Calibri" w:eastAsia="Calibri" w:hAnsi="Calibri" w:cs="Calibri"/>
                <w:color w:val="FF99CC"/>
                <w:sz w:val="20"/>
                <w:szCs w:val="20"/>
                <w:highlight w:val="white"/>
              </w:rPr>
              <w:t xml:space="preserve">Describe </w:t>
            </w:r>
            <w:proofErr w:type="spellStart"/>
            <w:r>
              <w:rPr>
                <w:rFonts w:ascii="Calibri" w:eastAsia="Calibri" w:hAnsi="Calibri" w:cs="Calibri"/>
                <w:color w:val="FF99CC"/>
                <w:sz w:val="20"/>
                <w:szCs w:val="20"/>
                <w:highlight w:val="white"/>
              </w:rPr>
              <w:t>el</w:t>
            </w:r>
            <w:proofErr w:type="spellEnd"/>
            <w:r>
              <w:rPr>
                <w:rFonts w:ascii="Calibri" w:eastAsia="Calibri" w:hAnsi="Calibri" w:cs="Calibri"/>
                <w:color w:val="FF99CC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FF99CC"/>
                <w:sz w:val="20"/>
                <w:szCs w:val="20"/>
                <w:highlight w:val="white"/>
              </w:rPr>
              <w:t>uso</w:t>
            </w:r>
            <w:proofErr w:type="spellEnd"/>
            <w:r>
              <w:rPr>
                <w:rFonts w:ascii="Calibri" w:eastAsia="Calibri" w:hAnsi="Calibri" w:cs="Calibri"/>
                <w:color w:val="FF99CC"/>
                <w:sz w:val="20"/>
                <w:szCs w:val="20"/>
                <w:highlight w:val="white"/>
              </w:rPr>
              <w:t xml:space="preserve"> conjunto de </w:t>
            </w:r>
            <w:proofErr w:type="spellStart"/>
            <w:r>
              <w:rPr>
                <w:rFonts w:ascii="Calibri" w:eastAsia="Calibri" w:hAnsi="Calibri" w:cs="Calibri"/>
                <w:color w:val="FF99CC"/>
                <w:sz w:val="20"/>
                <w:szCs w:val="20"/>
                <w:highlight w:val="white"/>
              </w:rPr>
              <w:t>plataformas</w:t>
            </w:r>
            <w:proofErr w:type="spellEnd"/>
            <w:r>
              <w:rPr>
                <w:rFonts w:ascii="Calibri" w:eastAsia="Calibri" w:hAnsi="Calibri" w:cs="Calibri"/>
                <w:color w:val="FF99CC"/>
                <w:sz w:val="20"/>
                <w:szCs w:val="20"/>
                <w:highlight w:val="white"/>
              </w:rPr>
              <w:t xml:space="preserve"> tanto de </w:t>
            </w:r>
            <w:proofErr w:type="spellStart"/>
            <w:r>
              <w:rPr>
                <w:rFonts w:ascii="Calibri" w:eastAsia="Calibri" w:hAnsi="Calibri" w:cs="Calibri"/>
                <w:b/>
              </w:rPr>
              <w:t>nube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pública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como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privada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</w:tbl>
    <w:p w14:paraId="39ECA789" w14:textId="77777777" w:rsidR="00A026BF" w:rsidRDefault="00A026BF" w:rsidP="00A026BF">
      <w:pPr>
        <w:spacing w:before="240" w:after="24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6E3F5C1" w14:textId="77777777" w:rsidR="00A026BF" w:rsidRDefault="00A026BF" w:rsidP="00A026B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3257D5CA" w14:textId="77777777" w:rsidR="00A026BF" w:rsidRDefault="00A026BF" w:rsidP="00A026BF">
      <w:pPr>
        <w:spacing w:before="240" w:after="240"/>
        <w:rPr>
          <w:rFonts w:ascii="Calibri" w:eastAsia="Calibri" w:hAnsi="Calibri" w:cs="Calibri"/>
          <w:b/>
          <w:color w:val="FF0000"/>
        </w:rPr>
      </w:pPr>
      <w:proofErr w:type="spellStart"/>
      <w:r>
        <w:rPr>
          <w:rFonts w:ascii="Calibri" w:eastAsia="Calibri" w:hAnsi="Calibri" w:cs="Calibri"/>
          <w:b/>
          <w:color w:val="FF0000"/>
        </w:rPr>
        <w:t>Equipo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de </w:t>
      </w:r>
      <w:proofErr w:type="spellStart"/>
      <w:r>
        <w:rPr>
          <w:rFonts w:ascii="Calibri" w:eastAsia="Calibri" w:hAnsi="Calibri" w:cs="Calibri"/>
          <w:b/>
          <w:color w:val="FF0000"/>
        </w:rPr>
        <w:t>producción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, para mayor </w:t>
      </w:r>
      <w:proofErr w:type="spellStart"/>
      <w:r>
        <w:rPr>
          <w:rFonts w:ascii="Calibri" w:eastAsia="Calibri" w:hAnsi="Calibri" w:cs="Calibri"/>
          <w:b/>
          <w:color w:val="FF0000"/>
        </w:rPr>
        <w:t>claridad</w:t>
      </w:r>
      <w:proofErr w:type="spellEnd"/>
      <w:r>
        <w:rPr>
          <w:rFonts w:ascii="Calibri" w:eastAsia="Calibri" w:hAnsi="Calibri" w:cs="Calibri"/>
          <w:b/>
          <w:color w:val="FF0000"/>
        </w:rPr>
        <w:t xml:space="preserve"> de las </w:t>
      </w:r>
      <w:proofErr w:type="spellStart"/>
      <w:r>
        <w:rPr>
          <w:rFonts w:ascii="Calibri" w:eastAsia="Calibri" w:hAnsi="Calibri" w:cs="Calibri"/>
          <w:b/>
          <w:color w:val="FF0000"/>
        </w:rPr>
        <w:t>respuestas</w:t>
      </w:r>
      <w:proofErr w:type="spellEnd"/>
      <w:r>
        <w:rPr>
          <w:rFonts w:ascii="Calibri" w:eastAsia="Calibri" w:hAnsi="Calibri" w:cs="Calibri"/>
          <w:b/>
          <w:color w:val="FF0000"/>
        </w:rPr>
        <w:t>:</w:t>
      </w:r>
    </w:p>
    <w:p w14:paraId="6EB176B4" w14:textId="77777777" w:rsidR="00A026BF" w:rsidRDefault="00A026BF" w:rsidP="00A026B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tbl>
      <w:tblPr>
        <w:tblW w:w="2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660"/>
        <w:gridCol w:w="810"/>
      </w:tblGrid>
      <w:tr w:rsidR="00A026BF" w14:paraId="09F07E44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3CCCE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C696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5AD5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h.</w:t>
            </w:r>
          </w:p>
        </w:tc>
      </w:tr>
      <w:tr w:rsidR="00A026BF" w14:paraId="2FAC401A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A4DB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96191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C2C0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</w:t>
            </w:r>
          </w:p>
        </w:tc>
      </w:tr>
      <w:tr w:rsidR="00A026BF" w14:paraId="42BDAFD8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0520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9B1B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25A9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d.</w:t>
            </w:r>
          </w:p>
        </w:tc>
      </w:tr>
      <w:tr w:rsidR="00A026BF" w14:paraId="098B0CCF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B73B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0A08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A634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g.</w:t>
            </w:r>
          </w:p>
        </w:tc>
      </w:tr>
      <w:tr w:rsidR="00A026BF" w14:paraId="11F27AC8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149A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22A7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17D0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a.</w:t>
            </w:r>
          </w:p>
        </w:tc>
      </w:tr>
      <w:tr w:rsidR="00A026BF" w14:paraId="518695AC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F392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E241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DCFC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026BF" w14:paraId="355B460A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D76E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58AC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A3CB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</w:t>
            </w:r>
          </w:p>
        </w:tc>
      </w:tr>
      <w:tr w:rsidR="00A026BF" w14:paraId="1380EA88" w14:textId="77777777" w:rsidTr="00F0215E">
        <w:trPr>
          <w:trHeight w:val="500"/>
        </w:trPr>
        <w:tc>
          <w:tcPr>
            <w:tcW w:w="9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B651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FC3F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9C6EB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j.</w:t>
            </w:r>
          </w:p>
        </w:tc>
      </w:tr>
      <w:tr w:rsidR="00A026BF" w14:paraId="5FAB31F0" w14:textId="77777777" w:rsidTr="00F0215E">
        <w:trPr>
          <w:trHeight w:val="485"/>
        </w:trPr>
        <w:tc>
          <w:tcPr>
            <w:tcW w:w="945" w:type="dxa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22FFB" w14:textId="77777777" w:rsidR="00A026BF" w:rsidRDefault="00A026BF" w:rsidP="00F0215E">
            <w:pPr>
              <w:spacing w:before="240" w:after="240"/>
              <w:ind w:left="88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7A272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single" w:sz="8" w:space="0" w:color="FFFFFF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EFB1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f.</w:t>
            </w:r>
          </w:p>
        </w:tc>
      </w:tr>
      <w:tr w:rsidR="00A026BF" w14:paraId="091F1530" w14:textId="77777777" w:rsidTr="00F0215E">
        <w:trPr>
          <w:trHeight w:val="485"/>
        </w:trPr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BFD2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10.</w:t>
            </w:r>
            <w:r>
              <w:rPr>
                <w:rFonts w:ascii="Calibri" w:eastAsia="Calibri" w:hAnsi="Calibri" w:cs="Calibri"/>
                <w:sz w:val="14"/>
                <w:szCs w:val="14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A9E3" w14:textId="77777777" w:rsidR="00A026BF" w:rsidRDefault="00A026BF" w:rsidP="00F0215E">
            <w:pPr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5810" w14:textId="77777777" w:rsidR="00A026BF" w:rsidRDefault="00A026BF" w:rsidP="00F0215E">
            <w:pPr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e.</w:t>
            </w:r>
          </w:p>
        </w:tc>
      </w:tr>
    </w:tbl>
    <w:p w14:paraId="087C8ED5" w14:textId="77777777" w:rsidR="00A026BF" w:rsidRDefault="00A026BF" w:rsidP="00A026B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80444B" w14:textId="77777777" w:rsidR="00A026BF" w:rsidRDefault="00A026BF" w:rsidP="00A026B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Realimentaciones</w:t>
      </w:r>
      <w:proofErr w:type="spellEnd"/>
    </w:p>
    <w:p w14:paraId="2CC8AC97" w14:textId="77777777" w:rsidR="00A026BF" w:rsidRDefault="00A026BF" w:rsidP="00A026BF">
      <w:pPr>
        <w:spacing w:before="24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Positiva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Felicitaciones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evidencias</w:t>
      </w:r>
      <w:proofErr w:type="spellEnd"/>
      <w:r>
        <w:rPr>
          <w:rFonts w:ascii="Calibri" w:eastAsia="Calibri" w:hAnsi="Calibri" w:cs="Calibri"/>
        </w:rPr>
        <w:t xml:space="preserve"> la </w:t>
      </w:r>
      <w:proofErr w:type="spellStart"/>
      <w:r>
        <w:rPr>
          <w:rFonts w:ascii="Calibri" w:eastAsia="Calibri" w:hAnsi="Calibri" w:cs="Calibri"/>
        </w:rPr>
        <w:t>adquisición</w:t>
      </w:r>
      <w:proofErr w:type="spellEnd"/>
      <w:r>
        <w:rPr>
          <w:rFonts w:ascii="Calibri" w:eastAsia="Calibri" w:hAnsi="Calibri" w:cs="Calibri"/>
        </w:rPr>
        <w:t xml:space="preserve"> del </w:t>
      </w:r>
      <w:proofErr w:type="spellStart"/>
      <w:r>
        <w:rPr>
          <w:rFonts w:ascii="Calibri" w:eastAsia="Calibri" w:hAnsi="Calibri" w:cs="Calibri"/>
        </w:rPr>
        <w:t>proceso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aprendizaje</w:t>
      </w:r>
      <w:proofErr w:type="spellEnd"/>
    </w:p>
    <w:p w14:paraId="2991F14D" w14:textId="77777777" w:rsidR="00A026BF" w:rsidRDefault="00A026BF" w:rsidP="00A026BF">
      <w:pPr>
        <w:spacing w:before="24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Negativa</w:t>
      </w:r>
      <w:proofErr w:type="spellEnd"/>
      <w:r>
        <w:rPr>
          <w:rFonts w:ascii="Calibri" w:eastAsia="Calibri" w:hAnsi="Calibri" w:cs="Calibri"/>
        </w:rPr>
        <w:t xml:space="preserve">: Es </w:t>
      </w:r>
      <w:proofErr w:type="spellStart"/>
      <w:r>
        <w:rPr>
          <w:rFonts w:ascii="Calibri" w:eastAsia="Calibri" w:hAnsi="Calibri" w:cs="Calibri"/>
        </w:rPr>
        <w:t>importante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reforzar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procesos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aprendizaje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correspondientes</w:t>
      </w:r>
      <w:proofErr w:type="spellEnd"/>
      <w:r>
        <w:rPr>
          <w:rFonts w:ascii="Calibri" w:eastAsia="Calibri" w:hAnsi="Calibri" w:cs="Calibri"/>
        </w:rPr>
        <w:t xml:space="preserve"> a la </w:t>
      </w:r>
      <w:proofErr w:type="spellStart"/>
      <w:r>
        <w:rPr>
          <w:rFonts w:ascii="Calibri" w:eastAsia="Calibri" w:hAnsi="Calibri" w:cs="Calibri"/>
        </w:rPr>
        <w:t>competencia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5EE2E5A5" w14:textId="77777777" w:rsidR="00A026BF" w:rsidRDefault="00A026BF" w:rsidP="00A026BF">
      <w:pPr>
        <w:rPr>
          <w:rFonts w:ascii="Calibri" w:eastAsia="Calibri" w:hAnsi="Calibri" w:cs="Calibri"/>
        </w:rPr>
      </w:pPr>
    </w:p>
    <w:p w14:paraId="3FAB5B5E" w14:textId="77777777" w:rsidR="007D3D1E" w:rsidRDefault="007D3D1E"/>
    <w:sectPr w:rsidR="007D3D1E" w:rsidSect="00A026BF">
      <w:headerReference w:type="default" r:id="rId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0E08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6E018E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4CC3C17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0CE13E9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382B946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hidden="0" allowOverlap="1" wp14:anchorId="360AC921" wp14:editId="56D2CEBA">
          <wp:simplePos x="0" y="0"/>
          <wp:positionH relativeFrom="margin">
            <wp:posOffset>2621280</wp:posOffset>
          </wp:positionH>
          <wp:positionV relativeFrom="page">
            <wp:posOffset>441325</wp:posOffset>
          </wp:positionV>
          <wp:extent cx="629920" cy="588645"/>
          <wp:effectExtent l="0" t="0" r="0" b="0"/>
          <wp:wrapNone/>
          <wp:docPr id="8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BF"/>
    <w:rsid w:val="007D3D1E"/>
    <w:rsid w:val="00A026BF"/>
    <w:rsid w:val="00E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17C"/>
  <w15:chartTrackingRefBased/>
  <w15:docId w15:val="{4E5DB213-28C6-4134-A089-6EAA8D99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BF"/>
    <w:pPr>
      <w:spacing w:after="0" w:line="276" w:lineRule="auto"/>
    </w:pPr>
    <w:rPr>
      <w:rFonts w:ascii="Arial" w:eastAsia="Arial" w:hAnsi="Arial" w:cs="Arial"/>
      <w:kern w:val="0"/>
      <w:lang w:val="en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026B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26B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26B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O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26B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CO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26B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CO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26B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CO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26B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CO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26B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CO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26B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CO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2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2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2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26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26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26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26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26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26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2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0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26B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02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26B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CO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026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26B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CO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026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2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CO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26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2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381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Carolina</cp:lastModifiedBy>
  <cp:revision>1</cp:revision>
  <dcterms:created xsi:type="dcterms:W3CDTF">2024-06-20T22:13:00Z</dcterms:created>
  <dcterms:modified xsi:type="dcterms:W3CDTF">2024-06-20T22:15:00Z</dcterms:modified>
</cp:coreProperties>
</file>