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15059" w:rsidRDefault="00B15059" w14:paraId="2B6C35F3" w14:textId="77777777"/>
    <w:p w:rsidR="00B92FA6" w:rsidRDefault="00B92FA6" w14:paraId="01DBCBF1" w14:textId="77777777"/>
    <w:p w:rsidR="00B92FA6" w:rsidP="00B92FA6" w:rsidRDefault="00B92FA6" w14:paraId="35FA3132" w14:textId="77777777">
      <w:pPr>
        <w:jc w:val="center"/>
        <w:rPr>
          <w:rFonts w:ascii="Arial" w:hAnsi="Arial" w:cs="Arial"/>
          <w:b/>
          <w:lang w:val="es-ES"/>
        </w:rPr>
      </w:pPr>
      <w:r w:rsidRPr="004C00F3">
        <w:rPr>
          <w:rFonts w:ascii="Arial" w:hAnsi="Arial" w:cs="Arial"/>
          <w:b/>
          <w:lang w:val="es-ES"/>
        </w:rPr>
        <w:t>GUION INTRODUCCIÓN COMPONENTE FORMATIVO 01</w:t>
      </w:r>
    </w:p>
    <w:p w:rsidRPr="00FC5FB3" w:rsidR="00B92FA6" w:rsidP="00B92FA6" w:rsidRDefault="00B92FA6" w14:paraId="18868461" w14:textId="77777777">
      <w:pPr>
        <w:jc w:val="center"/>
        <w:rPr>
          <w:rFonts w:ascii="Arial" w:hAnsi="Arial" w:cs="Arial"/>
          <w:b/>
          <w:bCs/>
          <w:lang w:val="es-ES"/>
        </w:rPr>
      </w:pPr>
    </w:p>
    <w:p w:rsidRPr="00402097" w:rsidR="00AC0BE1" w:rsidP="1972E53E" w:rsidRDefault="00B92FA6" w14:paraId="74FBDF57" w14:noSpellErr="1" w14:textId="45BDBF91">
      <w:pPr>
        <w:spacing w:after="0" w:line="276" w:lineRule="auto"/>
        <w:rPr>
          <w:rFonts w:ascii="Arial" w:hAnsi="Arial" w:cs="Arial"/>
          <w:b w:val="1"/>
          <w:bCs w:val="1"/>
          <w:sz w:val="20"/>
          <w:szCs w:val="20"/>
        </w:rPr>
      </w:pPr>
      <w:r w:rsidRPr="1972E53E" w:rsidR="00B92FA6">
        <w:rPr>
          <w:rFonts w:ascii="Arial" w:hAnsi="Arial" w:cs="Arial"/>
          <w:b w:val="1"/>
          <w:bCs w:val="1"/>
          <w:sz w:val="20"/>
          <w:szCs w:val="20"/>
          <w:lang w:val="es-ES"/>
        </w:rPr>
        <w:t>Título del video:</w:t>
      </w:r>
      <w:r w:rsidRPr="1972E53E" w:rsidR="00402097">
        <w:rPr>
          <w:rFonts w:ascii="Arial" w:hAnsi="Arial" w:cs="Arial"/>
          <w:sz w:val="20"/>
          <w:szCs w:val="20"/>
        </w:rPr>
        <w:t xml:space="preserve"> </w:t>
      </w:r>
      <w:r w:rsidRPr="1972E53E" w:rsidR="00FC5FB3">
        <w:rPr>
          <w:rFonts w:ascii="Arial" w:hAnsi="Arial" w:cs="Arial"/>
          <w:sz w:val="20"/>
          <w:szCs w:val="20"/>
          <w:lang w:val="es-ES"/>
        </w:rPr>
        <w:t>Caracterización y planeación de las actividades del geoturismo aplicad</w:t>
      </w:r>
      <w:r w:rsidRPr="1972E53E" w:rsidR="1DD6BF10">
        <w:rPr>
          <w:rFonts w:ascii="Arial" w:hAnsi="Arial" w:cs="Arial"/>
          <w:sz w:val="20"/>
          <w:szCs w:val="20"/>
          <w:lang w:val="es-ES"/>
        </w:rPr>
        <w:t>a</w:t>
      </w:r>
      <w:r w:rsidRPr="1972E53E" w:rsidR="00FC5FB3">
        <w:rPr>
          <w:rFonts w:ascii="Arial" w:hAnsi="Arial" w:cs="Arial"/>
          <w:sz w:val="20"/>
          <w:szCs w:val="20"/>
          <w:lang w:val="es-ES"/>
        </w:rPr>
        <w:t>s a los atractivos turísticos de la región.</w:t>
      </w:r>
    </w:p>
    <w:p w:rsidRPr="00FC5FB3" w:rsidR="00FC5FB3" w:rsidP="00FC5FB3" w:rsidRDefault="00AC0BE1" w14:paraId="3ACB879C" w14:textId="77777777">
      <w:pPr>
        <w:pStyle w:val="font-claude-response-body"/>
        <w:spacing w:before="0" w:beforeAutospacing="0" w:after="0" w:afterAutospacing="0" w:line="276" w:lineRule="auto"/>
        <w:rPr>
          <w:rFonts w:ascii="Arial" w:hAnsi="Arial" w:cs="Arial"/>
          <w:b/>
          <w:bCs/>
          <w:color w:val="EE0000"/>
          <w:sz w:val="20"/>
          <w:szCs w:val="20"/>
        </w:rPr>
      </w:pPr>
      <w:r w:rsidRPr="00402097">
        <w:rPr>
          <w:rFonts w:ascii="Arial" w:hAnsi="Arial" w:cs="Arial"/>
          <w:sz w:val="20"/>
          <w:szCs w:val="20"/>
        </w:rPr>
        <w:br/>
      </w:r>
      <w:r w:rsidRPr="00FC5FB3" w:rsidR="00FC5FB3">
        <w:rPr>
          <w:rFonts w:ascii="Arial" w:hAnsi="Arial" w:cs="Arial"/>
          <w:sz w:val="20"/>
          <w:szCs w:val="20"/>
        </w:rPr>
        <w:t xml:space="preserve">El </w:t>
      </w:r>
      <w:r w:rsidRPr="00FC5FB3" w:rsidR="00FC5FB3">
        <w:rPr>
          <w:rFonts w:ascii="Arial" w:hAnsi="Arial" w:cs="Arial"/>
          <w:b/>
          <w:bCs/>
          <w:color w:val="EE0000"/>
          <w:sz w:val="20"/>
          <w:szCs w:val="20"/>
        </w:rPr>
        <w:t xml:space="preserve">geoturismo </w:t>
      </w:r>
      <w:r w:rsidRPr="00FC5FB3" w:rsidR="00FC5FB3">
        <w:rPr>
          <w:rFonts w:ascii="Arial" w:hAnsi="Arial" w:cs="Arial"/>
          <w:sz w:val="20"/>
          <w:szCs w:val="20"/>
        </w:rPr>
        <w:t xml:space="preserve">representa una oportunidad para comprender el </w:t>
      </w:r>
      <w:r w:rsidRPr="00FC5FB3" w:rsidR="00FC5FB3">
        <w:rPr>
          <w:rFonts w:ascii="Arial" w:hAnsi="Arial" w:cs="Arial"/>
          <w:b/>
          <w:bCs/>
          <w:color w:val="EE0000"/>
          <w:sz w:val="20"/>
          <w:szCs w:val="20"/>
        </w:rPr>
        <w:t>territorio</w:t>
      </w:r>
      <w:r w:rsidRPr="00FC5FB3" w:rsidR="00FC5FB3">
        <w:rPr>
          <w:rFonts w:ascii="Arial" w:hAnsi="Arial" w:cs="Arial"/>
          <w:sz w:val="20"/>
          <w:szCs w:val="20"/>
        </w:rPr>
        <w:t xml:space="preserve"> desde sus componentes geológicos, paisajísticos y culturales, y proyectarlos como base de experiencias turísticas responsables. En regiones con riqueza natural y patrimonial, este enfoque permite reconocer que los </w:t>
      </w:r>
      <w:r w:rsidRPr="00FC5FB3" w:rsidR="00FC5FB3">
        <w:rPr>
          <w:rFonts w:ascii="Arial" w:hAnsi="Arial" w:cs="Arial"/>
          <w:b/>
          <w:bCs/>
          <w:color w:val="EE0000"/>
          <w:sz w:val="20"/>
          <w:szCs w:val="20"/>
        </w:rPr>
        <w:t>atractivos turísticos</w:t>
      </w:r>
      <w:r w:rsidRPr="00FC5FB3" w:rsidR="00FC5FB3">
        <w:rPr>
          <w:rFonts w:ascii="Arial" w:hAnsi="Arial" w:cs="Arial"/>
          <w:color w:val="EE0000"/>
          <w:sz w:val="20"/>
          <w:szCs w:val="20"/>
        </w:rPr>
        <w:t xml:space="preserve"> </w:t>
      </w:r>
      <w:r w:rsidRPr="00FC5FB3" w:rsidR="00FC5FB3">
        <w:rPr>
          <w:rFonts w:ascii="Arial" w:hAnsi="Arial" w:cs="Arial"/>
          <w:sz w:val="20"/>
          <w:szCs w:val="20"/>
        </w:rPr>
        <w:t xml:space="preserve">no solo se observan, sino que también se interpretan, se valoran y se gestionan con criterios de </w:t>
      </w:r>
      <w:r w:rsidRPr="00FC5FB3" w:rsidR="00FC5FB3">
        <w:rPr>
          <w:rFonts w:ascii="Arial" w:hAnsi="Arial" w:cs="Arial"/>
          <w:b/>
          <w:bCs/>
          <w:color w:val="EE0000"/>
          <w:sz w:val="20"/>
          <w:szCs w:val="20"/>
        </w:rPr>
        <w:t>sostenibilidad.</w:t>
      </w:r>
    </w:p>
    <w:p w:rsidRPr="00FC5FB3" w:rsidR="00FC5FB3" w:rsidP="00FC5FB3" w:rsidRDefault="00FC5FB3" w14:paraId="22B96B10" w14:textId="77777777">
      <w:pPr>
        <w:pStyle w:val="font-claude-response-body"/>
        <w:spacing w:before="0" w:beforeAutospacing="0" w:after="0" w:afterAutospacing="0" w:line="276" w:lineRule="auto"/>
        <w:rPr>
          <w:rFonts w:ascii="Arial" w:hAnsi="Arial" w:cs="Arial"/>
          <w:sz w:val="20"/>
          <w:szCs w:val="20"/>
        </w:rPr>
      </w:pPr>
    </w:p>
    <w:p w:rsidR="00FC5FB3" w:rsidP="00FC5FB3" w:rsidRDefault="00FC5FB3" w14:paraId="7B50AB80" w14:textId="4277368B">
      <w:pPr>
        <w:pStyle w:val="font-claude-response-body"/>
        <w:spacing w:before="0" w:beforeAutospacing="0" w:after="0" w:afterAutospacing="0" w:line="276" w:lineRule="auto"/>
        <w:rPr>
          <w:rFonts w:ascii="Arial" w:hAnsi="Arial" w:cs="Arial"/>
          <w:sz w:val="20"/>
          <w:szCs w:val="20"/>
        </w:rPr>
      </w:pPr>
      <w:r w:rsidRPr="00FC5FB3">
        <w:rPr>
          <w:rFonts w:ascii="Arial" w:hAnsi="Arial" w:cs="Arial"/>
          <w:sz w:val="20"/>
          <w:szCs w:val="20"/>
        </w:rPr>
        <w:t xml:space="preserve">En este contexto, la formación del </w:t>
      </w:r>
      <w:r w:rsidRPr="00FC5FB3">
        <w:rPr>
          <w:rFonts w:ascii="Arial" w:hAnsi="Arial" w:cs="Arial"/>
          <w:b/>
          <w:bCs/>
          <w:color w:val="EE0000"/>
          <w:sz w:val="20"/>
          <w:szCs w:val="20"/>
        </w:rPr>
        <w:t>guía de turismo</w:t>
      </w:r>
      <w:r w:rsidRPr="00FC5FB3">
        <w:rPr>
          <w:rFonts w:ascii="Arial" w:hAnsi="Arial" w:cs="Arial"/>
          <w:sz w:val="20"/>
          <w:szCs w:val="20"/>
        </w:rPr>
        <w:t xml:space="preserve"> exige una mirada técnica sobre el </w:t>
      </w:r>
      <w:r w:rsidRPr="00FC5FB3">
        <w:rPr>
          <w:rFonts w:ascii="Arial" w:hAnsi="Arial" w:cs="Arial"/>
          <w:b/>
          <w:bCs/>
          <w:color w:val="EE0000"/>
          <w:sz w:val="20"/>
          <w:szCs w:val="20"/>
        </w:rPr>
        <w:t>sistema turístico</w:t>
      </w:r>
      <w:r w:rsidRPr="00FC5FB3">
        <w:rPr>
          <w:rFonts w:ascii="Arial" w:hAnsi="Arial" w:cs="Arial"/>
          <w:sz w:val="20"/>
          <w:szCs w:val="20"/>
        </w:rPr>
        <w:t xml:space="preserve">, el </w:t>
      </w:r>
      <w:r w:rsidRPr="00FC5FB3">
        <w:rPr>
          <w:rFonts w:ascii="Arial" w:hAnsi="Arial" w:cs="Arial"/>
          <w:b/>
          <w:bCs/>
          <w:color w:val="EE0000"/>
          <w:sz w:val="20"/>
          <w:szCs w:val="20"/>
        </w:rPr>
        <w:t>patrimonio</w:t>
      </w:r>
      <w:r w:rsidRPr="00FC5FB3">
        <w:rPr>
          <w:rFonts w:ascii="Arial" w:hAnsi="Arial" w:cs="Arial"/>
          <w:sz w:val="20"/>
          <w:szCs w:val="20"/>
        </w:rPr>
        <w:t xml:space="preserve"> y los recursos del entorno. Comprender estos elementos fortalece su papel como mediador entre el visitante y el territorio, amplía sus posibilidades de desempeño laboral y aporta a propuestas turísticas con impacto económico, social y ambiental en la región.</w:t>
      </w:r>
    </w:p>
    <w:p w:rsidRPr="00FC5FB3" w:rsidR="00FC5FB3" w:rsidP="00FC5FB3" w:rsidRDefault="00FC5FB3" w14:paraId="2A343CAD" w14:textId="77777777">
      <w:pPr>
        <w:pStyle w:val="font-claude-response-body"/>
        <w:spacing w:before="0" w:beforeAutospacing="0" w:after="0" w:afterAutospacing="0" w:line="276" w:lineRule="auto"/>
        <w:rPr>
          <w:rFonts w:ascii="Arial" w:hAnsi="Arial" w:cs="Arial"/>
          <w:sz w:val="20"/>
          <w:szCs w:val="20"/>
        </w:rPr>
      </w:pPr>
    </w:p>
    <w:p w:rsidR="00FC5FB3" w:rsidP="00FC5FB3" w:rsidRDefault="00FC5FB3" w14:paraId="7ACB41E0" w14:textId="77777777">
      <w:pPr>
        <w:pStyle w:val="font-claude-response-body"/>
        <w:spacing w:before="0" w:beforeAutospacing="0" w:after="0" w:afterAutospacing="0" w:line="276" w:lineRule="auto"/>
        <w:rPr>
          <w:rFonts w:ascii="Arial" w:hAnsi="Arial" w:cs="Arial"/>
          <w:sz w:val="20"/>
          <w:szCs w:val="20"/>
        </w:rPr>
      </w:pPr>
      <w:r w:rsidRPr="00FC5FB3">
        <w:rPr>
          <w:rFonts w:ascii="Arial" w:hAnsi="Arial" w:cs="Arial"/>
          <w:sz w:val="20"/>
          <w:szCs w:val="20"/>
        </w:rPr>
        <w:t xml:space="preserve">De esta manera, se abordan los fundamentos del turismo, el </w:t>
      </w:r>
      <w:r w:rsidRPr="00FC5FB3">
        <w:rPr>
          <w:rFonts w:ascii="Arial" w:hAnsi="Arial" w:cs="Arial"/>
          <w:b/>
          <w:bCs/>
          <w:color w:val="EE0000"/>
          <w:sz w:val="20"/>
          <w:szCs w:val="20"/>
        </w:rPr>
        <w:t>sistema turístico</w:t>
      </w:r>
      <w:r w:rsidRPr="00FC5FB3">
        <w:rPr>
          <w:rFonts w:ascii="Arial" w:hAnsi="Arial" w:cs="Arial"/>
          <w:sz w:val="20"/>
          <w:szCs w:val="20"/>
        </w:rPr>
        <w:t xml:space="preserve">, el producto turístico, la normativa, el perfil y las competencias del guía, así como el </w:t>
      </w:r>
      <w:r w:rsidRPr="00FC5FB3">
        <w:rPr>
          <w:rFonts w:ascii="Arial" w:hAnsi="Arial" w:cs="Arial"/>
          <w:b/>
          <w:bCs/>
          <w:color w:val="EE0000"/>
          <w:sz w:val="20"/>
          <w:szCs w:val="20"/>
        </w:rPr>
        <w:t>geoturismo</w:t>
      </w:r>
      <w:r w:rsidRPr="00FC5FB3">
        <w:rPr>
          <w:rFonts w:ascii="Arial" w:hAnsi="Arial" w:cs="Arial"/>
          <w:sz w:val="20"/>
          <w:szCs w:val="20"/>
        </w:rPr>
        <w:t xml:space="preserve">, el </w:t>
      </w:r>
      <w:r w:rsidRPr="00FC5FB3">
        <w:rPr>
          <w:rFonts w:ascii="Arial" w:hAnsi="Arial" w:cs="Arial"/>
          <w:b/>
          <w:bCs/>
          <w:color w:val="EE0000"/>
          <w:sz w:val="20"/>
          <w:szCs w:val="20"/>
        </w:rPr>
        <w:t>patrimonio</w:t>
      </w:r>
      <w:r w:rsidRPr="00FC5FB3">
        <w:rPr>
          <w:rFonts w:ascii="Arial" w:hAnsi="Arial" w:cs="Arial"/>
          <w:sz w:val="20"/>
          <w:szCs w:val="20"/>
        </w:rPr>
        <w:t xml:space="preserve">, los </w:t>
      </w:r>
      <w:r w:rsidRPr="00FC5FB3">
        <w:rPr>
          <w:rFonts w:ascii="Arial" w:hAnsi="Arial" w:cs="Arial"/>
          <w:b/>
          <w:bCs/>
          <w:color w:val="EE0000"/>
          <w:sz w:val="20"/>
          <w:szCs w:val="20"/>
        </w:rPr>
        <w:t>geoparques</w:t>
      </w:r>
      <w:r w:rsidRPr="00FC5FB3">
        <w:rPr>
          <w:rFonts w:ascii="Arial" w:hAnsi="Arial" w:cs="Arial"/>
          <w:sz w:val="20"/>
          <w:szCs w:val="20"/>
        </w:rPr>
        <w:t xml:space="preserve">, los </w:t>
      </w:r>
      <w:proofErr w:type="spellStart"/>
      <w:r w:rsidRPr="00FC5FB3">
        <w:rPr>
          <w:rFonts w:ascii="Arial" w:hAnsi="Arial" w:cs="Arial"/>
          <w:b/>
          <w:bCs/>
          <w:color w:val="EE0000"/>
          <w:sz w:val="20"/>
          <w:szCs w:val="20"/>
        </w:rPr>
        <w:t>geositios</w:t>
      </w:r>
      <w:proofErr w:type="spellEnd"/>
      <w:r w:rsidRPr="00FC5FB3">
        <w:rPr>
          <w:rFonts w:ascii="Arial" w:hAnsi="Arial" w:cs="Arial"/>
          <w:sz w:val="20"/>
          <w:szCs w:val="20"/>
        </w:rPr>
        <w:t xml:space="preserve"> y los recursos y </w:t>
      </w:r>
      <w:r w:rsidRPr="00FC5FB3">
        <w:rPr>
          <w:rFonts w:ascii="Arial" w:hAnsi="Arial" w:cs="Arial"/>
          <w:b/>
          <w:bCs/>
          <w:color w:val="EE0000"/>
          <w:sz w:val="20"/>
          <w:szCs w:val="20"/>
        </w:rPr>
        <w:t xml:space="preserve">atractivos </w:t>
      </w:r>
      <w:proofErr w:type="spellStart"/>
      <w:r w:rsidRPr="00FC5FB3">
        <w:rPr>
          <w:rFonts w:ascii="Arial" w:hAnsi="Arial" w:cs="Arial"/>
          <w:b/>
          <w:bCs/>
          <w:color w:val="EE0000"/>
          <w:sz w:val="20"/>
          <w:szCs w:val="20"/>
        </w:rPr>
        <w:t>geoturísticos</w:t>
      </w:r>
      <w:proofErr w:type="spellEnd"/>
      <w:r w:rsidRPr="00FC5FB3">
        <w:rPr>
          <w:rFonts w:ascii="Arial" w:hAnsi="Arial" w:cs="Arial"/>
          <w:sz w:val="20"/>
          <w:szCs w:val="20"/>
        </w:rPr>
        <w:t>. Este recorrido permite reconocer los elementos que intervienen en la caracterización y planeación de actividades turísticas vinculadas con el territorio.</w:t>
      </w:r>
    </w:p>
    <w:p w:rsidRPr="00FC5FB3" w:rsidR="00FC5FB3" w:rsidP="00FC5FB3" w:rsidRDefault="00FC5FB3" w14:paraId="2F974B21" w14:textId="77777777">
      <w:pPr>
        <w:pStyle w:val="font-claude-response-body"/>
        <w:spacing w:before="0" w:beforeAutospacing="0" w:after="0" w:afterAutospacing="0" w:line="276" w:lineRule="auto"/>
        <w:rPr>
          <w:rFonts w:ascii="Arial" w:hAnsi="Arial" w:cs="Arial"/>
          <w:sz w:val="20"/>
          <w:szCs w:val="20"/>
        </w:rPr>
      </w:pPr>
    </w:p>
    <w:p w:rsidRPr="00FC5FB3" w:rsidR="00FC5FB3" w:rsidP="00FC5FB3" w:rsidRDefault="00FC5FB3" w14:paraId="62AB1EC4" w14:textId="77777777">
      <w:pPr>
        <w:pStyle w:val="font-claude-response-body"/>
        <w:spacing w:before="0" w:beforeAutospacing="0" w:after="0" w:afterAutospacing="0" w:line="276" w:lineRule="auto"/>
        <w:rPr>
          <w:rFonts w:ascii="Arial" w:hAnsi="Arial" w:cs="Arial"/>
          <w:sz w:val="20"/>
          <w:szCs w:val="20"/>
        </w:rPr>
      </w:pPr>
      <w:r w:rsidRPr="00FC5FB3">
        <w:rPr>
          <w:rFonts w:ascii="Arial" w:hAnsi="Arial" w:cs="Arial"/>
          <w:sz w:val="20"/>
          <w:szCs w:val="20"/>
        </w:rPr>
        <w:t xml:space="preserve">Este enfoque fortalece la capacidad para interpretar el entorno, valorar sus atractivos y proyectar experiencias pertinentes, seguras y sostenibles. Así, el componente aporta bases para organizar actividades de geoturismo que favorezcan la </w:t>
      </w:r>
      <w:r w:rsidRPr="00FC5FB3">
        <w:rPr>
          <w:rFonts w:ascii="Arial" w:hAnsi="Arial" w:cs="Arial"/>
          <w:b/>
          <w:bCs/>
          <w:color w:val="EE0000"/>
          <w:sz w:val="20"/>
          <w:szCs w:val="20"/>
        </w:rPr>
        <w:t>conservación</w:t>
      </w:r>
      <w:r w:rsidRPr="00FC5FB3">
        <w:rPr>
          <w:rFonts w:ascii="Arial" w:hAnsi="Arial" w:cs="Arial"/>
          <w:sz w:val="20"/>
          <w:szCs w:val="20"/>
        </w:rPr>
        <w:t xml:space="preserve">, la </w:t>
      </w:r>
      <w:r w:rsidRPr="00FC5FB3">
        <w:rPr>
          <w:rFonts w:ascii="Arial" w:hAnsi="Arial" w:cs="Arial"/>
          <w:b/>
          <w:bCs/>
          <w:color w:val="EE0000"/>
          <w:sz w:val="20"/>
          <w:szCs w:val="20"/>
        </w:rPr>
        <w:t>identidad regional</w:t>
      </w:r>
      <w:r w:rsidRPr="00FC5FB3">
        <w:rPr>
          <w:rFonts w:ascii="Arial" w:hAnsi="Arial" w:cs="Arial"/>
          <w:color w:val="EE0000"/>
          <w:sz w:val="20"/>
          <w:szCs w:val="20"/>
        </w:rPr>
        <w:t xml:space="preserve"> </w:t>
      </w:r>
      <w:r w:rsidRPr="00FC5FB3">
        <w:rPr>
          <w:rFonts w:ascii="Arial" w:hAnsi="Arial" w:cs="Arial"/>
          <w:sz w:val="20"/>
          <w:szCs w:val="20"/>
        </w:rPr>
        <w:t xml:space="preserve">y el </w:t>
      </w:r>
      <w:r w:rsidRPr="00FC5FB3">
        <w:rPr>
          <w:rFonts w:ascii="Arial" w:hAnsi="Arial" w:cs="Arial"/>
          <w:b/>
          <w:bCs/>
          <w:color w:val="EE0000"/>
          <w:sz w:val="20"/>
          <w:szCs w:val="20"/>
        </w:rPr>
        <w:t>aprovechamiento responsable</w:t>
      </w:r>
      <w:r w:rsidRPr="00FC5FB3">
        <w:rPr>
          <w:rFonts w:ascii="Arial" w:hAnsi="Arial" w:cs="Arial"/>
          <w:color w:val="EE0000"/>
          <w:sz w:val="20"/>
          <w:szCs w:val="20"/>
        </w:rPr>
        <w:t xml:space="preserve"> </w:t>
      </w:r>
      <w:r w:rsidRPr="00FC5FB3">
        <w:rPr>
          <w:rFonts w:ascii="Arial" w:hAnsi="Arial" w:cs="Arial"/>
          <w:sz w:val="20"/>
          <w:szCs w:val="20"/>
        </w:rPr>
        <w:t>de los recursos turísticos.</w:t>
      </w:r>
    </w:p>
    <w:p w:rsidRPr="00274A7D" w:rsidR="00274A7D" w:rsidP="00FC5FB3" w:rsidRDefault="00274A7D" w14:paraId="543A6364" w14:textId="59C830B9">
      <w:pPr>
        <w:pStyle w:val="font-claude-response-body"/>
        <w:spacing w:before="0" w:beforeAutospacing="0" w:after="0" w:afterAutospacing="0" w:line="276" w:lineRule="auto"/>
        <w:rPr>
          <w:rFonts w:ascii="Arial" w:hAnsi="Arial" w:cs="Arial"/>
          <w:sz w:val="20"/>
          <w:szCs w:val="20"/>
        </w:rPr>
      </w:pPr>
    </w:p>
    <w:p w:rsidRPr="00274A7D" w:rsidR="00274A7D" w:rsidP="00274A7D" w:rsidRDefault="00274A7D" w14:paraId="34FDD1F7" w14:textId="01B5A52C">
      <w:pPr>
        <w:pStyle w:val="font-claude-response-body"/>
        <w:spacing w:before="0" w:beforeAutospacing="0" w:after="0" w:afterAutospacing="0" w:line="276" w:lineRule="auto"/>
        <w:rPr>
          <w:rFonts w:ascii="Arial" w:hAnsi="Arial" w:cs="Arial"/>
          <w:sz w:val="20"/>
          <w:szCs w:val="20"/>
        </w:rPr>
      </w:pPr>
      <w:r w:rsidRPr="00274A7D">
        <w:rPr>
          <w:rStyle w:val="Fuerte"/>
          <w:rFonts w:ascii="Arial" w:hAnsi="Arial" w:cs="Arial"/>
          <w:sz w:val="20"/>
          <w:szCs w:val="20"/>
        </w:rPr>
        <w:t>TOTAL PALABRAS: 2</w:t>
      </w:r>
      <w:r w:rsidR="00FC5FB3">
        <w:rPr>
          <w:rStyle w:val="Fuerte"/>
          <w:rFonts w:ascii="Arial" w:hAnsi="Arial" w:cs="Arial"/>
          <w:sz w:val="20"/>
          <w:szCs w:val="20"/>
        </w:rPr>
        <w:t>19</w:t>
      </w:r>
    </w:p>
    <w:p w:rsidRPr="00B92FA6" w:rsidR="00B92FA6" w:rsidP="00274A7D" w:rsidRDefault="00B92FA6" w14:paraId="0CD65968" w14:textId="086CB48B">
      <w:pPr>
        <w:pStyle w:val="font-claude-response-body"/>
        <w:spacing w:before="0" w:beforeAutospacing="0" w:after="0" w:afterAutospacing="0" w:line="276" w:lineRule="auto"/>
      </w:pPr>
    </w:p>
    <w:p w:rsidR="00B92FA6" w:rsidRDefault="00B92FA6" w14:paraId="67E8693F" w14:textId="77777777"/>
    <w:sectPr w:rsidR="00B92FA6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2FA6"/>
    <w:rsid w:val="000E58A4"/>
    <w:rsid w:val="00274A7D"/>
    <w:rsid w:val="002E15EF"/>
    <w:rsid w:val="002F79F0"/>
    <w:rsid w:val="00402097"/>
    <w:rsid w:val="00674B38"/>
    <w:rsid w:val="00725EBA"/>
    <w:rsid w:val="007F4119"/>
    <w:rsid w:val="009B52F8"/>
    <w:rsid w:val="00AC0BE1"/>
    <w:rsid w:val="00AD1941"/>
    <w:rsid w:val="00B15059"/>
    <w:rsid w:val="00B92FA6"/>
    <w:rsid w:val="00C9027D"/>
    <w:rsid w:val="00E31EBA"/>
    <w:rsid w:val="00FC5FB3"/>
    <w:rsid w:val="1849B95A"/>
    <w:rsid w:val="1972E53E"/>
    <w:rsid w:val="1DD6B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F6A75"/>
  <w15:chartTrackingRefBased/>
  <w15:docId w15:val="{49EC4A9C-2A43-4A82-A2CF-1BE6FDB7A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92FA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92FA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92F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92F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92F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92F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92F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92F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92F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B92FA6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B92FA6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B92FA6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B92FA6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B92FA6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B92FA6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B92FA6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B92FA6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B92F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92FA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B92FA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92F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B92F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92FA6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B92FA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92FA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92FA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92FA6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B92FA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92FA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C0BE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s-CO"/>
      <w14:ligatures w14:val="none"/>
    </w:rPr>
  </w:style>
  <w:style w:type="character" w:styleId="Fuerte">
    <w:name w:val="Strong"/>
    <w:basedOn w:val="Fuentedeprrafopredeter"/>
    <w:uiPriority w:val="22"/>
    <w:qFormat/>
    <w:rsid w:val="00AC0BE1"/>
    <w:rPr>
      <w:b/>
      <w:bCs/>
    </w:rPr>
  </w:style>
  <w:style w:type="paragraph" w:styleId="font-claude-response-body" w:customStyle="1">
    <w:name w:val="font-claude-response-body"/>
    <w:basedOn w:val="Normal"/>
    <w:rsid w:val="00402097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215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customXml" Target="../customXml/item3.xml" Id="rId3" /><Relationship Type="http://schemas.openxmlformats.org/officeDocument/2006/relationships/fontTable" Target="fontTable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ED7E886-9924-4F92-99FB-A6A622F4F72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2D8FE09-FDDD-4624-A726-370745BF778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3.xml><?xml version="1.0" encoding="utf-8"?>
<ds:datastoreItem xmlns:ds="http://schemas.openxmlformats.org/officeDocument/2006/customXml" ds:itemID="{C53CC4B2-B865-44BA-B25D-B64778F1CBBE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Paola Morales Paez</dc:creator>
  <cp:keywords/>
  <dc:description/>
  <cp:lastModifiedBy>Yineth Ibette Gonzalez Quintero</cp:lastModifiedBy>
  <cp:revision>7</cp:revision>
  <dcterms:created xsi:type="dcterms:W3CDTF">2026-04-24T16:26:00Z</dcterms:created>
  <dcterms:modified xsi:type="dcterms:W3CDTF">2026-04-24T16:27:03Z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ediaServiceImageTags">
    <vt:lpwstr/>
  </property>
  <property fmtid="{D5CDD505-2E9C-101B-9397-08002B2CF9AE}" pid="4" name="MSIP_Label_516245d8-e5f4-42ac-a19d-923c969a5d0b_Enabled">
    <vt:lpwstr>true</vt:lpwstr>
  </property>
  <property fmtid="{D5CDD505-2E9C-101B-9397-08002B2CF9AE}" pid="5" name="MSIP_Label_516245d8-e5f4-42ac-a19d-923c969a5d0b_SetDate">
    <vt:lpwstr>2026-04-24T16:26:20Z</vt:lpwstr>
  </property>
  <property fmtid="{D5CDD505-2E9C-101B-9397-08002B2CF9AE}" pid="6" name="MSIP_Label_516245d8-e5f4-42ac-a19d-923c969a5d0b_Method">
    <vt:lpwstr>Privileged</vt:lpwstr>
  </property>
  <property fmtid="{D5CDD505-2E9C-101B-9397-08002B2CF9AE}" pid="7" name="MSIP_Label_516245d8-e5f4-42ac-a19d-923c969a5d0b_Name">
    <vt:lpwstr>Confidential</vt:lpwstr>
  </property>
  <property fmtid="{D5CDD505-2E9C-101B-9397-08002B2CF9AE}" pid="8" name="MSIP_Label_516245d8-e5f4-42ac-a19d-923c969a5d0b_SiteId">
    <vt:lpwstr>cbc2c381-2f2e-4d93-91d1-506c9316ace7</vt:lpwstr>
  </property>
  <property fmtid="{D5CDD505-2E9C-101B-9397-08002B2CF9AE}" pid="9" name="MSIP_Label_516245d8-e5f4-42ac-a19d-923c969a5d0b_ActionId">
    <vt:lpwstr>7f4cc245-0a5d-45f0-a1bc-64ccc629a819</vt:lpwstr>
  </property>
  <property fmtid="{D5CDD505-2E9C-101B-9397-08002B2CF9AE}" pid="10" name="MSIP_Label_516245d8-e5f4-42ac-a19d-923c969a5d0b_ContentBits">
    <vt:lpwstr>0</vt:lpwstr>
  </property>
  <property fmtid="{D5CDD505-2E9C-101B-9397-08002B2CF9AE}" pid="11" name="MSIP_Label_516245d8-e5f4-42ac-a19d-923c969a5d0b_Tag">
    <vt:lpwstr>10, 0, 1, 2</vt:lpwstr>
  </property>
</Properties>
</file>