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C79A18" w14:textId="77777777" w:rsidR="002B3C4C" w:rsidRPr="00E5211A" w:rsidRDefault="002B3C4C" w:rsidP="002B3C4C">
      <w:pPr>
        <w:jc w:val="center"/>
        <w:rPr>
          <w:rFonts w:ascii="Arial" w:hAnsi="Arial" w:cs="Arial"/>
          <w:b/>
          <w:bCs/>
          <w:sz w:val="20"/>
          <w:szCs w:val="20"/>
        </w:rPr>
      </w:pPr>
      <w:r w:rsidRPr="00E5211A">
        <w:rPr>
          <w:rFonts w:ascii="Arial" w:hAnsi="Arial" w:cs="Arial"/>
          <w:b/>
          <w:bCs/>
          <w:sz w:val="20"/>
          <w:szCs w:val="20"/>
        </w:rPr>
        <w:t>INFORMACIÓN PARA PODCAST</w:t>
      </w:r>
    </w:p>
    <w:p w14:paraId="786F42FD" w14:textId="77777777" w:rsidR="002B3C4C" w:rsidRPr="00E5211A" w:rsidRDefault="002B3C4C" w:rsidP="002B3C4C">
      <w:pPr>
        <w:jc w:val="center"/>
        <w:rPr>
          <w:rFonts w:ascii="Arial" w:hAnsi="Arial" w:cs="Arial"/>
          <w:b/>
          <w:bCs/>
          <w:sz w:val="20"/>
          <w:szCs w:val="20"/>
        </w:rPr>
      </w:pPr>
    </w:p>
    <w:p w14:paraId="55C94369" w14:textId="77777777" w:rsidR="001B0012" w:rsidRDefault="002B3C4C" w:rsidP="002B3C4C">
      <w:pPr>
        <w:rPr>
          <w:rFonts w:ascii="Arial" w:hAnsi="Arial" w:cs="Arial"/>
          <w:sz w:val="20"/>
          <w:szCs w:val="20"/>
        </w:rPr>
      </w:pPr>
      <w:r w:rsidRPr="00E5211A">
        <w:rPr>
          <w:rFonts w:ascii="Arial" w:hAnsi="Arial" w:cs="Arial"/>
          <w:b/>
          <w:bCs/>
          <w:sz w:val="20"/>
          <w:szCs w:val="20"/>
        </w:rPr>
        <w:t xml:space="preserve">Programa: </w:t>
      </w:r>
      <w:r w:rsidR="001B0012" w:rsidRPr="001B0012">
        <w:rPr>
          <w:rFonts w:ascii="Arial" w:hAnsi="Arial" w:cs="Arial"/>
          <w:sz w:val="20"/>
          <w:szCs w:val="20"/>
        </w:rPr>
        <w:t>Manejo de la información turística regional</w:t>
      </w:r>
      <w:r w:rsidR="001B0012">
        <w:rPr>
          <w:rFonts w:ascii="Arial" w:hAnsi="Arial" w:cs="Arial"/>
          <w:sz w:val="20"/>
          <w:szCs w:val="20"/>
        </w:rPr>
        <w:t>.</w:t>
      </w:r>
    </w:p>
    <w:p w14:paraId="07404F4D" w14:textId="1CC53D31" w:rsidR="002B3C4C" w:rsidRPr="00E5211A" w:rsidRDefault="002B3C4C" w:rsidP="002B3C4C">
      <w:pPr>
        <w:rPr>
          <w:rFonts w:ascii="Arial" w:hAnsi="Arial" w:cs="Arial"/>
          <w:b/>
          <w:bCs/>
          <w:sz w:val="20"/>
          <w:szCs w:val="20"/>
        </w:rPr>
      </w:pPr>
      <w:r w:rsidRPr="00E5211A">
        <w:rPr>
          <w:rFonts w:ascii="Arial" w:hAnsi="Arial" w:cs="Arial"/>
          <w:b/>
          <w:bCs/>
          <w:sz w:val="20"/>
          <w:szCs w:val="20"/>
        </w:rPr>
        <w:t>Componente</w:t>
      </w:r>
      <w:r w:rsidRPr="00E5211A">
        <w:rPr>
          <w:rFonts w:ascii="Arial" w:hAnsi="Arial" w:cs="Arial"/>
          <w:sz w:val="20"/>
          <w:szCs w:val="20"/>
        </w:rPr>
        <w:t>: CF</w:t>
      </w:r>
      <w:r w:rsidR="0060399D" w:rsidRPr="00E5211A">
        <w:rPr>
          <w:rFonts w:ascii="Arial" w:hAnsi="Arial" w:cs="Arial"/>
          <w:sz w:val="20"/>
          <w:szCs w:val="20"/>
        </w:rPr>
        <w:t>1</w:t>
      </w:r>
      <w:r w:rsidRPr="00E5211A">
        <w:rPr>
          <w:rFonts w:ascii="Arial" w:hAnsi="Arial" w:cs="Arial"/>
          <w:sz w:val="20"/>
          <w:szCs w:val="20"/>
        </w:rPr>
        <w:t xml:space="preserve"> - </w:t>
      </w:r>
      <w:r w:rsidR="001B0012" w:rsidRPr="001B0012">
        <w:rPr>
          <w:rFonts w:ascii="Arial" w:hAnsi="Arial" w:cs="Arial"/>
          <w:sz w:val="20"/>
          <w:szCs w:val="20"/>
        </w:rPr>
        <w:t>Caracterización del visitante y comunicación en la atención turística</w:t>
      </w:r>
      <w:r w:rsidR="00E5211A">
        <w:rPr>
          <w:rFonts w:ascii="Arial" w:hAnsi="Arial" w:cs="Arial"/>
          <w:sz w:val="20"/>
          <w:szCs w:val="20"/>
        </w:rPr>
        <w:t>.</w:t>
      </w:r>
    </w:p>
    <w:p w14:paraId="492EDF11" w14:textId="3A56E261" w:rsidR="002B3C4C" w:rsidRPr="00E5211A" w:rsidRDefault="002B3C4C" w:rsidP="001028C1">
      <w:pPr>
        <w:spacing w:after="0" w:line="360" w:lineRule="auto"/>
        <w:rPr>
          <w:rFonts w:ascii="Arial" w:hAnsi="Arial" w:cs="Arial"/>
          <w:sz w:val="20"/>
          <w:szCs w:val="20"/>
        </w:rPr>
      </w:pPr>
      <w:r w:rsidRPr="00E5211A">
        <w:rPr>
          <w:rFonts w:ascii="Arial" w:hAnsi="Arial" w:cs="Arial"/>
          <w:b/>
          <w:bCs/>
          <w:sz w:val="20"/>
          <w:szCs w:val="20"/>
        </w:rPr>
        <w:t>Ubicación dentro del componente:</w:t>
      </w:r>
      <w:r w:rsidR="00E5211A">
        <w:rPr>
          <w:rFonts w:ascii="Arial" w:hAnsi="Arial" w:cs="Arial"/>
          <w:b/>
          <w:bCs/>
          <w:sz w:val="20"/>
          <w:szCs w:val="20"/>
        </w:rPr>
        <w:t xml:space="preserve"> </w:t>
      </w:r>
      <w:r w:rsidR="001B0012" w:rsidRPr="001B0012">
        <w:rPr>
          <w:rFonts w:ascii="Arial" w:hAnsi="Arial" w:cs="Arial"/>
          <w:b/>
          <w:bCs/>
          <w:sz w:val="20"/>
          <w:szCs w:val="20"/>
        </w:rPr>
        <w:t>1.1 Concepto de consumidor, cliente, tipos y características de comportamiento</w:t>
      </w:r>
      <w:r w:rsidR="00516733">
        <w:rPr>
          <w:rFonts w:ascii="Arial" w:hAnsi="Arial" w:cs="Arial"/>
          <w:b/>
          <w:bCs/>
          <w:sz w:val="20"/>
          <w:szCs w:val="20"/>
        </w:rPr>
        <w:t xml:space="preserve">. </w:t>
      </w:r>
    </w:p>
    <w:p w14:paraId="132E37D1" w14:textId="77777777" w:rsidR="00516733" w:rsidRDefault="00516733" w:rsidP="0060399D">
      <w:pPr>
        <w:spacing w:line="360" w:lineRule="auto"/>
        <w:rPr>
          <w:rFonts w:ascii="Arial" w:hAnsi="Arial" w:cs="Arial"/>
          <w:b/>
          <w:bCs/>
          <w:sz w:val="20"/>
          <w:szCs w:val="20"/>
        </w:rPr>
      </w:pPr>
    </w:p>
    <w:p w14:paraId="652E7E2A" w14:textId="32376BC5" w:rsidR="001028C1" w:rsidRPr="00E5211A" w:rsidRDefault="002B3C4C" w:rsidP="0060399D">
      <w:pPr>
        <w:spacing w:line="360" w:lineRule="auto"/>
        <w:rPr>
          <w:rFonts w:ascii="Arial" w:hAnsi="Arial" w:cs="Arial"/>
          <w:b/>
          <w:sz w:val="20"/>
          <w:szCs w:val="20"/>
        </w:rPr>
      </w:pPr>
      <w:r w:rsidRPr="00E5211A">
        <w:rPr>
          <w:rFonts w:ascii="Arial" w:hAnsi="Arial" w:cs="Arial"/>
          <w:b/>
          <w:bCs/>
          <w:sz w:val="20"/>
          <w:szCs w:val="20"/>
        </w:rPr>
        <w:t xml:space="preserve">Tema a tratar: </w:t>
      </w:r>
      <w:r w:rsidR="001B0012" w:rsidRPr="001B0012">
        <w:rPr>
          <w:rFonts w:ascii="Arial" w:hAnsi="Arial" w:cs="Arial"/>
          <w:b/>
          <w:sz w:val="20"/>
          <w:szCs w:val="20"/>
        </w:rPr>
        <w:t>La decisión de compra en el turismo</w:t>
      </w:r>
    </w:p>
    <w:p w14:paraId="2F97C493" w14:textId="77777777" w:rsidR="0006065B" w:rsidRPr="0006065B" w:rsidRDefault="0006065B" w:rsidP="0006065B">
      <w:pPr>
        <w:spacing w:before="240" w:line="360" w:lineRule="auto"/>
        <w:rPr>
          <w:rFonts w:ascii="Arial" w:hAnsi="Arial" w:cs="Arial"/>
          <w:sz w:val="20"/>
          <w:szCs w:val="20"/>
        </w:rPr>
      </w:pPr>
      <w:r w:rsidRPr="0006065B">
        <w:rPr>
          <w:rFonts w:ascii="Arial" w:hAnsi="Arial" w:cs="Arial"/>
          <w:sz w:val="20"/>
          <w:szCs w:val="20"/>
        </w:rPr>
        <w:t>La decisión de compra de un servicio turístico (como un viaje, una excursión, una reserva de hotel o un paquete vacacional) implica generalmente un proceso de análisis por parte del consumidor. Este proceso puede ser rápido o prolongado, dependiendo de aspectos como el tipo de viaje, el presupuesto disponible, el nivel de urgencia y la experiencia previa del turista.</w:t>
      </w:r>
    </w:p>
    <w:p w14:paraId="772B0B86" w14:textId="5989D594" w:rsidR="0006065B" w:rsidRDefault="00EC6585" w:rsidP="0006065B">
      <w:pPr>
        <w:spacing w:after="0" w:line="360" w:lineRule="auto"/>
        <w:rPr>
          <w:rFonts w:ascii="Arial" w:hAnsi="Arial" w:cs="Arial"/>
          <w:sz w:val="20"/>
          <w:szCs w:val="20"/>
        </w:rPr>
      </w:pPr>
      <w:r w:rsidRPr="00EC6585">
        <w:rPr>
          <w:rFonts w:ascii="Arial" w:hAnsi="Arial" w:cs="Arial"/>
          <w:sz w:val="20"/>
          <w:szCs w:val="20"/>
        </w:rPr>
        <w:t>En el contexto turístico, la decisión no suele tomarse de manera inmediata, es un proceso gradual que inicia con el reconocimiento de una necesidad y continúa con la búsqueda y análisis de información sobre destinos, servicios, precios, reseñas o recomendaciones. El viajero tiende a comparar diferentes opciones y evaluar si la experiencia ofrecida responde a sus necesidades y expectativas. De esta manera, la elección final es el resultado de un proceso reflexivo en el que se consideran tanto aspectos racionales como emocionales. Finalmente, la experiencia vivida permite valorar el servicio recibido, influyendo en la recompra, la recomendación y la mejora continua de la calidad en la prestación del servicio</w:t>
      </w:r>
      <w:r>
        <w:rPr>
          <w:rFonts w:ascii="Arial" w:hAnsi="Arial" w:cs="Arial"/>
          <w:sz w:val="20"/>
          <w:szCs w:val="20"/>
        </w:rPr>
        <w:t>.</w:t>
      </w:r>
    </w:p>
    <w:p w14:paraId="28E73FDD" w14:textId="77777777" w:rsidR="00EC6585" w:rsidRDefault="00EC6585" w:rsidP="0006065B">
      <w:pPr>
        <w:spacing w:after="0" w:line="360" w:lineRule="auto"/>
        <w:rPr>
          <w:rFonts w:ascii="Arial" w:hAnsi="Arial" w:cs="Arial"/>
          <w:sz w:val="20"/>
          <w:szCs w:val="20"/>
        </w:rPr>
      </w:pPr>
    </w:p>
    <w:p w14:paraId="62535A2E" w14:textId="23EAA058" w:rsidR="002B3C4C" w:rsidRPr="00E719FA" w:rsidRDefault="002B3C4C" w:rsidP="002B3C4C">
      <w:pPr>
        <w:spacing w:after="0" w:line="360" w:lineRule="auto"/>
        <w:rPr>
          <w:rFonts w:ascii="Arial" w:hAnsi="Arial" w:cs="Arial"/>
          <w:sz w:val="20"/>
          <w:szCs w:val="20"/>
        </w:rPr>
      </w:pPr>
      <w:r w:rsidRPr="00E719FA">
        <w:rPr>
          <w:rFonts w:ascii="Arial" w:hAnsi="Arial" w:cs="Arial"/>
          <w:sz w:val="20"/>
          <w:szCs w:val="20"/>
        </w:rPr>
        <w:t>Total, palabras</w:t>
      </w:r>
      <w:r w:rsidR="00E719FA">
        <w:rPr>
          <w:rFonts w:ascii="Arial" w:hAnsi="Arial" w:cs="Arial"/>
          <w:sz w:val="20"/>
          <w:szCs w:val="20"/>
        </w:rPr>
        <w:t xml:space="preserve">: </w:t>
      </w:r>
      <w:r w:rsidRPr="00E719FA">
        <w:rPr>
          <w:rFonts w:ascii="Arial" w:hAnsi="Arial" w:cs="Arial"/>
          <w:sz w:val="20"/>
          <w:szCs w:val="20"/>
        </w:rPr>
        <w:t>1</w:t>
      </w:r>
      <w:r w:rsidR="00EC6585">
        <w:rPr>
          <w:rFonts w:ascii="Arial" w:hAnsi="Arial" w:cs="Arial"/>
          <w:sz w:val="20"/>
          <w:szCs w:val="20"/>
        </w:rPr>
        <w:t>6</w:t>
      </w:r>
      <w:r w:rsidR="0006065B">
        <w:rPr>
          <w:rFonts w:ascii="Arial" w:hAnsi="Arial" w:cs="Arial"/>
          <w:sz w:val="20"/>
          <w:szCs w:val="20"/>
        </w:rPr>
        <w:t>8</w:t>
      </w:r>
    </w:p>
    <w:p w14:paraId="5D1DDAD5" w14:textId="77777777" w:rsidR="002B3C4C" w:rsidRPr="00D329FB" w:rsidRDefault="002B3C4C" w:rsidP="002B3C4C">
      <w:pPr>
        <w:spacing w:after="0" w:line="360" w:lineRule="auto"/>
        <w:rPr>
          <w:rFonts w:ascii="Arial" w:hAnsi="Arial" w:cs="Arial"/>
          <w:b/>
          <w:bCs/>
          <w:sz w:val="20"/>
          <w:szCs w:val="20"/>
        </w:rPr>
      </w:pPr>
    </w:p>
    <w:p w14:paraId="7F1FAB7E" w14:textId="77777777" w:rsidR="00B15059" w:rsidRDefault="00B15059"/>
    <w:sectPr w:rsidR="00B150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425D7"/>
    <w:multiLevelType w:val="hybridMultilevel"/>
    <w:tmpl w:val="B9BE4C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833215"/>
    <w:multiLevelType w:val="hybridMultilevel"/>
    <w:tmpl w:val="4564A310"/>
    <w:lvl w:ilvl="0" w:tplc="29E215CC">
      <w:numFmt w:val="bullet"/>
      <w:lvlText w:val="•"/>
      <w:lvlJc w:val="left"/>
      <w:pPr>
        <w:ind w:left="1425" w:hanging="705"/>
      </w:pPr>
      <w:rPr>
        <w:rFonts w:ascii="Arial" w:eastAsiaTheme="minorHAnsi" w:hAnsi="Arial" w:cs="Arial" w:hint="default"/>
        <w:sz w:val="28"/>
        <w:szCs w:val="28"/>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6E3D5AFC"/>
    <w:multiLevelType w:val="hybridMultilevel"/>
    <w:tmpl w:val="DB1685D0"/>
    <w:lvl w:ilvl="0" w:tplc="9880DF44">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51109218">
    <w:abstractNumId w:val="0"/>
  </w:num>
  <w:num w:numId="2" w16cid:durableId="473840414">
    <w:abstractNumId w:val="2"/>
  </w:num>
  <w:num w:numId="3" w16cid:durableId="1787499124">
    <w:abstractNumId w:val="1"/>
  </w:num>
  <w:num w:numId="4" w16cid:durableId="2125342593">
    <w:abstractNumId w:val="4"/>
  </w:num>
  <w:num w:numId="5" w16cid:durableId="1523476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C4C"/>
    <w:rsid w:val="0006065B"/>
    <w:rsid w:val="001028C1"/>
    <w:rsid w:val="001B0012"/>
    <w:rsid w:val="002B3C4C"/>
    <w:rsid w:val="002D3BB8"/>
    <w:rsid w:val="002F79F0"/>
    <w:rsid w:val="00516733"/>
    <w:rsid w:val="0060399D"/>
    <w:rsid w:val="009A2F5F"/>
    <w:rsid w:val="00AD1941"/>
    <w:rsid w:val="00AE2CEA"/>
    <w:rsid w:val="00B15059"/>
    <w:rsid w:val="00B76FBA"/>
    <w:rsid w:val="00BC2FD3"/>
    <w:rsid w:val="00E5211A"/>
    <w:rsid w:val="00E719FA"/>
    <w:rsid w:val="00EC6585"/>
    <w:rsid w:val="00F101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75A2"/>
  <w15:chartTrackingRefBased/>
  <w15:docId w15:val="{6D781F6F-FA06-4941-90D5-4754101F1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C4C"/>
  </w:style>
  <w:style w:type="paragraph" w:styleId="Ttulo1">
    <w:name w:val="heading 1"/>
    <w:basedOn w:val="Normal"/>
    <w:next w:val="Normal"/>
    <w:link w:val="Ttulo1Car"/>
    <w:uiPriority w:val="9"/>
    <w:qFormat/>
    <w:rsid w:val="002B3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3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3C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3C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3C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3C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3C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3C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3C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3C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3C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3C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3C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3C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3C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3C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3C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3C4C"/>
    <w:rPr>
      <w:rFonts w:eastAsiaTheme="majorEastAsia" w:cstheme="majorBidi"/>
      <w:color w:val="272727" w:themeColor="text1" w:themeTint="D8"/>
    </w:rPr>
  </w:style>
  <w:style w:type="paragraph" w:styleId="Ttulo">
    <w:name w:val="Title"/>
    <w:basedOn w:val="Normal"/>
    <w:next w:val="Normal"/>
    <w:link w:val="TtuloCar"/>
    <w:uiPriority w:val="10"/>
    <w:qFormat/>
    <w:rsid w:val="002B3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3C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3C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3C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3C4C"/>
    <w:pPr>
      <w:spacing w:before="160"/>
      <w:jc w:val="center"/>
    </w:pPr>
    <w:rPr>
      <w:i/>
      <w:iCs/>
      <w:color w:val="404040" w:themeColor="text1" w:themeTint="BF"/>
    </w:rPr>
  </w:style>
  <w:style w:type="character" w:customStyle="1" w:styleId="CitaCar">
    <w:name w:val="Cita Car"/>
    <w:basedOn w:val="Fuentedeprrafopredeter"/>
    <w:link w:val="Cita"/>
    <w:uiPriority w:val="29"/>
    <w:rsid w:val="002B3C4C"/>
    <w:rPr>
      <w:i/>
      <w:iCs/>
      <w:color w:val="404040" w:themeColor="text1" w:themeTint="BF"/>
    </w:rPr>
  </w:style>
  <w:style w:type="paragraph" w:styleId="Prrafodelista">
    <w:name w:val="List Paragraph"/>
    <w:basedOn w:val="Normal"/>
    <w:uiPriority w:val="34"/>
    <w:qFormat/>
    <w:rsid w:val="002B3C4C"/>
    <w:pPr>
      <w:ind w:left="720"/>
      <w:contextualSpacing/>
    </w:pPr>
  </w:style>
  <w:style w:type="character" w:styleId="nfasisintenso">
    <w:name w:val="Intense Emphasis"/>
    <w:basedOn w:val="Fuentedeprrafopredeter"/>
    <w:uiPriority w:val="21"/>
    <w:qFormat/>
    <w:rsid w:val="002B3C4C"/>
    <w:rPr>
      <w:i/>
      <w:iCs/>
      <w:color w:val="0F4761" w:themeColor="accent1" w:themeShade="BF"/>
    </w:rPr>
  </w:style>
  <w:style w:type="paragraph" w:styleId="Citadestacada">
    <w:name w:val="Intense Quote"/>
    <w:basedOn w:val="Normal"/>
    <w:next w:val="Normal"/>
    <w:link w:val="CitadestacadaCar"/>
    <w:uiPriority w:val="30"/>
    <w:qFormat/>
    <w:rsid w:val="002B3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3C4C"/>
    <w:rPr>
      <w:i/>
      <w:iCs/>
      <w:color w:val="0F4761" w:themeColor="accent1" w:themeShade="BF"/>
    </w:rPr>
  </w:style>
  <w:style w:type="character" w:styleId="Referenciaintensa">
    <w:name w:val="Intense Reference"/>
    <w:basedOn w:val="Fuentedeprrafopredeter"/>
    <w:uiPriority w:val="32"/>
    <w:qFormat/>
    <w:rsid w:val="002B3C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323DBE-7A9F-4622-9630-8F45A0255E5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FC348FBB-604F-4911-8F8A-0128D7B4CC0C}">
  <ds:schemaRefs>
    <ds:schemaRef ds:uri="http://schemas.microsoft.com/sharepoint/v3/contenttype/forms"/>
  </ds:schemaRefs>
</ds:datastoreItem>
</file>

<file path=customXml/itemProps3.xml><?xml version="1.0" encoding="utf-8"?>
<ds:datastoreItem xmlns:ds="http://schemas.openxmlformats.org/officeDocument/2006/customXml" ds:itemID="{58C3C954-9125-40C7-978D-2D495D77FB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222</Words>
  <Characters>1225</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Daniela Manrique Rueda</cp:lastModifiedBy>
  <cp:revision>11</cp:revision>
  <dcterms:created xsi:type="dcterms:W3CDTF">2026-02-04T23:03:00Z</dcterms:created>
  <dcterms:modified xsi:type="dcterms:W3CDTF">2026-05-08T03:11:00Z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