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D012D0" w14:textId="57D24EAC" w:rsidR="007A66E0" w:rsidRPr="006E6EB5" w:rsidRDefault="00803F63" w:rsidP="007A66E0">
      <w:pPr>
        <w:jc w:val="center"/>
        <w:rPr>
          <w:rFonts w:ascii="Calibri" w:hAnsi="Calibri" w:cs="Calibri"/>
          <w:b/>
          <w:bCs/>
        </w:rPr>
      </w:pPr>
      <w:r w:rsidRPr="006E6EB5">
        <w:rPr>
          <w:rFonts w:ascii="Calibri" w:hAnsi="Calibri" w:cs="Calibri"/>
          <w:b/>
          <w:bCs/>
        </w:rPr>
        <w:t xml:space="preserve">Texto base para elaboración de </w:t>
      </w:r>
      <w:r w:rsidR="0019439D" w:rsidRPr="006E6EB5">
        <w:rPr>
          <w:rFonts w:ascii="Calibri" w:hAnsi="Calibri" w:cs="Calibri"/>
          <w:b/>
          <w:bCs/>
        </w:rPr>
        <w:t>g</w:t>
      </w:r>
      <w:r w:rsidRPr="006E6EB5">
        <w:rPr>
          <w:rFonts w:ascii="Calibri" w:hAnsi="Calibri" w:cs="Calibri"/>
          <w:b/>
          <w:bCs/>
        </w:rPr>
        <w:t xml:space="preserve">uion para </w:t>
      </w:r>
      <w:r w:rsidR="0019439D" w:rsidRPr="006E6EB5">
        <w:rPr>
          <w:rFonts w:ascii="Calibri" w:hAnsi="Calibri" w:cs="Calibri"/>
          <w:b/>
          <w:bCs/>
        </w:rPr>
        <w:t>v</w:t>
      </w:r>
      <w:r w:rsidRPr="006E6EB5">
        <w:rPr>
          <w:rFonts w:ascii="Calibri" w:hAnsi="Calibri" w:cs="Calibri"/>
          <w:b/>
          <w:bCs/>
        </w:rPr>
        <w:t>ideo</w:t>
      </w:r>
    </w:p>
    <w:p w14:paraId="32634769" w14:textId="77777777" w:rsidR="007A66E0" w:rsidRPr="006E6EB5" w:rsidRDefault="007A66E0" w:rsidP="00803F63">
      <w:pPr>
        <w:rPr>
          <w:rFonts w:ascii="Calibri" w:hAnsi="Calibri" w:cs="Calibri"/>
          <w:b/>
          <w:bCs/>
        </w:rPr>
      </w:pPr>
    </w:p>
    <w:p w14:paraId="6377107C" w14:textId="1846BC43" w:rsidR="007A66E0" w:rsidRPr="006E6EB5" w:rsidRDefault="007A66E0" w:rsidP="00803F63">
      <w:pPr>
        <w:rPr>
          <w:rFonts w:ascii="Calibri" w:hAnsi="Calibri" w:cs="Calibri"/>
        </w:rPr>
      </w:pPr>
      <w:r w:rsidRPr="006E6EB5">
        <w:rPr>
          <w:rFonts w:ascii="Calibri" w:hAnsi="Calibri" w:cs="Calibri"/>
          <w:b/>
          <w:bCs/>
        </w:rPr>
        <w:t xml:space="preserve">Programa: </w:t>
      </w:r>
      <w:r w:rsidR="009942D2" w:rsidRPr="006E6EB5">
        <w:rPr>
          <w:rFonts w:ascii="Calibri" w:hAnsi="Calibri" w:cs="Calibri"/>
        </w:rPr>
        <w:t>Aplicación de buenas prácticas en turismo sostenible para guías de turismo</w:t>
      </w:r>
      <w:r w:rsidR="0019439D" w:rsidRPr="006E6EB5">
        <w:rPr>
          <w:rFonts w:ascii="Calibri" w:hAnsi="Calibri" w:cs="Calibri"/>
        </w:rPr>
        <w:t>.</w:t>
      </w:r>
    </w:p>
    <w:p w14:paraId="1C0A631C" w14:textId="77777777" w:rsidR="00F6455A" w:rsidRPr="006E6EB5" w:rsidRDefault="00F6455A" w:rsidP="00803F63">
      <w:pPr>
        <w:rPr>
          <w:rFonts w:ascii="Calibri" w:hAnsi="Calibri" w:cs="Calibri"/>
          <w:b/>
          <w:bCs/>
        </w:rPr>
      </w:pPr>
    </w:p>
    <w:p w14:paraId="08703147" w14:textId="3A210503" w:rsidR="00803F63" w:rsidRPr="006E6EB5" w:rsidRDefault="007A66E0" w:rsidP="00803F63">
      <w:pPr>
        <w:rPr>
          <w:rFonts w:ascii="Calibri" w:hAnsi="Calibri" w:cs="Calibri"/>
        </w:rPr>
      </w:pPr>
      <w:r w:rsidRPr="006E6EB5">
        <w:rPr>
          <w:rFonts w:ascii="Calibri" w:hAnsi="Calibri" w:cs="Calibri"/>
          <w:b/>
          <w:bCs/>
        </w:rPr>
        <w:t>CF</w:t>
      </w:r>
      <w:r w:rsidR="009942D2" w:rsidRPr="006E6EB5">
        <w:rPr>
          <w:rFonts w:ascii="Calibri" w:hAnsi="Calibri" w:cs="Calibri"/>
          <w:b/>
          <w:bCs/>
        </w:rPr>
        <w:t>1</w:t>
      </w:r>
      <w:r w:rsidRPr="006E6EB5">
        <w:rPr>
          <w:rFonts w:ascii="Calibri" w:hAnsi="Calibri" w:cs="Calibri"/>
          <w:b/>
          <w:bCs/>
        </w:rPr>
        <w:t xml:space="preserve">: </w:t>
      </w:r>
      <w:r w:rsidR="009942D2" w:rsidRPr="006E6EB5">
        <w:rPr>
          <w:rFonts w:ascii="Calibri" w:hAnsi="Calibri" w:cs="Calibri"/>
        </w:rPr>
        <w:t>Sostenibilidad y calidad en guianza turística</w:t>
      </w:r>
      <w:r w:rsidR="0019439D" w:rsidRPr="006E6EB5">
        <w:rPr>
          <w:rFonts w:ascii="Calibri" w:hAnsi="Calibri" w:cs="Calibri"/>
        </w:rPr>
        <w:t>.</w:t>
      </w:r>
    </w:p>
    <w:p w14:paraId="5B154468" w14:textId="77777777" w:rsidR="009942D2" w:rsidRDefault="009942D2" w:rsidP="00803F63">
      <w:pPr>
        <w:rPr>
          <w:bCs/>
          <w:sz w:val="20"/>
          <w:szCs w:val="20"/>
        </w:rPr>
      </w:pPr>
    </w:p>
    <w:p w14:paraId="3C9D81BF" w14:textId="16691436" w:rsidR="009942D2" w:rsidRPr="00D1470D" w:rsidRDefault="00A04876" w:rsidP="00803F63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Título del video: </w:t>
      </w:r>
      <w:r w:rsidR="009942D2" w:rsidRPr="009942D2">
        <w:rPr>
          <w:rFonts w:ascii="Calibri" w:hAnsi="Calibri" w:cs="Calibri"/>
          <w:b/>
          <w:bCs/>
        </w:rPr>
        <w:t>Transformación digital en la guianza turística</w:t>
      </w:r>
    </w:p>
    <w:p w14:paraId="04351CA1" w14:textId="77777777" w:rsidR="007A66E0" w:rsidRPr="00D1470D" w:rsidRDefault="007A66E0" w:rsidP="00803F63">
      <w:pPr>
        <w:rPr>
          <w:rFonts w:ascii="Calibri" w:hAnsi="Calibri" w:cs="Calibri"/>
          <w:b/>
          <w:bCs/>
        </w:rPr>
      </w:pPr>
    </w:p>
    <w:p w14:paraId="7E444ECD" w14:textId="77777777" w:rsidR="009942D2" w:rsidRDefault="009942D2" w:rsidP="009942D2">
      <w:pPr>
        <w:rPr>
          <w:rFonts w:ascii="Calibri" w:hAnsi="Calibri" w:cs="Calibri"/>
        </w:rPr>
      </w:pPr>
      <w:r w:rsidRPr="009942D2">
        <w:rPr>
          <w:rFonts w:ascii="Calibri" w:hAnsi="Calibri" w:cs="Calibri"/>
        </w:rPr>
        <w:t>En la actualidad, el turismo ha evolucionado gracias al avance de las tecnologías digitales, transformando la manera en que los turistas planifican, viven y comparten sus experiencias de viaje.</w:t>
      </w:r>
    </w:p>
    <w:p w14:paraId="0DCED0D4" w14:textId="77777777" w:rsidR="009942D2" w:rsidRPr="009942D2" w:rsidRDefault="009942D2" w:rsidP="009942D2">
      <w:pPr>
        <w:rPr>
          <w:rFonts w:ascii="Calibri" w:hAnsi="Calibri" w:cs="Calibri"/>
        </w:rPr>
      </w:pPr>
    </w:p>
    <w:p w14:paraId="1D900C6E" w14:textId="5C2BFB66" w:rsidR="009942D2" w:rsidRDefault="009942D2" w:rsidP="009942D2">
      <w:pPr>
        <w:rPr>
          <w:rFonts w:ascii="Calibri" w:hAnsi="Calibri" w:cs="Calibri"/>
        </w:rPr>
      </w:pPr>
      <w:r>
        <w:rPr>
          <w:rFonts w:ascii="Calibri" w:hAnsi="Calibri" w:cs="Calibri"/>
        </w:rPr>
        <w:t>L</w:t>
      </w:r>
      <w:r w:rsidRPr="009942D2">
        <w:rPr>
          <w:rFonts w:ascii="Calibri" w:hAnsi="Calibri" w:cs="Calibri"/>
        </w:rPr>
        <w:t>a guianza turística también se adapta a estos cambios. La transformación digital consiste en integrar herramientas tecnológicas como aplicaciones móviles, códigos QR, audioguías, plataformas digitales y redes sociales para enriquecer la experiencia del visitante.</w:t>
      </w:r>
    </w:p>
    <w:p w14:paraId="300073FC" w14:textId="77777777" w:rsidR="009942D2" w:rsidRPr="009942D2" w:rsidRDefault="009942D2" w:rsidP="009942D2">
      <w:pPr>
        <w:rPr>
          <w:rFonts w:ascii="Calibri" w:hAnsi="Calibri" w:cs="Calibri"/>
        </w:rPr>
      </w:pPr>
    </w:p>
    <w:p w14:paraId="3A39987A" w14:textId="77777777" w:rsidR="009942D2" w:rsidRDefault="009942D2" w:rsidP="009942D2">
      <w:pPr>
        <w:rPr>
          <w:rFonts w:ascii="Calibri" w:hAnsi="Calibri" w:cs="Calibri"/>
        </w:rPr>
      </w:pPr>
      <w:r w:rsidRPr="009942D2">
        <w:rPr>
          <w:rFonts w:ascii="Calibri" w:hAnsi="Calibri" w:cs="Calibri"/>
        </w:rPr>
        <w:t>Estas herramientas permiten al guía ofrecer información en tiempo real, facilitar la comprensión del destino y generar experiencias más interactivas, dinámicas e inclusivas. Por ejemplo, el uso de mapas digitales o traducción automática mejora la comunicación con turistas de diferentes nacionalidades.</w:t>
      </w:r>
    </w:p>
    <w:p w14:paraId="4AAC9F95" w14:textId="77777777" w:rsidR="009942D2" w:rsidRPr="009942D2" w:rsidRDefault="009942D2" w:rsidP="009942D2">
      <w:pPr>
        <w:rPr>
          <w:rFonts w:ascii="Calibri" w:hAnsi="Calibri" w:cs="Calibri"/>
        </w:rPr>
      </w:pPr>
    </w:p>
    <w:p w14:paraId="4E9B42DB" w14:textId="77777777" w:rsidR="009942D2" w:rsidRDefault="009942D2" w:rsidP="009942D2">
      <w:pPr>
        <w:rPr>
          <w:rFonts w:ascii="Calibri" w:hAnsi="Calibri" w:cs="Calibri"/>
        </w:rPr>
      </w:pPr>
      <w:r w:rsidRPr="009942D2">
        <w:rPr>
          <w:rFonts w:ascii="Calibri" w:hAnsi="Calibri" w:cs="Calibri"/>
        </w:rPr>
        <w:t>Sin embargo, la tecnología no reemplaza el rol del guía. Por el contrario, lo fortalece como mediador entre el visitante y el territorio, combinando el conocimiento técnico con recursos digitales.</w:t>
      </w:r>
    </w:p>
    <w:p w14:paraId="6605CF92" w14:textId="77777777" w:rsidR="009942D2" w:rsidRPr="009942D2" w:rsidRDefault="009942D2" w:rsidP="009942D2">
      <w:pPr>
        <w:rPr>
          <w:rFonts w:ascii="Calibri" w:hAnsi="Calibri" w:cs="Calibri"/>
        </w:rPr>
      </w:pPr>
    </w:p>
    <w:p w14:paraId="3560B0CA" w14:textId="77777777" w:rsidR="009942D2" w:rsidRDefault="009942D2" w:rsidP="009942D2">
      <w:pPr>
        <w:rPr>
          <w:rFonts w:ascii="Calibri" w:hAnsi="Calibri" w:cs="Calibri"/>
        </w:rPr>
      </w:pPr>
      <w:r w:rsidRPr="009942D2">
        <w:rPr>
          <w:rFonts w:ascii="Calibri" w:hAnsi="Calibri" w:cs="Calibri"/>
        </w:rPr>
        <w:t>El uso adecuado de estas herramientas implica también responsabilidad, ya que el guía debe garantizar información veraz, proteger los datos del turista y evitar una dependencia excesiva de la tecnología que afecte la interacción humana.</w:t>
      </w:r>
    </w:p>
    <w:p w14:paraId="7711FCA5" w14:textId="77777777" w:rsidR="009942D2" w:rsidRPr="009942D2" w:rsidRDefault="009942D2" w:rsidP="009942D2">
      <w:pPr>
        <w:rPr>
          <w:rFonts w:ascii="Calibri" w:hAnsi="Calibri" w:cs="Calibri"/>
        </w:rPr>
      </w:pPr>
    </w:p>
    <w:p w14:paraId="596AF811" w14:textId="77777777" w:rsidR="009942D2" w:rsidRDefault="009942D2" w:rsidP="009942D2">
      <w:pPr>
        <w:rPr>
          <w:rFonts w:ascii="Calibri" w:hAnsi="Calibri" w:cs="Calibri"/>
        </w:rPr>
      </w:pPr>
      <w:r w:rsidRPr="009942D2">
        <w:rPr>
          <w:rFonts w:ascii="Calibri" w:hAnsi="Calibri" w:cs="Calibri"/>
        </w:rPr>
        <w:t>Por ello, el guía de turismo del siglo XXI debe desarrollar competencias digitales, adaptarse a nuevas herramientas y mantenerse actualizado frente a las tendencias del sector.</w:t>
      </w:r>
    </w:p>
    <w:p w14:paraId="57602447" w14:textId="77777777" w:rsidR="009942D2" w:rsidRPr="009942D2" w:rsidRDefault="009942D2" w:rsidP="009942D2">
      <w:pPr>
        <w:rPr>
          <w:rFonts w:ascii="Calibri" w:hAnsi="Calibri" w:cs="Calibri"/>
        </w:rPr>
      </w:pPr>
    </w:p>
    <w:p w14:paraId="77BB9756" w14:textId="77777777" w:rsidR="009942D2" w:rsidRPr="009942D2" w:rsidRDefault="009942D2" w:rsidP="009942D2">
      <w:pPr>
        <w:rPr>
          <w:rFonts w:ascii="Calibri" w:hAnsi="Calibri" w:cs="Calibri"/>
        </w:rPr>
      </w:pPr>
      <w:r w:rsidRPr="009942D2">
        <w:rPr>
          <w:rFonts w:ascii="Calibri" w:hAnsi="Calibri" w:cs="Calibri"/>
        </w:rPr>
        <w:t>En conclusión, la transformación digital representa una oportunidad para innovar en la guianza turística, mejorar la calidad del servicio y contribuir a la construcción de experiencias más significativas, sostenibles y competitivas.</w:t>
      </w:r>
    </w:p>
    <w:p w14:paraId="7703198A" w14:textId="77777777" w:rsidR="00F6455A" w:rsidRPr="00D1470D" w:rsidRDefault="00F6455A" w:rsidP="00803F63">
      <w:pPr>
        <w:rPr>
          <w:rFonts w:ascii="Calibri" w:hAnsi="Calibri" w:cs="Calibri"/>
        </w:rPr>
      </w:pPr>
    </w:p>
    <w:p w14:paraId="66774F4E" w14:textId="65917062" w:rsidR="00D1470D" w:rsidRPr="00D1470D" w:rsidRDefault="00D1470D" w:rsidP="00803F63">
      <w:pPr>
        <w:rPr>
          <w:rFonts w:ascii="Calibri" w:hAnsi="Calibri" w:cs="Calibri"/>
        </w:rPr>
      </w:pPr>
      <w:r w:rsidRPr="00D1470D">
        <w:rPr>
          <w:rFonts w:ascii="Calibri" w:hAnsi="Calibri" w:cs="Calibri"/>
        </w:rPr>
        <w:t>Tota</w:t>
      </w:r>
      <w:r w:rsidR="009942D2">
        <w:rPr>
          <w:rFonts w:ascii="Calibri" w:hAnsi="Calibri" w:cs="Calibri"/>
        </w:rPr>
        <w:t>l</w:t>
      </w:r>
      <w:r w:rsidRPr="00D1470D">
        <w:rPr>
          <w:rFonts w:ascii="Calibri" w:hAnsi="Calibri" w:cs="Calibri"/>
        </w:rPr>
        <w:t>, palabras</w:t>
      </w:r>
      <w:r w:rsidR="009942D2">
        <w:rPr>
          <w:rFonts w:ascii="Calibri" w:hAnsi="Calibri" w:cs="Calibri"/>
        </w:rPr>
        <w:t>: 2</w:t>
      </w:r>
      <w:r w:rsidR="0019439D">
        <w:rPr>
          <w:rFonts w:ascii="Calibri" w:hAnsi="Calibri" w:cs="Calibri"/>
        </w:rPr>
        <w:t>26</w:t>
      </w:r>
    </w:p>
    <w:p w14:paraId="0BBD8DFB" w14:textId="77777777" w:rsidR="00B15059" w:rsidRPr="00D1470D" w:rsidRDefault="00B15059">
      <w:pPr>
        <w:rPr>
          <w:rFonts w:ascii="Calibri" w:hAnsi="Calibri" w:cs="Calibri"/>
        </w:rPr>
      </w:pPr>
    </w:p>
    <w:sectPr w:rsidR="00B15059" w:rsidRPr="00D1470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F63"/>
    <w:rsid w:val="000255E5"/>
    <w:rsid w:val="000256D4"/>
    <w:rsid w:val="0019439D"/>
    <w:rsid w:val="002F79F0"/>
    <w:rsid w:val="00433EDF"/>
    <w:rsid w:val="006B26C5"/>
    <w:rsid w:val="006E6EB5"/>
    <w:rsid w:val="007007E5"/>
    <w:rsid w:val="007A66E0"/>
    <w:rsid w:val="00803F63"/>
    <w:rsid w:val="009860D9"/>
    <w:rsid w:val="009942D2"/>
    <w:rsid w:val="00A04876"/>
    <w:rsid w:val="00A30610"/>
    <w:rsid w:val="00AD1941"/>
    <w:rsid w:val="00B15059"/>
    <w:rsid w:val="00D1470D"/>
    <w:rsid w:val="00D43B0A"/>
    <w:rsid w:val="00F64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C1720"/>
  <w15:chartTrackingRefBased/>
  <w15:docId w15:val="{7409F173-FDB5-4D6F-94DC-56F9B1DB8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3F63"/>
    <w:pPr>
      <w:spacing w:after="0" w:line="276" w:lineRule="auto"/>
    </w:pPr>
    <w:rPr>
      <w:rFonts w:ascii="Arial" w:eastAsia="Arial" w:hAnsi="Arial" w:cs="Arial"/>
      <w:kern w:val="0"/>
      <w:lang w:eastAsia="ja-JP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803F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03F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03F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03F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03F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03F6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03F6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03F6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03F6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3F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03F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03F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03F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03F6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03F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03F6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03F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03F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03F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03F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03F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03F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03F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03F6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03F6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03F6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03F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03F6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03F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CD1C11B-4C50-4A46-9BAB-9F914D6D6B25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2.xml><?xml version="1.0" encoding="utf-8"?>
<ds:datastoreItem xmlns:ds="http://schemas.openxmlformats.org/officeDocument/2006/customXml" ds:itemID="{E41A95C5-A787-4678-A2C7-4376ED3E6D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180CEE2-0CC6-4C7D-9937-55B9495D89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290</Words>
  <Characters>1600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Paola Morales Paez</dc:creator>
  <cp:keywords/>
  <dc:description/>
  <cp:lastModifiedBy>Daniela Manrique Rueda</cp:lastModifiedBy>
  <cp:revision>5</cp:revision>
  <dcterms:created xsi:type="dcterms:W3CDTF">2026-04-05T16:50:00Z</dcterms:created>
  <dcterms:modified xsi:type="dcterms:W3CDTF">2026-04-06T17:10:00Z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</Properties>
</file>