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15059" w:rsidRDefault="00B15059" w14:paraId="2B6C35F3" w14:textId="77777777"/>
    <w:p w:rsidR="00B92FA6" w:rsidRDefault="00B92FA6" w14:paraId="01DBCBF1" w14:textId="77777777"/>
    <w:p w:rsidR="00B92FA6" w:rsidP="00B92FA6" w:rsidRDefault="00B92FA6" w14:paraId="35FA3132" w14:textId="4A4A24AE">
      <w:pPr>
        <w:jc w:val="center"/>
        <w:rPr>
          <w:rFonts w:ascii="Arial" w:hAnsi="Arial" w:cs="Arial"/>
          <w:b/>
          <w:lang w:val="es-ES"/>
        </w:rPr>
      </w:pPr>
      <w:r w:rsidRPr="004C00F3">
        <w:rPr>
          <w:rFonts w:ascii="Arial" w:hAnsi="Arial" w:cs="Arial"/>
          <w:b/>
          <w:lang w:val="es-ES"/>
        </w:rPr>
        <w:t>GUION INTRODUCCIÓN COMPONENTE FORMATIVO 0</w:t>
      </w:r>
      <w:r w:rsidR="00F57AB1">
        <w:rPr>
          <w:rFonts w:ascii="Arial" w:hAnsi="Arial" w:cs="Arial"/>
          <w:b/>
          <w:lang w:val="es-ES"/>
        </w:rPr>
        <w:t>2</w:t>
      </w:r>
    </w:p>
    <w:p w:rsidRPr="004C00F3" w:rsidR="00B92FA6" w:rsidP="00B92FA6" w:rsidRDefault="00B92FA6" w14:paraId="18868461" w14:textId="77777777">
      <w:pPr>
        <w:jc w:val="center"/>
        <w:rPr>
          <w:rFonts w:ascii="Arial" w:hAnsi="Arial" w:cs="Arial"/>
          <w:b/>
          <w:lang w:val="es-ES"/>
        </w:rPr>
      </w:pPr>
    </w:p>
    <w:p w:rsidRPr="00E14825" w:rsidR="00AC0BE1" w:rsidP="00AC0BE1" w:rsidRDefault="00B92FA6" w14:paraId="74FBDF57" w14:textId="093301CF">
      <w:pPr>
        <w:rPr>
          <w:rFonts w:ascii="Calibri" w:hAnsi="Calibri" w:cs="Calibri"/>
        </w:rPr>
      </w:pPr>
      <w:r w:rsidRPr="00E14825">
        <w:rPr>
          <w:rFonts w:ascii="Calibri" w:hAnsi="Calibri" w:cs="Calibri"/>
          <w:lang w:val="es-ES"/>
        </w:rPr>
        <w:t xml:space="preserve">Título del video: </w:t>
      </w:r>
      <w:r w:rsidR="00F57AB1">
        <w:t>Planificación estratégica del turismo comunitario.</w:t>
      </w:r>
    </w:p>
    <w:p w:rsidR="00F57AB1" w:rsidP="2A3AFDCD" w:rsidRDefault="00AC0BE1" w14:paraId="4DF3FF07" w14:textId="47D11626">
      <w:pPr>
        <w:pStyle w:val="font-claude-response-body"/>
        <w:spacing w:before="0" w:beforeAutospacing="off" w:after="0" w:afterAutospacing="off" w:line="276" w:lineRule="auto"/>
        <w:rPr>
          <w:rFonts w:ascii="Arial" w:hAnsi="Arial" w:cs="Arial"/>
          <w:sz w:val="20"/>
          <w:szCs w:val="20"/>
        </w:rPr>
      </w:pPr>
      <w:r>
        <w:br/>
      </w:r>
      <w:r w:rsidRPr="2A3AFDCD" w:rsidR="00F57AB1">
        <w:rPr>
          <w:rFonts w:ascii="Arial" w:hAnsi="Arial" w:cs="Arial"/>
          <w:sz w:val="20"/>
          <w:szCs w:val="20"/>
        </w:rPr>
        <w:t xml:space="preserve">La </w:t>
      </w:r>
      <w:r w:rsidRPr="2A3AFDCD" w:rsidR="00F57AB1">
        <w:rPr>
          <w:rStyle w:val="Fuerte"/>
          <w:rFonts w:ascii="Arial" w:hAnsi="Arial" w:eastAsia="游ゴシック Light" w:cs="Arial" w:eastAsiaTheme="majorEastAsia"/>
          <w:color w:val="EE0000"/>
          <w:sz w:val="20"/>
          <w:szCs w:val="20"/>
        </w:rPr>
        <w:t>planificación estratégica del turismo comunitario</w:t>
      </w:r>
      <w:r w:rsidRPr="2A3AFDCD" w:rsidR="00F57AB1">
        <w:rPr>
          <w:rFonts w:ascii="Arial" w:hAnsi="Arial" w:cs="Arial"/>
          <w:sz w:val="20"/>
          <w:szCs w:val="20"/>
        </w:rPr>
        <w:t xml:space="preserve"> parte del reconocimiento integral de la </w:t>
      </w:r>
      <w:r w:rsidRPr="2A3AFDCD" w:rsidR="00F57AB1">
        <w:rPr>
          <w:rStyle w:val="Fuerte"/>
          <w:rFonts w:ascii="Arial" w:hAnsi="Arial" w:eastAsia="游ゴシック Light" w:cs="Arial" w:eastAsiaTheme="majorEastAsia"/>
          <w:color w:val="EE0000"/>
          <w:sz w:val="20"/>
          <w:szCs w:val="20"/>
        </w:rPr>
        <w:t>comunidad</w:t>
      </w:r>
      <w:r w:rsidRPr="2A3AFDCD" w:rsidR="00F57AB1">
        <w:rPr>
          <w:rFonts w:ascii="Arial" w:hAnsi="Arial" w:cs="Arial"/>
          <w:color w:val="EE0000"/>
          <w:sz w:val="20"/>
          <w:szCs w:val="20"/>
        </w:rPr>
        <w:t xml:space="preserve"> </w:t>
      </w:r>
      <w:r w:rsidRPr="2A3AFDCD" w:rsidR="00F57AB1">
        <w:rPr>
          <w:rFonts w:ascii="Arial" w:hAnsi="Arial" w:cs="Arial"/>
          <w:sz w:val="20"/>
          <w:szCs w:val="20"/>
        </w:rPr>
        <w:t xml:space="preserve">como eje del desarrollo turístico territorial. Este abordaje permite comprender las dinámicas locales y su relación con la construcción de propuestas turísticas </w:t>
      </w:r>
      <w:r w:rsidRPr="2A3AFDCD" w:rsidR="00F57AB1">
        <w:rPr>
          <w:rStyle w:val="Fuerte"/>
          <w:rFonts w:ascii="Arial" w:hAnsi="Arial" w:eastAsia="游ゴシック Light" w:cs="Arial" w:eastAsiaTheme="majorEastAsia"/>
          <w:color w:val="EE0000"/>
          <w:sz w:val="20"/>
          <w:szCs w:val="20"/>
        </w:rPr>
        <w:t>sostenibles</w:t>
      </w:r>
      <w:r w:rsidRPr="2A3AFDCD" w:rsidR="00F57AB1">
        <w:rPr>
          <w:rFonts w:ascii="Arial" w:hAnsi="Arial" w:cs="Arial"/>
          <w:color w:val="EE0000"/>
          <w:sz w:val="20"/>
          <w:szCs w:val="20"/>
        </w:rPr>
        <w:t xml:space="preserve">, </w:t>
      </w:r>
      <w:r w:rsidRPr="2A3AFDCD" w:rsidR="00F57AB1">
        <w:rPr>
          <w:rStyle w:val="Fuerte"/>
          <w:rFonts w:ascii="Arial" w:hAnsi="Arial" w:eastAsia="游ゴシック Light" w:cs="Arial" w:eastAsiaTheme="majorEastAsia"/>
          <w:color w:val="EE0000"/>
          <w:sz w:val="20"/>
          <w:szCs w:val="20"/>
        </w:rPr>
        <w:t>incluyentes</w:t>
      </w:r>
      <w:r w:rsidRPr="2A3AFDCD" w:rsidR="00F57AB1">
        <w:rPr>
          <w:rFonts w:ascii="Arial" w:hAnsi="Arial" w:cs="Arial"/>
          <w:sz w:val="20"/>
          <w:szCs w:val="20"/>
        </w:rPr>
        <w:t xml:space="preserve"> y pertinentes para las personas y </w:t>
      </w:r>
      <w:r w:rsidRPr="2A3AFDCD" w:rsidR="141C71D9">
        <w:rPr>
          <w:rFonts w:ascii="Arial" w:hAnsi="Arial" w:cs="Arial"/>
          <w:sz w:val="20"/>
          <w:szCs w:val="20"/>
        </w:rPr>
        <w:t xml:space="preserve">los </w:t>
      </w:r>
      <w:r w:rsidRPr="2A3AFDCD" w:rsidR="00F57AB1">
        <w:rPr>
          <w:rFonts w:ascii="Arial" w:hAnsi="Arial" w:cs="Arial"/>
          <w:sz w:val="20"/>
          <w:szCs w:val="20"/>
        </w:rPr>
        <w:t>colectivos que habitan el territorio.</w:t>
      </w:r>
    </w:p>
    <w:p w:rsidRPr="00F57AB1" w:rsidR="00F57AB1" w:rsidP="00F57AB1" w:rsidRDefault="00F57AB1" w14:paraId="0A246B43" w14:textId="77777777">
      <w:pPr>
        <w:pStyle w:val="font-claude-response-body"/>
        <w:spacing w:before="0" w:beforeAutospacing="0" w:after="0" w:afterAutospacing="0" w:line="276" w:lineRule="auto"/>
        <w:rPr>
          <w:rFonts w:ascii="Arial" w:hAnsi="Arial" w:cs="Arial"/>
          <w:sz w:val="20"/>
          <w:szCs w:val="20"/>
        </w:rPr>
      </w:pPr>
    </w:p>
    <w:p w:rsidR="00F57AB1" w:rsidP="00F57AB1" w:rsidRDefault="00F57AB1" w14:paraId="248B7F58" w14:textId="77777777">
      <w:pPr>
        <w:pStyle w:val="font-claude-response-body"/>
        <w:spacing w:before="0" w:beforeAutospacing="0" w:after="0" w:afterAutospacing="0" w:line="276" w:lineRule="auto"/>
        <w:rPr>
          <w:rFonts w:ascii="Arial" w:hAnsi="Arial" w:cs="Arial"/>
          <w:sz w:val="20"/>
          <w:szCs w:val="20"/>
        </w:rPr>
      </w:pPr>
      <w:r w:rsidRPr="00F57AB1">
        <w:rPr>
          <w:rFonts w:ascii="Arial" w:hAnsi="Arial" w:cs="Arial"/>
          <w:sz w:val="20"/>
          <w:szCs w:val="20"/>
        </w:rPr>
        <w:t xml:space="preserve">Conocer el </w:t>
      </w:r>
      <w:r w:rsidRPr="00F57AB1">
        <w:rPr>
          <w:rStyle w:val="Fuerte"/>
          <w:rFonts w:ascii="Arial" w:hAnsi="Arial" w:cs="Arial" w:eastAsiaTheme="majorEastAsia"/>
          <w:color w:val="EE0000"/>
          <w:sz w:val="20"/>
          <w:szCs w:val="20"/>
        </w:rPr>
        <w:t>perfil del turista comunitario</w:t>
      </w:r>
      <w:r w:rsidRPr="00F57AB1">
        <w:rPr>
          <w:rFonts w:ascii="Arial" w:hAnsi="Arial" w:cs="Arial"/>
          <w:sz w:val="20"/>
          <w:szCs w:val="20"/>
        </w:rPr>
        <w:t xml:space="preserve">, sus motivaciones y tipologías, permite identificar oportunidades de interacción respetuosa entre visitantes y comunidad anfitriona. De igual manera, el análisis de las </w:t>
      </w:r>
      <w:r w:rsidRPr="00F57AB1">
        <w:rPr>
          <w:rStyle w:val="Fuerte"/>
          <w:rFonts w:ascii="Arial" w:hAnsi="Arial" w:cs="Arial" w:eastAsiaTheme="majorEastAsia"/>
          <w:color w:val="EE0000"/>
          <w:sz w:val="20"/>
          <w:szCs w:val="20"/>
        </w:rPr>
        <w:t>actividades turísticas comunitarias</w:t>
      </w:r>
      <w:r w:rsidRPr="00F57AB1">
        <w:rPr>
          <w:rFonts w:ascii="Arial" w:hAnsi="Arial" w:cs="Arial"/>
          <w:color w:val="EE0000"/>
          <w:sz w:val="20"/>
          <w:szCs w:val="20"/>
        </w:rPr>
        <w:t xml:space="preserve"> </w:t>
      </w:r>
      <w:r w:rsidRPr="00F57AB1">
        <w:rPr>
          <w:rFonts w:ascii="Arial" w:hAnsi="Arial" w:cs="Arial"/>
          <w:sz w:val="20"/>
          <w:szCs w:val="20"/>
        </w:rPr>
        <w:t xml:space="preserve">y sus posibilidades de </w:t>
      </w:r>
      <w:r w:rsidRPr="00F57AB1">
        <w:rPr>
          <w:rStyle w:val="Fuerte"/>
          <w:rFonts w:ascii="Arial" w:hAnsi="Arial" w:cs="Arial" w:eastAsiaTheme="majorEastAsia"/>
          <w:color w:val="EE0000"/>
          <w:sz w:val="20"/>
          <w:szCs w:val="20"/>
        </w:rPr>
        <w:t>comercialización responsable</w:t>
      </w:r>
      <w:r w:rsidRPr="00F57AB1">
        <w:rPr>
          <w:rFonts w:ascii="Arial" w:hAnsi="Arial" w:cs="Arial"/>
          <w:color w:val="EE0000"/>
          <w:sz w:val="20"/>
          <w:szCs w:val="20"/>
        </w:rPr>
        <w:t xml:space="preserve"> </w:t>
      </w:r>
      <w:r w:rsidRPr="00F57AB1">
        <w:rPr>
          <w:rFonts w:ascii="Arial" w:hAnsi="Arial" w:cs="Arial"/>
          <w:sz w:val="20"/>
          <w:szCs w:val="20"/>
        </w:rPr>
        <w:t>orienta la generación de beneficios sociales, culturales y económicos para la población local.</w:t>
      </w:r>
    </w:p>
    <w:p w:rsidRPr="00F57AB1" w:rsidR="000E7D38" w:rsidP="00F57AB1" w:rsidRDefault="000E7D38" w14:paraId="25703686" w14:textId="77777777">
      <w:pPr>
        <w:pStyle w:val="font-claude-response-body"/>
        <w:spacing w:before="0" w:beforeAutospacing="0" w:after="0" w:afterAutospacing="0" w:line="276" w:lineRule="auto"/>
        <w:rPr>
          <w:rFonts w:ascii="Arial" w:hAnsi="Arial" w:cs="Arial"/>
          <w:sz w:val="20"/>
          <w:szCs w:val="20"/>
        </w:rPr>
      </w:pPr>
    </w:p>
    <w:p w:rsidR="00F57AB1" w:rsidP="00F57AB1" w:rsidRDefault="00F57AB1" w14:paraId="16A1179B" w14:textId="77777777">
      <w:pPr>
        <w:pStyle w:val="font-claude-response-body"/>
        <w:spacing w:before="0" w:beforeAutospacing="0" w:after="0" w:afterAutospacing="0" w:line="276" w:lineRule="auto"/>
        <w:rPr>
          <w:rFonts w:ascii="Arial" w:hAnsi="Arial" w:cs="Arial"/>
          <w:sz w:val="20"/>
          <w:szCs w:val="20"/>
        </w:rPr>
      </w:pPr>
      <w:r w:rsidRPr="00F57AB1">
        <w:rPr>
          <w:rFonts w:ascii="Arial" w:hAnsi="Arial" w:cs="Arial"/>
          <w:sz w:val="20"/>
          <w:szCs w:val="20"/>
        </w:rPr>
        <w:t xml:space="preserve">El recorrido por este componente fortalece la comprensión de las </w:t>
      </w:r>
      <w:r w:rsidRPr="00F57AB1">
        <w:rPr>
          <w:rStyle w:val="Fuerte"/>
          <w:rFonts w:ascii="Arial" w:hAnsi="Arial" w:cs="Arial" w:eastAsiaTheme="majorEastAsia"/>
          <w:color w:val="EE0000"/>
          <w:sz w:val="20"/>
          <w:szCs w:val="20"/>
        </w:rPr>
        <w:t>alianzas estratégicas</w:t>
      </w:r>
      <w:r w:rsidRPr="00F57AB1">
        <w:rPr>
          <w:rFonts w:ascii="Arial" w:hAnsi="Arial" w:cs="Arial"/>
          <w:color w:val="EE0000"/>
          <w:sz w:val="20"/>
          <w:szCs w:val="20"/>
        </w:rPr>
        <w:t xml:space="preserve"> </w:t>
      </w:r>
      <w:r w:rsidRPr="00F57AB1">
        <w:rPr>
          <w:rFonts w:ascii="Arial" w:hAnsi="Arial" w:cs="Arial"/>
          <w:sz w:val="20"/>
          <w:szCs w:val="20"/>
        </w:rPr>
        <w:t xml:space="preserve">como mecanismo para consolidar procesos turísticos con criterios de </w:t>
      </w:r>
      <w:r w:rsidRPr="00F57AB1">
        <w:rPr>
          <w:rStyle w:val="Fuerte"/>
          <w:rFonts w:ascii="Arial" w:hAnsi="Arial" w:cs="Arial" w:eastAsiaTheme="majorEastAsia"/>
          <w:color w:val="EE0000"/>
          <w:sz w:val="20"/>
          <w:szCs w:val="20"/>
        </w:rPr>
        <w:t>calidad</w:t>
      </w:r>
      <w:r w:rsidRPr="00F57AB1">
        <w:rPr>
          <w:rFonts w:ascii="Arial" w:hAnsi="Arial" w:cs="Arial"/>
          <w:color w:val="EE0000"/>
          <w:sz w:val="20"/>
          <w:szCs w:val="20"/>
        </w:rPr>
        <w:t xml:space="preserve">, </w:t>
      </w:r>
      <w:r w:rsidRPr="00F57AB1">
        <w:rPr>
          <w:rStyle w:val="Fuerte"/>
          <w:rFonts w:ascii="Arial" w:hAnsi="Arial" w:cs="Arial" w:eastAsiaTheme="majorEastAsia"/>
          <w:color w:val="EE0000"/>
          <w:sz w:val="20"/>
          <w:szCs w:val="20"/>
        </w:rPr>
        <w:t>corresponsabilidad</w:t>
      </w:r>
      <w:r w:rsidRPr="00F57AB1">
        <w:rPr>
          <w:rFonts w:ascii="Arial" w:hAnsi="Arial" w:cs="Arial"/>
          <w:color w:val="EE0000"/>
          <w:sz w:val="20"/>
          <w:szCs w:val="20"/>
        </w:rPr>
        <w:t xml:space="preserve"> </w:t>
      </w:r>
      <w:r w:rsidRPr="00F57AB1">
        <w:rPr>
          <w:rFonts w:ascii="Arial" w:hAnsi="Arial" w:cs="Arial"/>
          <w:sz w:val="20"/>
          <w:szCs w:val="20"/>
        </w:rPr>
        <w:t xml:space="preserve">y sostenibilidad. Asimismo, se reconocen las </w:t>
      </w:r>
      <w:r w:rsidRPr="00F57AB1">
        <w:rPr>
          <w:rStyle w:val="Fuerte"/>
          <w:rFonts w:ascii="Arial" w:hAnsi="Arial" w:cs="Arial" w:eastAsiaTheme="majorEastAsia"/>
          <w:color w:val="EE0000"/>
          <w:sz w:val="20"/>
          <w:szCs w:val="20"/>
        </w:rPr>
        <w:t>capacidades</w:t>
      </w:r>
      <w:r w:rsidRPr="00F57AB1">
        <w:rPr>
          <w:rFonts w:ascii="Arial" w:hAnsi="Arial" w:cs="Arial"/>
          <w:sz w:val="20"/>
          <w:szCs w:val="20"/>
        </w:rPr>
        <w:t xml:space="preserve"> que deben desarrollar los prestadores de servicios y los </w:t>
      </w:r>
      <w:r w:rsidRPr="00F57AB1">
        <w:rPr>
          <w:rStyle w:val="Fuerte"/>
          <w:rFonts w:ascii="Arial" w:hAnsi="Arial" w:cs="Arial" w:eastAsiaTheme="majorEastAsia"/>
          <w:color w:val="EE0000"/>
          <w:sz w:val="20"/>
          <w:szCs w:val="20"/>
        </w:rPr>
        <w:t>estándares</w:t>
      </w:r>
      <w:r w:rsidRPr="00F57AB1">
        <w:rPr>
          <w:rFonts w:ascii="Arial" w:hAnsi="Arial" w:cs="Arial"/>
          <w:sz w:val="20"/>
          <w:szCs w:val="20"/>
        </w:rPr>
        <w:t xml:space="preserve"> que orientan una oferta pertinente, accesible e incluyente.</w:t>
      </w:r>
    </w:p>
    <w:p w:rsidRPr="00F57AB1" w:rsidR="00F57AB1" w:rsidP="00F57AB1" w:rsidRDefault="00F57AB1" w14:paraId="2BD28DE6" w14:textId="77777777">
      <w:pPr>
        <w:pStyle w:val="font-claude-response-body"/>
        <w:spacing w:before="0" w:beforeAutospacing="0" w:after="0" w:afterAutospacing="0" w:line="276" w:lineRule="auto"/>
        <w:rPr>
          <w:rFonts w:ascii="Arial" w:hAnsi="Arial" w:cs="Arial"/>
          <w:sz w:val="20"/>
          <w:szCs w:val="20"/>
        </w:rPr>
      </w:pPr>
    </w:p>
    <w:p w:rsidR="00F57AB1" w:rsidP="00F57AB1" w:rsidRDefault="00F57AB1" w14:paraId="3D135779" w14:textId="77777777">
      <w:pPr>
        <w:pStyle w:val="font-claude-response-body"/>
        <w:spacing w:before="0" w:beforeAutospacing="0" w:after="0" w:afterAutospacing="0" w:line="276" w:lineRule="auto"/>
        <w:rPr>
          <w:rFonts w:ascii="Arial" w:hAnsi="Arial" w:cs="Arial"/>
          <w:sz w:val="20"/>
          <w:szCs w:val="20"/>
        </w:rPr>
      </w:pPr>
      <w:r w:rsidRPr="00F57AB1">
        <w:rPr>
          <w:rFonts w:ascii="Arial" w:hAnsi="Arial" w:cs="Arial"/>
          <w:sz w:val="20"/>
          <w:szCs w:val="20"/>
        </w:rPr>
        <w:t xml:space="preserve">Finalmente, el aprendizaje se orienta al establecimiento de </w:t>
      </w:r>
      <w:r w:rsidRPr="00F57AB1">
        <w:rPr>
          <w:rStyle w:val="Fuerte"/>
          <w:rFonts w:ascii="Arial" w:hAnsi="Arial" w:cs="Arial" w:eastAsiaTheme="majorEastAsia"/>
          <w:color w:val="EE0000"/>
          <w:sz w:val="20"/>
          <w:szCs w:val="20"/>
        </w:rPr>
        <w:t>líneas estratégicas con enfoque comunitario</w:t>
      </w:r>
      <w:r w:rsidRPr="00F57AB1">
        <w:rPr>
          <w:rFonts w:ascii="Arial" w:hAnsi="Arial" w:cs="Arial"/>
          <w:color w:val="EE0000"/>
          <w:sz w:val="20"/>
          <w:szCs w:val="20"/>
        </w:rPr>
        <w:t xml:space="preserve"> </w:t>
      </w:r>
      <w:r w:rsidRPr="00F57AB1">
        <w:rPr>
          <w:rFonts w:ascii="Arial" w:hAnsi="Arial" w:cs="Arial"/>
          <w:sz w:val="20"/>
          <w:szCs w:val="20"/>
        </w:rPr>
        <w:t xml:space="preserve">y su validación con los actores locales, garantizando iniciativas que contribuyan al </w:t>
      </w:r>
      <w:r w:rsidRPr="00F57AB1">
        <w:rPr>
          <w:rStyle w:val="Fuerte"/>
          <w:rFonts w:ascii="Arial" w:hAnsi="Arial" w:cs="Arial" w:eastAsiaTheme="majorEastAsia"/>
          <w:color w:val="EE0000"/>
          <w:sz w:val="20"/>
          <w:szCs w:val="20"/>
        </w:rPr>
        <w:t>bienestar colectivo</w:t>
      </w:r>
      <w:r w:rsidRPr="00F57AB1">
        <w:rPr>
          <w:rFonts w:ascii="Arial" w:hAnsi="Arial" w:cs="Arial"/>
          <w:sz w:val="20"/>
          <w:szCs w:val="20"/>
        </w:rPr>
        <w:t xml:space="preserve">, la </w:t>
      </w:r>
      <w:r w:rsidRPr="00F57AB1">
        <w:rPr>
          <w:rStyle w:val="Fuerte"/>
          <w:rFonts w:ascii="Arial" w:hAnsi="Arial" w:cs="Arial" w:eastAsiaTheme="majorEastAsia"/>
          <w:color w:val="EE0000"/>
          <w:sz w:val="20"/>
          <w:szCs w:val="20"/>
        </w:rPr>
        <w:t>preservación cultural</w:t>
      </w:r>
      <w:r w:rsidRPr="00F57AB1">
        <w:rPr>
          <w:rFonts w:ascii="Arial" w:hAnsi="Arial" w:cs="Arial"/>
          <w:color w:val="EE0000"/>
          <w:sz w:val="20"/>
          <w:szCs w:val="20"/>
        </w:rPr>
        <w:t xml:space="preserve"> </w:t>
      </w:r>
      <w:r w:rsidRPr="00F57AB1">
        <w:rPr>
          <w:rFonts w:ascii="Arial" w:hAnsi="Arial" w:cs="Arial"/>
          <w:sz w:val="20"/>
          <w:szCs w:val="20"/>
        </w:rPr>
        <w:t>y el uso responsable de los recursos del territorio.</w:t>
      </w:r>
    </w:p>
    <w:p w:rsidRPr="00F57AB1" w:rsidR="00F57AB1" w:rsidP="00F57AB1" w:rsidRDefault="00F57AB1" w14:paraId="3CC65B38" w14:textId="77777777">
      <w:pPr>
        <w:pStyle w:val="font-claude-response-body"/>
        <w:spacing w:before="0" w:beforeAutospacing="0" w:after="0" w:afterAutospacing="0" w:line="276" w:lineRule="auto"/>
        <w:rPr>
          <w:rFonts w:ascii="Arial" w:hAnsi="Arial" w:cs="Arial"/>
          <w:sz w:val="20"/>
          <w:szCs w:val="20"/>
        </w:rPr>
      </w:pPr>
    </w:p>
    <w:p w:rsidRPr="00F57AB1" w:rsidR="00F57AB1" w:rsidP="00F57AB1" w:rsidRDefault="00F57AB1" w14:paraId="2A0F7F58" w14:textId="77777777">
      <w:pPr>
        <w:pStyle w:val="font-claude-response-body"/>
        <w:spacing w:before="0" w:beforeAutospacing="0" w:after="0" w:afterAutospacing="0" w:line="276" w:lineRule="auto"/>
        <w:rPr>
          <w:rFonts w:ascii="Arial" w:hAnsi="Arial" w:cs="Arial"/>
          <w:sz w:val="20"/>
          <w:szCs w:val="20"/>
        </w:rPr>
      </w:pPr>
      <w:r w:rsidRPr="00F57AB1">
        <w:rPr>
          <w:rStyle w:val="Fuerte"/>
          <w:rFonts w:ascii="Arial" w:hAnsi="Arial" w:cs="Arial" w:eastAsiaTheme="majorEastAsia"/>
          <w:sz w:val="20"/>
          <w:szCs w:val="20"/>
        </w:rPr>
        <w:t>TOTAL PALABRAS: 192</w:t>
      </w:r>
    </w:p>
    <w:p w:rsidR="00B92FA6" w:rsidP="00F57AB1" w:rsidRDefault="00B92FA6" w14:paraId="67E8693F" w14:textId="2F952A43">
      <w:pPr>
        <w:pStyle w:val="font-claude-response-body"/>
        <w:spacing w:before="0" w:beforeAutospacing="0" w:after="0" w:afterAutospacing="0" w:line="276" w:lineRule="auto"/>
      </w:pPr>
    </w:p>
    <w:sectPr w:rsidR="00B92FA6">
      <w:pgSz w:w="12240" w:h="15840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2FA6"/>
    <w:rsid w:val="000E58A4"/>
    <w:rsid w:val="000E7D38"/>
    <w:rsid w:val="001F3643"/>
    <w:rsid w:val="002D1E4B"/>
    <w:rsid w:val="002E15EF"/>
    <w:rsid w:val="002F79F0"/>
    <w:rsid w:val="006412B2"/>
    <w:rsid w:val="009B52F8"/>
    <w:rsid w:val="00A17CA4"/>
    <w:rsid w:val="00AB37F3"/>
    <w:rsid w:val="00AC0BE1"/>
    <w:rsid w:val="00AD1941"/>
    <w:rsid w:val="00AF12E1"/>
    <w:rsid w:val="00B15059"/>
    <w:rsid w:val="00B453DA"/>
    <w:rsid w:val="00B92FA6"/>
    <w:rsid w:val="00BD4031"/>
    <w:rsid w:val="00D21C3E"/>
    <w:rsid w:val="00D726B7"/>
    <w:rsid w:val="00E14825"/>
    <w:rsid w:val="00E31EBA"/>
    <w:rsid w:val="00F57AB1"/>
    <w:rsid w:val="141C71D9"/>
    <w:rsid w:val="2A3AFDCD"/>
    <w:rsid w:val="49E4CF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7F6A75"/>
  <w15:chartTrackingRefBased/>
  <w15:docId w15:val="{49EC4A9C-2A43-4A82-A2CF-1BE6FDB7A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92FA6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92FA6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92F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92F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92F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92F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92F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92F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92F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9"/>
    <w:rsid w:val="00B92FA6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/>
    <w:rsid w:val="00B92FA6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/>
    <w:rsid w:val="00B92FA6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B92FA6"/>
    <w:rPr>
      <w:rFonts w:eastAsiaTheme="majorEastAsia" w:cstheme="majorBidi"/>
      <w:i/>
      <w:iCs/>
      <w:color w:val="0F4761" w:themeColor="accent1" w:themeShade="BF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B92FA6"/>
    <w:rPr>
      <w:rFonts w:eastAsiaTheme="majorEastAsia" w:cstheme="majorBidi"/>
      <w:color w:val="0F4761" w:themeColor="accent1" w:themeShade="B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B92FA6"/>
    <w:rPr>
      <w:rFonts w:eastAsiaTheme="majorEastAsia" w:cstheme="majorBidi"/>
      <w:i/>
      <w:iCs/>
      <w:color w:val="595959" w:themeColor="text1" w:themeTint="A6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B92FA6"/>
    <w:rPr>
      <w:rFonts w:eastAsiaTheme="majorEastAsia" w:cstheme="majorBidi"/>
      <w:color w:val="595959" w:themeColor="text1" w:themeTint="A6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B92FA6"/>
    <w:rPr>
      <w:rFonts w:eastAsiaTheme="majorEastAsia" w:cstheme="majorBidi"/>
      <w:i/>
      <w:iCs/>
      <w:color w:val="272727" w:themeColor="text1" w:themeTint="D8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B92FA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92FA6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B92FA6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92F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B92F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92FA6"/>
    <w:pPr>
      <w:spacing w:before="160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basedOn w:val="Fuentedeprrafopredeter"/>
    <w:link w:val="Cita"/>
    <w:uiPriority w:val="29"/>
    <w:rsid w:val="00B92FA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92FA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92FA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92FA6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B92FA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92FA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C0BE1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:lang w:eastAsia="es-CO"/>
      <w14:ligatures w14:val="none"/>
    </w:rPr>
  </w:style>
  <w:style w:type="character" w:styleId="Fuerte">
    <w:name w:val="Strong"/>
    <w:basedOn w:val="Fuentedeprrafopredeter"/>
    <w:uiPriority w:val="22"/>
    <w:qFormat/>
    <w:rsid w:val="00AC0BE1"/>
    <w:rPr>
      <w:b/>
      <w:bCs/>
    </w:rPr>
  </w:style>
  <w:style w:type="paragraph" w:styleId="font-claude-response-body" w:customStyle="1">
    <w:name w:val="font-claude-response-body"/>
    <w:basedOn w:val="Normal"/>
    <w:rsid w:val="00E14825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:lang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215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customXml" Target="../customXml/item3.xml" Id="rId3" /><Relationship Type="http://schemas.openxmlformats.org/officeDocument/2006/relationships/fontTable" Target="fontTable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settings" Target="settings.xml" Id="rId5" /><Relationship Type="http://schemas.openxmlformats.org/officeDocument/2006/relationships/styles" Target="styles.xml" Id="rId4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C52B28F-A17A-4F53-9529-2D5127C995A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c90a0b-73bc-4dc0-be5f-28d77b615beb"/>
    <ds:schemaRef ds:uri="13c93bba-48ce-428c-bfe5-88b42c19b0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53CC4B2-B865-44BA-B25D-B64778F1CBB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2D8FE09-FDDD-4624-A726-370745BF778B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Sandra Paola Morales Paez</dc:creator>
  <keywords/>
  <dc:description/>
  <lastModifiedBy>Yineth Ibette Gonzalez Quintero</lastModifiedBy>
  <revision>7</revision>
  <dcterms:created xsi:type="dcterms:W3CDTF">2026-03-03T20:20:00.0000000Z</dcterms:created>
  <dcterms:modified xsi:type="dcterms:W3CDTF">2026-03-03T20:21:42.6997219Z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ediaServiceImageTags">
    <vt:lpwstr/>
  </property>
  <property fmtid="{D5CDD505-2E9C-101B-9397-08002B2CF9AE}" pid="4" name="MSIP_Label_516245d8-e5f4-42ac-a19d-923c969a5d0b_Enabled">
    <vt:lpwstr>true</vt:lpwstr>
  </property>
  <property fmtid="{D5CDD505-2E9C-101B-9397-08002B2CF9AE}" pid="5" name="MSIP_Label_516245d8-e5f4-42ac-a19d-923c969a5d0b_SetDate">
    <vt:lpwstr>2026-03-03T20:20:28Z</vt:lpwstr>
  </property>
  <property fmtid="{D5CDD505-2E9C-101B-9397-08002B2CF9AE}" pid="6" name="MSIP_Label_516245d8-e5f4-42ac-a19d-923c969a5d0b_Method">
    <vt:lpwstr>Privileged</vt:lpwstr>
  </property>
  <property fmtid="{D5CDD505-2E9C-101B-9397-08002B2CF9AE}" pid="7" name="MSIP_Label_516245d8-e5f4-42ac-a19d-923c969a5d0b_Name">
    <vt:lpwstr>Confidential</vt:lpwstr>
  </property>
  <property fmtid="{D5CDD505-2E9C-101B-9397-08002B2CF9AE}" pid="8" name="MSIP_Label_516245d8-e5f4-42ac-a19d-923c969a5d0b_SiteId">
    <vt:lpwstr>cbc2c381-2f2e-4d93-91d1-506c9316ace7</vt:lpwstr>
  </property>
  <property fmtid="{D5CDD505-2E9C-101B-9397-08002B2CF9AE}" pid="9" name="MSIP_Label_516245d8-e5f4-42ac-a19d-923c969a5d0b_ActionId">
    <vt:lpwstr>9d26e6a1-7f4b-4c5b-ac7c-1b3ec65411ff</vt:lpwstr>
  </property>
  <property fmtid="{D5CDD505-2E9C-101B-9397-08002B2CF9AE}" pid="10" name="MSIP_Label_516245d8-e5f4-42ac-a19d-923c969a5d0b_ContentBits">
    <vt:lpwstr>0</vt:lpwstr>
  </property>
  <property fmtid="{D5CDD505-2E9C-101B-9397-08002B2CF9AE}" pid="11" name="MSIP_Label_516245d8-e5f4-42ac-a19d-923c969a5d0b_Tag">
    <vt:lpwstr>10, 0, 1, 2</vt:lpwstr>
  </property>
</Properties>
</file>