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30B" w:rsidP="0077430B" w:rsidRDefault="00E14988" w14:paraId="5D1A74CC" w14:textId="74219D00">
      <w:pPr>
        <w:spacing w:line="360" w:lineRule="auto"/>
        <w:jc w:val="center"/>
        <w:rPr>
          <w:b/>
          <w:lang w:val="es-ES"/>
        </w:rPr>
      </w:pPr>
      <w:r w:rsidRPr="0077777A">
        <w:rPr>
          <w:b/>
          <w:lang w:val="es-ES"/>
        </w:rPr>
        <w:t>GUION INTR</w:t>
      </w:r>
      <w:r w:rsidR="00B57DBD">
        <w:rPr>
          <w:b/>
          <w:lang w:val="es-ES"/>
        </w:rPr>
        <w:t>ODUCCIÓN COMPONENTE FORMATIVO 02</w:t>
      </w:r>
    </w:p>
    <w:p w:rsidR="0077430B" w:rsidP="0077430B" w:rsidRDefault="0077430B" w14:paraId="097580AB" w14:textId="77777777">
      <w:pPr>
        <w:spacing w:line="360" w:lineRule="auto"/>
        <w:rPr>
          <w:b/>
          <w:lang w:val="es-ES"/>
        </w:rPr>
      </w:pPr>
    </w:p>
    <w:p w:rsidR="005E2D96" w:rsidP="1217FFCC" w:rsidRDefault="007B608A" w14:paraId="4265240D" w14:textId="2AEE18CC">
      <w:pPr>
        <w:spacing w:line="360" w:lineRule="auto"/>
        <w:rPr>
          <w:b w:val="1"/>
          <w:bCs w:val="1"/>
          <w:lang w:val="es-ES"/>
        </w:rPr>
      </w:pPr>
      <w:r w:rsidRPr="1217FFCC" w:rsidR="007B608A">
        <w:rPr>
          <w:lang w:val="es-ES"/>
        </w:rPr>
        <w:t>Título del video:</w:t>
      </w:r>
      <w:r w:rsidRPr="1217FFCC" w:rsidR="007B608A">
        <w:rPr>
          <w:b w:val="1"/>
          <w:bCs w:val="1"/>
          <w:lang w:val="es-ES"/>
        </w:rPr>
        <w:t xml:space="preserve"> </w:t>
      </w:r>
      <w:r w:rsidRPr="1217FFCC" w:rsidR="00B57DBD">
        <w:rPr>
          <w:rStyle w:val="fontstyle01"/>
          <w:rFonts w:ascii="Calibri" w:hAnsi="Calibri" w:cs="Calibri"/>
          <w:b w:val="1"/>
          <w:bCs w:val="1"/>
        </w:rPr>
        <w:t>Prefactibilid</w:t>
      </w:r>
      <w:r w:rsidRPr="1217FFCC" w:rsidR="00B57DBD">
        <w:rPr>
          <w:rStyle w:val="fontstyle01"/>
          <w:rFonts w:ascii="Calibri" w:hAnsi="Calibri" w:cs="Calibri"/>
          <w:b w:val="1"/>
          <w:bCs w:val="1"/>
        </w:rPr>
        <w:t>ad de proyecto energético rural</w:t>
      </w:r>
    </w:p>
    <w:p w:rsidRPr="005E2D96" w:rsidR="005E2D96" w:rsidP="005E2D96" w:rsidRDefault="005E2D96" w14:paraId="646A748E" w14:textId="3D24D3D3">
      <w:pPr>
        <w:spacing w:line="360" w:lineRule="auto"/>
      </w:pPr>
      <w:r w:rsidRPr="005E2D96">
        <w:rPr>
          <w:rFonts w:ascii="Calibri" w:hAnsi="Calibri" w:eastAsia="Times New Roman" w:cs="Calibri"/>
          <w:b/>
          <w:bCs/>
          <w:highlight w:val="green"/>
          <w:lang w:eastAsia="es-CO"/>
        </w:rPr>
        <w:t>Escena 1</w:t>
      </w:r>
    </w:p>
    <w:p w:rsidR="00B57DBD" w:rsidP="56046471" w:rsidRDefault="00B57DBD" w14:paraId="76153B95" w14:textId="57041D33">
      <w:pPr>
        <w:pStyle w:val="Normal"/>
        <w:suppressLineNumbers w:val="0"/>
        <w:spacing w:beforeAutospacing="on" w:afterAutospacing="on" w:line="360" w:lineRule="auto"/>
        <w:ind w:left="0" w:right="0"/>
        <w:jc w:val="left"/>
      </w:pPr>
      <w:r w:rsidR="00B57DBD">
        <w:rPr/>
        <w:t xml:space="preserve">Bienvenido a la formación complementaria virtual </w:t>
      </w:r>
      <w:r w:rsidRPr="56046471" w:rsidR="00B57DBD">
        <w:rPr>
          <w:b w:val="1"/>
          <w:bCs w:val="1"/>
        </w:rPr>
        <w:t>Prefactibilidad de proyecto energético rural</w:t>
      </w:r>
      <w:r w:rsidR="00B57DBD">
        <w:rPr/>
        <w:t>. Este componente ha sido diseñado como un espacio de aprendizaje</w:t>
      </w:r>
      <w:r w:rsidR="2F28826B">
        <w:rPr/>
        <w:t xml:space="preserve"> que permite comprender la importancia </w:t>
      </w:r>
      <w:r w:rsidRPr="56046471" w:rsidR="181D31A2">
        <w:rPr>
          <w:rFonts w:ascii="Calibri" w:hAnsi="Calibri" w:eastAsia="Calibri" w:cs="Calibri"/>
          <w:b w:val="0"/>
          <w:bCs w:val="0"/>
          <w:noProof w:val="0"/>
          <w:color w:val="538135" w:themeColor="accent6" w:themeTint="FF" w:themeShade="BF"/>
          <w:sz w:val="22"/>
          <w:szCs w:val="22"/>
          <w:lang w:val="es-CO"/>
        </w:rPr>
        <w:t xml:space="preserve">de </w:t>
      </w:r>
      <w:r w:rsidRPr="56046471" w:rsidR="163D34ED">
        <w:rPr>
          <w:rFonts w:ascii="Calibri" w:hAnsi="Calibri" w:eastAsia="Calibri" w:cs="Calibri"/>
          <w:b w:val="0"/>
          <w:bCs w:val="0"/>
          <w:noProof w:val="0"/>
          <w:color w:val="538135" w:themeColor="accent6" w:themeTint="FF" w:themeShade="BF"/>
          <w:sz w:val="22"/>
          <w:szCs w:val="22"/>
          <w:lang w:val="es-CO"/>
        </w:rPr>
        <w:t>planificar</w:t>
      </w:r>
      <w:r w:rsidRPr="56046471" w:rsidR="181D31A2">
        <w:rPr>
          <w:rFonts w:ascii="Calibri" w:hAnsi="Calibri" w:eastAsia="Calibri" w:cs="Calibri"/>
          <w:b w:val="0"/>
          <w:bCs w:val="0"/>
          <w:noProof w:val="0"/>
          <w:color w:val="538135" w:themeColor="accent6" w:themeTint="FF" w:themeShade="BF"/>
          <w:sz w:val="22"/>
          <w:szCs w:val="22"/>
          <w:lang w:val="es-CO"/>
        </w:rPr>
        <w:t xml:space="preserve"> soluciones energéticas sostenibles</w:t>
      </w:r>
      <w:r w:rsidRPr="56046471" w:rsidR="00B57DBD">
        <w:rPr>
          <w:b w:val="1"/>
          <w:bCs w:val="1"/>
          <w:color w:val="538135" w:themeColor="accent6" w:themeTint="FF" w:themeShade="BF"/>
        </w:rPr>
        <w:t>,</w:t>
      </w:r>
      <w:r w:rsidR="00B57DBD">
        <w:rPr/>
        <w:t xml:space="preserve"> </w:t>
      </w:r>
      <w:r w:rsidRPr="56046471" w:rsidR="00B57DBD">
        <w:rPr>
          <w:b w:val="1"/>
          <w:bCs w:val="1"/>
        </w:rPr>
        <w:t>adaptadas a las realidades sociales, económicas y ambientales de los territorios rurales de Colombia</w:t>
      </w:r>
      <w:r w:rsidR="00B57DBD">
        <w:rPr/>
        <w:t>.</w:t>
      </w:r>
    </w:p>
    <w:p w:rsidRPr="005E2D96" w:rsidR="005E2D96" w:rsidP="005E2D96" w:rsidRDefault="005E2D96" w14:paraId="02B6575E" w14:textId="67324270">
      <w:pPr>
        <w:spacing w:before="100" w:beforeAutospacing="1" w:after="100" w:afterAutospacing="1" w:line="360" w:lineRule="auto"/>
        <w:rPr>
          <w:rFonts w:ascii="Calibri" w:hAnsi="Calibri" w:eastAsia="Times New Roman" w:cs="Calibri"/>
          <w:lang w:eastAsia="es-CO"/>
        </w:rPr>
      </w:pPr>
      <w:r w:rsidRPr="005E2D96">
        <w:rPr>
          <w:rFonts w:ascii="Calibri" w:hAnsi="Calibri" w:eastAsia="Times New Roman" w:cs="Calibri"/>
          <w:b/>
          <w:bCs/>
          <w:highlight w:val="green"/>
          <w:lang w:eastAsia="es-CO"/>
        </w:rPr>
        <w:t>Escena 2</w:t>
      </w:r>
    </w:p>
    <w:p w:rsidR="00B57DBD" w:rsidP="1217FFCC" w:rsidRDefault="00B57DBD" w14:paraId="242B02C5" w14:textId="4DF31510">
      <w:pPr>
        <w:spacing w:before="100" w:beforeAutospacing="on" w:after="100" w:afterAutospacing="on" w:line="360" w:lineRule="auto"/>
      </w:pPr>
      <w:r w:rsidR="00B57DBD">
        <w:rPr/>
        <w:t xml:space="preserve">Este componente </w:t>
      </w:r>
      <w:r w:rsidR="00B57DBD">
        <w:rPr/>
        <w:t>orienta</w:t>
      </w:r>
      <w:r w:rsidR="00B57DBD">
        <w:rPr/>
        <w:t xml:space="preserve"> de manera clara y </w:t>
      </w:r>
      <w:r w:rsidRPr="56046471" w:rsidR="00B57DBD">
        <w:rPr>
          <w:color w:val="538135" w:themeColor="accent6" w:themeTint="FF" w:themeShade="BF"/>
        </w:rPr>
        <w:t>estructurada</w:t>
      </w:r>
      <w:r w:rsidRPr="56046471" w:rsidR="37961214">
        <w:rPr>
          <w:color w:val="538135" w:themeColor="accent6" w:themeTint="FF" w:themeShade="BF"/>
        </w:rPr>
        <w:t xml:space="preserve"> el </w:t>
      </w:r>
      <w:r w:rsidRPr="56046471" w:rsidR="00B57DBD">
        <w:rPr>
          <w:b w:val="1"/>
          <w:bCs w:val="1"/>
        </w:rPr>
        <w:t>proceso formativo</w:t>
      </w:r>
      <w:r w:rsidR="00B57DBD">
        <w:rPr/>
        <w:t xml:space="preserve">, brindando </w:t>
      </w:r>
      <w:r w:rsidRPr="56046471" w:rsidR="00B57DBD">
        <w:rPr>
          <w:b w:val="1"/>
          <w:bCs w:val="1"/>
        </w:rPr>
        <w:t>fundamentos conceptuales, técnicos y metodológicos</w:t>
      </w:r>
      <w:r w:rsidR="00B57DBD">
        <w:rPr/>
        <w:t xml:space="preserve"> que apoyan la formulación y el análisis de proyectos energéticos. A lo largo del curso, el aprendiz desarrollará competencias para evaluar alternativas, identificar necesidades reales y estructurar propuestas viables desde la etapa de prefactibilidad.</w:t>
      </w:r>
    </w:p>
    <w:p w:rsidRPr="005E2D96" w:rsidR="005E2D96" w:rsidP="005E2D96" w:rsidRDefault="005E2D96" w14:paraId="1776F027" w14:textId="0C789D81">
      <w:pPr>
        <w:spacing w:before="100" w:beforeAutospacing="1" w:after="100" w:afterAutospacing="1" w:line="360" w:lineRule="auto"/>
        <w:rPr>
          <w:rFonts w:ascii="Calibri" w:hAnsi="Calibri" w:eastAsia="Times New Roman" w:cs="Calibri"/>
          <w:lang w:eastAsia="es-CO"/>
        </w:rPr>
      </w:pPr>
      <w:r w:rsidRPr="005E2D96">
        <w:rPr>
          <w:rFonts w:ascii="Calibri" w:hAnsi="Calibri" w:eastAsia="Times New Roman" w:cs="Calibri"/>
          <w:b/>
          <w:bCs/>
          <w:highlight w:val="green"/>
          <w:lang w:eastAsia="es-CO"/>
        </w:rPr>
        <w:t>Escena 3</w:t>
      </w:r>
    </w:p>
    <w:p w:rsidR="00B57DBD" w:rsidP="005E2D96" w:rsidRDefault="00B57DBD" w14:paraId="5FCC6884" w14:textId="2F929740">
      <w:pPr>
        <w:spacing w:before="100" w:beforeAutospacing="1" w:after="100" w:afterAutospacing="1" w:line="360" w:lineRule="auto"/>
      </w:pPr>
      <w:r w:rsidRPr="00B57DBD">
        <w:t xml:space="preserve">El acceso a la </w:t>
      </w:r>
      <w:r w:rsidRPr="00B57DBD">
        <w:rPr>
          <w:b/>
          <w:bCs/>
        </w:rPr>
        <w:t>energía eléctrica</w:t>
      </w:r>
      <w:r w:rsidRPr="00B57DBD">
        <w:t xml:space="preserve"> es un factor determinante para el </w:t>
      </w:r>
      <w:r w:rsidRPr="00B57DBD">
        <w:rPr>
          <w:b/>
          <w:bCs/>
        </w:rPr>
        <w:t>desarrollo humano</w:t>
      </w:r>
      <w:r w:rsidRPr="00B57DBD">
        <w:t xml:space="preserve">, la </w:t>
      </w:r>
      <w:r w:rsidRPr="00B57DBD">
        <w:rPr>
          <w:b/>
          <w:bCs/>
        </w:rPr>
        <w:t>equidad social</w:t>
      </w:r>
      <w:r w:rsidRPr="00B57DBD">
        <w:t xml:space="preserve"> y la </w:t>
      </w:r>
      <w:r w:rsidRPr="00B57DBD">
        <w:rPr>
          <w:b/>
          <w:bCs/>
        </w:rPr>
        <w:t>productividad</w:t>
      </w:r>
      <w:r w:rsidRPr="00B57DBD">
        <w:t xml:space="preserve"> en los territorios rurales. La energía impulsa la educación, la salud, la actividad productiva y el bienestar general de las comunidades, convirtiéndose en un elemento clave para el cierre de brechas sociales y territoriales.</w:t>
      </w:r>
    </w:p>
    <w:p w:rsidRPr="005E2D96" w:rsidR="005E2D96" w:rsidP="005E2D96" w:rsidRDefault="005E2D96" w14:paraId="007A9390" w14:textId="72A06ADD">
      <w:pPr>
        <w:spacing w:before="100" w:beforeAutospacing="1" w:after="100" w:afterAutospacing="1" w:line="360" w:lineRule="auto"/>
        <w:rPr>
          <w:rFonts w:ascii="Calibri" w:hAnsi="Calibri" w:eastAsia="Times New Roman" w:cs="Calibri"/>
          <w:lang w:eastAsia="es-CO"/>
        </w:rPr>
      </w:pPr>
      <w:r w:rsidRPr="005E2D96">
        <w:rPr>
          <w:rFonts w:ascii="Calibri" w:hAnsi="Calibri" w:eastAsia="Times New Roman" w:cs="Calibri"/>
          <w:b/>
          <w:bCs/>
          <w:highlight w:val="green"/>
          <w:lang w:eastAsia="es-CO"/>
        </w:rPr>
        <w:t>Escena 4</w:t>
      </w:r>
    </w:p>
    <w:p w:rsidR="00B57DBD" w:rsidP="005E2D96" w:rsidRDefault="00B57DBD" w14:paraId="25C133D0" w14:textId="2E67DD5A">
      <w:pPr>
        <w:spacing w:before="100" w:beforeAutospacing="1" w:after="100" w:afterAutospacing="1" w:line="360" w:lineRule="auto"/>
      </w:pPr>
      <w:r w:rsidRPr="00B57DBD">
        <w:t xml:space="preserve">En las </w:t>
      </w:r>
      <w:r w:rsidRPr="00B57DBD">
        <w:rPr>
          <w:b/>
          <w:bCs/>
        </w:rPr>
        <w:t>Zonas No Interconectadas (ZNI)</w:t>
      </w:r>
      <w:r w:rsidRPr="00B57DBD">
        <w:t xml:space="preserve">, llevar soluciones energéticas representa un reto que va más allá de la instalación de infraestructura. Se requiere una </w:t>
      </w:r>
      <w:r w:rsidRPr="00B57DBD">
        <w:rPr>
          <w:b/>
          <w:bCs/>
        </w:rPr>
        <w:t>planificación rigurosa</w:t>
      </w:r>
      <w:r w:rsidRPr="00B57DBD">
        <w:t xml:space="preserve"> que considere aspectos técnicos, financieros, sociales y ambientales, garantizando la </w:t>
      </w:r>
      <w:r w:rsidRPr="00B57DBD">
        <w:rPr>
          <w:b/>
          <w:bCs/>
        </w:rPr>
        <w:t>sostenibilidad integral</w:t>
      </w:r>
      <w:r w:rsidRPr="00B57DBD">
        <w:t xml:space="preserve"> de los sistemas a lo largo de su vida útil y su adecuada apropiación por parte de la comunidad.</w:t>
      </w:r>
    </w:p>
    <w:p w:rsidR="00B57DBD" w:rsidP="005E2D96" w:rsidRDefault="00B57DBD" w14:paraId="689F77EC" w14:textId="77777777">
      <w:pPr>
        <w:spacing w:before="100" w:beforeAutospacing="1" w:after="100" w:afterAutospacing="1" w:line="360" w:lineRule="auto"/>
      </w:pPr>
    </w:p>
    <w:p w:rsidRPr="005E2D96" w:rsidR="005E2D96" w:rsidP="005E2D96" w:rsidRDefault="005E2D96" w14:paraId="16526B10" w14:textId="16072100">
      <w:pPr>
        <w:spacing w:before="100" w:beforeAutospacing="1" w:after="100" w:afterAutospacing="1" w:line="360" w:lineRule="auto"/>
        <w:rPr>
          <w:rFonts w:ascii="Calibri" w:hAnsi="Calibri" w:eastAsia="Times New Roman" w:cs="Calibri"/>
          <w:lang w:eastAsia="es-CO"/>
        </w:rPr>
      </w:pPr>
      <w:r w:rsidRPr="005E2D96">
        <w:rPr>
          <w:rFonts w:ascii="Calibri" w:hAnsi="Calibri" w:eastAsia="Times New Roman" w:cs="Calibri"/>
          <w:b/>
          <w:bCs/>
          <w:highlight w:val="green"/>
          <w:lang w:eastAsia="es-CO"/>
        </w:rPr>
        <w:lastRenderedPageBreak/>
        <w:t>Escena 5</w:t>
      </w:r>
    </w:p>
    <w:p w:rsidR="00231E1B" w:rsidP="005E2D96" w:rsidRDefault="00B57DBD" w14:paraId="509E207B" w14:textId="2A02C3B0">
      <w:pPr>
        <w:spacing w:after="0" w:line="360" w:lineRule="auto"/>
      </w:pPr>
      <w:r>
        <w:t xml:space="preserve">Este componente aborda de manera integral el </w:t>
      </w:r>
      <w:r>
        <w:rPr>
          <w:rStyle w:val="Textoennegrita"/>
        </w:rPr>
        <w:t>marco normativo y regulatorio</w:t>
      </w:r>
      <w:r>
        <w:t xml:space="preserve">, los </w:t>
      </w:r>
      <w:r>
        <w:rPr>
          <w:rStyle w:val="Textoennegrita"/>
        </w:rPr>
        <w:t>incentivos tributarios</w:t>
      </w:r>
      <w:r>
        <w:t xml:space="preserve">, la </w:t>
      </w:r>
      <w:r>
        <w:rPr>
          <w:rStyle w:val="Textoennegrita"/>
        </w:rPr>
        <w:t>viabilidad financiera</w:t>
      </w:r>
      <w:r>
        <w:t xml:space="preserve">, la </w:t>
      </w:r>
      <w:r>
        <w:rPr>
          <w:rStyle w:val="Textoennegrita"/>
        </w:rPr>
        <w:t>gestión y apropiación comunitaria</w:t>
      </w:r>
      <w:r>
        <w:t xml:space="preserve">, el </w:t>
      </w:r>
      <w:r>
        <w:rPr>
          <w:rStyle w:val="Textoennegrita"/>
        </w:rPr>
        <w:t>cálculo de costos</w:t>
      </w:r>
      <w:r>
        <w:t xml:space="preserve"> y la </w:t>
      </w:r>
      <w:r>
        <w:rPr>
          <w:rStyle w:val="Textoennegrita"/>
        </w:rPr>
        <w:t>gestión de riesgos</w:t>
      </w:r>
      <w:r>
        <w:t xml:space="preserve">. El objetivo es transformar una necesidad energética insatisfecha en un proyecto </w:t>
      </w:r>
      <w:r>
        <w:rPr>
          <w:rStyle w:val="Textoennegrita"/>
        </w:rPr>
        <w:t>sólido, financiable y sostenible</w:t>
      </w:r>
      <w:r>
        <w:t xml:space="preserve">, orientado a mejorar la calidad de vida de las comunidades rurales mediante el uso responsable de las </w:t>
      </w:r>
      <w:r>
        <w:rPr>
          <w:rStyle w:val="Textoennegrita"/>
        </w:rPr>
        <w:t>Fuentes No Convencionales de Energía Renovable (FNCER)</w:t>
      </w:r>
      <w:r>
        <w:t>.</w:t>
      </w:r>
    </w:p>
    <w:p w:rsidRPr="005E2D96" w:rsidR="00B57DBD" w:rsidP="005E2D96" w:rsidRDefault="00B57DBD" w14:paraId="4719F74D" w14:textId="77777777">
      <w:pPr>
        <w:spacing w:after="0" w:line="360" w:lineRule="auto"/>
        <w:rPr>
          <w:rFonts w:ascii="Calibri" w:hAnsi="Calibri" w:cs="Calibri"/>
        </w:rPr>
      </w:pPr>
    </w:p>
    <w:p w:rsidRPr="005E2D96" w:rsidR="0034187D" w:rsidP="005E2D96" w:rsidRDefault="0034187D" w14:paraId="1DA72FD2" w14:textId="59A3014B">
      <w:pPr>
        <w:spacing w:after="0" w:line="360" w:lineRule="auto"/>
        <w:rPr>
          <w:rFonts w:ascii="Calibri" w:hAnsi="Calibri" w:cs="Calibri"/>
        </w:rPr>
      </w:pPr>
      <w:r w:rsidRPr="005E2D96">
        <w:rPr>
          <w:rFonts w:ascii="Calibri" w:hAnsi="Calibri" w:cs="Calibri"/>
        </w:rPr>
        <w:t>TOTAL</w:t>
      </w:r>
      <w:r w:rsidRPr="005E2D96" w:rsidR="00422835">
        <w:rPr>
          <w:rFonts w:ascii="Calibri" w:hAnsi="Calibri" w:cs="Calibri"/>
        </w:rPr>
        <w:t xml:space="preserve"> PALABRAS</w:t>
      </w:r>
      <w:r w:rsidRPr="005E2D96">
        <w:rPr>
          <w:rFonts w:ascii="Calibri" w:hAnsi="Calibri" w:cs="Calibri"/>
        </w:rPr>
        <w:t xml:space="preserve">: </w:t>
      </w:r>
      <w:r w:rsidR="00B57DBD">
        <w:rPr>
          <w:rFonts w:ascii="Calibri" w:hAnsi="Calibri" w:cs="Calibri"/>
        </w:rPr>
        <w:t>303</w:t>
      </w:r>
      <w:r w:rsidRPr="005E2D96" w:rsidR="00F01DA2">
        <w:rPr>
          <w:rFonts w:ascii="Calibri" w:hAnsi="Calibri" w:cs="Calibri"/>
        </w:rPr>
        <w:t>.</w:t>
      </w:r>
      <w:bookmarkStart w:name="_GoBack" w:id="0"/>
      <w:bookmarkEnd w:id="0"/>
    </w:p>
    <w:sectPr w:rsidRPr="005E2D96"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73B41"/>
    <w:rsid w:val="00122354"/>
    <w:rsid w:val="001533EC"/>
    <w:rsid w:val="00161FB8"/>
    <w:rsid w:val="001E0849"/>
    <w:rsid w:val="001E6B38"/>
    <w:rsid w:val="00211BAC"/>
    <w:rsid w:val="00227270"/>
    <w:rsid w:val="00231E1B"/>
    <w:rsid w:val="00241A0E"/>
    <w:rsid w:val="00242B75"/>
    <w:rsid w:val="00277964"/>
    <w:rsid w:val="002865F0"/>
    <w:rsid w:val="002D7685"/>
    <w:rsid w:val="002F68D8"/>
    <w:rsid w:val="00325FB5"/>
    <w:rsid w:val="0034187D"/>
    <w:rsid w:val="00347213"/>
    <w:rsid w:val="00365A18"/>
    <w:rsid w:val="00386732"/>
    <w:rsid w:val="00422835"/>
    <w:rsid w:val="00446B40"/>
    <w:rsid w:val="00475DC3"/>
    <w:rsid w:val="00486849"/>
    <w:rsid w:val="00520C3A"/>
    <w:rsid w:val="00565923"/>
    <w:rsid w:val="005B5967"/>
    <w:rsid w:val="005C7ECF"/>
    <w:rsid w:val="005E2D96"/>
    <w:rsid w:val="006353EE"/>
    <w:rsid w:val="00643A69"/>
    <w:rsid w:val="00666672"/>
    <w:rsid w:val="00706E8D"/>
    <w:rsid w:val="00713224"/>
    <w:rsid w:val="00750864"/>
    <w:rsid w:val="0077430B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510D"/>
    <w:rsid w:val="00906060"/>
    <w:rsid w:val="00984C9F"/>
    <w:rsid w:val="00987D84"/>
    <w:rsid w:val="00991D28"/>
    <w:rsid w:val="009925D4"/>
    <w:rsid w:val="009D2CD9"/>
    <w:rsid w:val="009D760E"/>
    <w:rsid w:val="00A572CC"/>
    <w:rsid w:val="00AB68BC"/>
    <w:rsid w:val="00AC29B5"/>
    <w:rsid w:val="00B0327B"/>
    <w:rsid w:val="00B34DB3"/>
    <w:rsid w:val="00B37054"/>
    <w:rsid w:val="00B57DBD"/>
    <w:rsid w:val="00B76F52"/>
    <w:rsid w:val="00BD5271"/>
    <w:rsid w:val="00BD7BF1"/>
    <w:rsid w:val="00BE1783"/>
    <w:rsid w:val="00C009FD"/>
    <w:rsid w:val="00C25D8C"/>
    <w:rsid w:val="00C35C3E"/>
    <w:rsid w:val="00C75EF4"/>
    <w:rsid w:val="00CA7AA0"/>
    <w:rsid w:val="00CB0677"/>
    <w:rsid w:val="00CB3B0F"/>
    <w:rsid w:val="00D25CA3"/>
    <w:rsid w:val="00D2797B"/>
    <w:rsid w:val="00D819DB"/>
    <w:rsid w:val="00DD2A4C"/>
    <w:rsid w:val="00DE79C2"/>
    <w:rsid w:val="00E14988"/>
    <w:rsid w:val="00E165E1"/>
    <w:rsid w:val="00EC3BBD"/>
    <w:rsid w:val="00ED0679"/>
    <w:rsid w:val="00ED7DBE"/>
    <w:rsid w:val="00F01DA2"/>
    <w:rsid w:val="00F42EE6"/>
    <w:rsid w:val="00F507B8"/>
    <w:rsid w:val="00F8680C"/>
    <w:rsid w:val="00FA7096"/>
    <w:rsid w:val="00FC74AC"/>
    <w:rsid w:val="00FF7EFF"/>
    <w:rsid w:val="0D07F5A2"/>
    <w:rsid w:val="1217FFCC"/>
    <w:rsid w:val="163D34ED"/>
    <w:rsid w:val="16915B72"/>
    <w:rsid w:val="181D31A2"/>
    <w:rsid w:val="1839B09C"/>
    <w:rsid w:val="2467C599"/>
    <w:rsid w:val="2F28826B"/>
    <w:rsid w:val="355076E0"/>
    <w:rsid w:val="37961214"/>
    <w:rsid w:val="3A3BED52"/>
    <w:rsid w:val="547BF062"/>
    <w:rsid w:val="56046471"/>
    <w:rsid w:val="60EE895A"/>
    <w:rsid w:val="66F5FB8B"/>
    <w:rsid w:val="67B19A4D"/>
    <w:rsid w:val="68D0555A"/>
    <w:rsid w:val="6C6D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43A69"/>
    <w:rPr>
      <w:b/>
      <w:bCs/>
    </w:rPr>
  </w:style>
  <w:style w:type="character" w:styleId="fontstyle01" w:customStyle="1">
    <w:name w:val="fontstyle01"/>
    <w:basedOn w:val="Fuentedeprrafopredeter"/>
    <w:rsid w:val="00B57DBD"/>
    <w:rPr>
      <w:rFonts w:hint="default" w:ascii="Helvetica" w:hAnsi="Helvetica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microsoft.com/office/2020/10/relationships/intelligence" Target="intelligence2.xml" Id="R47e51df5f92c460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D51785-48A6-4E24-BC0F-6ED20F05F466}"/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Maria Alejandra Vera Briceño</lastModifiedBy>
  <revision>31</revision>
  <dcterms:created xsi:type="dcterms:W3CDTF">2025-06-27T16:35:00.0000000Z</dcterms:created>
  <dcterms:modified xsi:type="dcterms:W3CDTF">2026-03-09T15:20:50.2368109Z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