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012D0" w14:textId="1EFEE769" w:rsidR="007A66E0" w:rsidRPr="0006136C" w:rsidRDefault="00803F63" w:rsidP="007A66E0">
      <w:pPr>
        <w:jc w:val="center"/>
        <w:rPr>
          <w:rFonts w:ascii="Calibri" w:hAnsi="Calibri" w:cs="Calibri"/>
          <w:b/>
          <w:bCs/>
        </w:rPr>
      </w:pPr>
      <w:r w:rsidRPr="0006136C">
        <w:rPr>
          <w:rFonts w:ascii="Calibri" w:hAnsi="Calibri" w:cs="Calibri"/>
          <w:b/>
          <w:bCs/>
        </w:rPr>
        <w:t xml:space="preserve">Texto base para elaboración de </w:t>
      </w:r>
      <w:r w:rsidR="0006136C">
        <w:rPr>
          <w:rFonts w:ascii="Calibri" w:hAnsi="Calibri" w:cs="Calibri"/>
          <w:b/>
          <w:bCs/>
        </w:rPr>
        <w:t>g</w:t>
      </w:r>
      <w:r w:rsidRPr="0006136C">
        <w:rPr>
          <w:rFonts w:ascii="Calibri" w:hAnsi="Calibri" w:cs="Calibri"/>
          <w:b/>
          <w:bCs/>
        </w:rPr>
        <w:t xml:space="preserve">uion para </w:t>
      </w:r>
      <w:r w:rsidR="0006136C">
        <w:rPr>
          <w:rFonts w:ascii="Calibri" w:hAnsi="Calibri" w:cs="Calibri"/>
          <w:b/>
          <w:bCs/>
        </w:rPr>
        <w:t>v</w:t>
      </w:r>
      <w:r w:rsidRPr="0006136C">
        <w:rPr>
          <w:rFonts w:ascii="Calibri" w:hAnsi="Calibri" w:cs="Calibri"/>
          <w:b/>
          <w:bCs/>
        </w:rPr>
        <w:t>ideo</w:t>
      </w:r>
    </w:p>
    <w:p w14:paraId="32634769" w14:textId="77777777" w:rsidR="007A66E0" w:rsidRPr="0006136C" w:rsidRDefault="007A66E0" w:rsidP="00803F63">
      <w:pPr>
        <w:rPr>
          <w:rFonts w:ascii="Calibri" w:hAnsi="Calibri" w:cs="Calibri"/>
          <w:b/>
          <w:bCs/>
        </w:rPr>
      </w:pPr>
    </w:p>
    <w:p w14:paraId="6377107C" w14:textId="464F79CE" w:rsidR="007A66E0" w:rsidRPr="0006136C" w:rsidRDefault="007A66E0" w:rsidP="00803F63">
      <w:pPr>
        <w:rPr>
          <w:rFonts w:ascii="Calibri" w:hAnsi="Calibri" w:cs="Calibri"/>
        </w:rPr>
      </w:pPr>
      <w:r w:rsidRPr="0006136C">
        <w:rPr>
          <w:rFonts w:ascii="Calibri" w:hAnsi="Calibri" w:cs="Calibri"/>
          <w:b/>
          <w:bCs/>
        </w:rPr>
        <w:t xml:space="preserve">Programa: </w:t>
      </w:r>
      <w:r w:rsidR="0082539E" w:rsidRPr="0006136C">
        <w:rPr>
          <w:rFonts w:ascii="Calibri" w:hAnsi="Calibri" w:cs="Calibri"/>
        </w:rPr>
        <w:t>Aplicación de buenas prácticas en turismo sostenible para guías de turismo</w:t>
      </w:r>
      <w:r w:rsidR="0006136C" w:rsidRPr="0006136C">
        <w:rPr>
          <w:rFonts w:ascii="Calibri" w:hAnsi="Calibri" w:cs="Calibri"/>
        </w:rPr>
        <w:t>.</w:t>
      </w:r>
    </w:p>
    <w:p w14:paraId="1C0A631C" w14:textId="77777777" w:rsidR="00F6455A" w:rsidRPr="0006136C" w:rsidRDefault="00F6455A" w:rsidP="00803F63">
      <w:pPr>
        <w:rPr>
          <w:rFonts w:ascii="Calibri" w:hAnsi="Calibri" w:cs="Calibri"/>
          <w:b/>
          <w:bCs/>
        </w:rPr>
      </w:pPr>
    </w:p>
    <w:p w14:paraId="08703147" w14:textId="00C5A474" w:rsidR="00803F63" w:rsidRPr="0006136C" w:rsidRDefault="007A66E0" w:rsidP="00803F63">
      <w:pPr>
        <w:rPr>
          <w:rFonts w:ascii="Calibri" w:hAnsi="Calibri" w:cs="Calibri"/>
        </w:rPr>
      </w:pPr>
      <w:r w:rsidRPr="0006136C">
        <w:rPr>
          <w:rFonts w:ascii="Calibri" w:hAnsi="Calibri" w:cs="Calibri"/>
          <w:b/>
          <w:bCs/>
        </w:rPr>
        <w:t>CF</w:t>
      </w:r>
      <w:r w:rsidR="0082539E" w:rsidRPr="0006136C">
        <w:rPr>
          <w:rFonts w:ascii="Calibri" w:hAnsi="Calibri" w:cs="Calibri"/>
          <w:b/>
          <w:bCs/>
        </w:rPr>
        <w:t>2</w:t>
      </w:r>
      <w:r w:rsidRPr="0006136C">
        <w:rPr>
          <w:rFonts w:ascii="Calibri" w:hAnsi="Calibri" w:cs="Calibri"/>
          <w:b/>
          <w:bCs/>
        </w:rPr>
        <w:t xml:space="preserve">: </w:t>
      </w:r>
      <w:r w:rsidR="0082539E" w:rsidRPr="0006136C">
        <w:rPr>
          <w:rFonts w:ascii="Calibri" w:hAnsi="Calibri" w:cs="Calibri"/>
          <w:bCs/>
        </w:rPr>
        <w:t xml:space="preserve">Herramientas para la gestión sostenible del servicio de </w:t>
      </w:r>
      <w:r w:rsidR="0006136C">
        <w:rPr>
          <w:rFonts w:ascii="Calibri" w:hAnsi="Calibri" w:cs="Calibri"/>
          <w:bCs/>
        </w:rPr>
        <w:t>g</w:t>
      </w:r>
      <w:r w:rsidR="0082539E" w:rsidRPr="0006136C">
        <w:rPr>
          <w:rFonts w:ascii="Calibri" w:hAnsi="Calibri" w:cs="Calibri"/>
          <w:bCs/>
        </w:rPr>
        <w:t>uianza turística</w:t>
      </w:r>
      <w:r w:rsidR="0006136C">
        <w:rPr>
          <w:rFonts w:ascii="Calibri" w:hAnsi="Calibri" w:cs="Calibri"/>
          <w:bCs/>
        </w:rPr>
        <w:t xml:space="preserve">. </w:t>
      </w:r>
    </w:p>
    <w:p w14:paraId="5B154468" w14:textId="77777777" w:rsidR="009942D2" w:rsidRPr="0006136C" w:rsidRDefault="009942D2" w:rsidP="00803F63">
      <w:pPr>
        <w:rPr>
          <w:rFonts w:ascii="Calibri" w:hAnsi="Calibri" w:cs="Calibri"/>
          <w:bCs/>
        </w:rPr>
      </w:pPr>
    </w:p>
    <w:p w14:paraId="57D06E2B" w14:textId="77777777" w:rsidR="0006136C" w:rsidRDefault="0006136C" w:rsidP="00803F6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Título del video: </w:t>
      </w:r>
    </w:p>
    <w:p w14:paraId="04351CA1" w14:textId="3412FF14" w:rsidR="007A66E0" w:rsidRPr="0006136C" w:rsidRDefault="004F1DF1" w:rsidP="00803F63">
      <w:pPr>
        <w:rPr>
          <w:rFonts w:ascii="Calibri" w:hAnsi="Calibri" w:cs="Calibri"/>
          <w:b/>
          <w:bCs/>
        </w:rPr>
      </w:pPr>
      <w:r w:rsidRPr="0006136C">
        <w:rPr>
          <w:rFonts w:ascii="Calibri" w:hAnsi="Calibri" w:cs="Calibri"/>
          <w:b/>
          <w:bCs/>
        </w:rPr>
        <w:t>Operación del servicio turístico: recepción, traslado y alojamiento</w:t>
      </w:r>
    </w:p>
    <w:p w14:paraId="60E44CD8" w14:textId="77777777" w:rsidR="004F1DF1" w:rsidRPr="0006136C" w:rsidRDefault="004F1DF1" w:rsidP="00803F63">
      <w:pPr>
        <w:rPr>
          <w:rFonts w:ascii="Calibri" w:hAnsi="Calibri" w:cs="Calibri"/>
          <w:b/>
          <w:bCs/>
        </w:rPr>
      </w:pPr>
    </w:p>
    <w:p w14:paraId="3DE3E267" w14:textId="77777777" w:rsidR="004F1DF1" w:rsidRPr="0006136C" w:rsidRDefault="004F1DF1" w:rsidP="004F1DF1">
      <w:pPr>
        <w:rPr>
          <w:rFonts w:ascii="Calibri" w:hAnsi="Calibri" w:cs="Calibri"/>
        </w:rPr>
      </w:pPr>
      <w:r w:rsidRPr="0006136C">
        <w:rPr>
          <w:rFonts w:ascii="Calibri" w:hAnsi="Calibri" w:cs="Calibri"/>
        </w:rPr>
        <w:t>En el turismo, cada detalle cuenta. Desde el primer contacto, el guía desempeña un papel fundamental para garantizar una experiencia organizada, segura y satisfactoria para el viajero.</w:t>
      </w:r>
    </w:p>
    <w:p w14:paraId="623A0E8B" w14:textId="77777777" w:rsidR="004F1DF1" w:rsidRPr="0006136C" w:rsidRDefault="004F1DF1" w:rsidP="004F1DF1">
      <w:pPr>
        <w:rPr>
          <w:rFonts w:ascii="Calibri" w:hAnsi="Calibri" w:cs="Calibri"/>
        </w:rPr>
      </w:pPr>
      <w:r w:rsidRPr="0006136C">
        <w:rPr>
          <w:rFonts w:ascii="Calibri" w:hAnsi="Calibri" w:cs="Calibri"/>
        </w:rPr>
        <w:t xml:space="preserve">Uno de los momentos más importantes es la recepción de los turistas en terminales de transporte. </w:t>
      </w:r>
    </w:p>
    <w:p w14:paraId="656DD965" w14:textId="77777777" w:rsidR="004F1DF1" w:rsidRPr="0006136C" w:rsidRDefault="004F1DF1" w:rsidP="004F1DF1">
      <w:pPr>
        <w:rPr>
          <w:rFonts w:ascii="Calibri" w:hAnsi="Calibri" w:cs="Calibri"/>
        </w:rPr>
      </w:pPr>
    </w:p>
    <w:p w14:paraId="6A714D14" w14:textId="684CCD53" w:rsidR="004F1DF1" w:rsidRPr="0006136C" w:rsidRDefault="004F1DF1" w:rsidP="004F1DF1">
      <w:pPr>
        <w:rPr>
          <w:rFonts w:ascii="Calibri" w:hAnsi="Calibri" w:cs="Calibri"/>
        </w:rPr>
      </w:pPr>
      <w:r w:rsidRPr="0006136C">
        <w:rPr>
          <w:rFonts w:ascii="Calibri" w:hAnsi="Calibri" w:cs="Calibri"/>
        </w:rPr>
        <w:t>Allí inicia el proceso de traslado, en el cual se acompaña, orienta y verifican aspectos logísticos como el equipaje, el listado de viajeros y las condiciones del transporte. Este primer contacto permite generar confianza y proyectar una imagen profesional.</w:t>
      </w:r>
    </w:p>
    <w:p w14:paraId="3FB7D99D" w14:textId="77777777" w:rsidR="004F1DF1" w:rsidRPr="0006136C" w:rsidRDefault="004F1DF1" w:rsidP="004F1DF1">
      <w:pPr>
        <w:rPr>
          <w:rFonts w:ascii="Calibri" w:hAnsi="Calibri" w:cs="Calibri"/>
        </w:rPr>
      </w:pPr>
    </w:p>
    <w:p w14:paraId="17A6DE65" w14:textId="77777777" w:rsidR="004F1DF1" w:rsidRPr="0006136C" w:rsidRDefault="004F1DF1" w:rsidP="004F1DF1">
      <w:pPr>
        <w:rPr>
          <w:rFonts w:ascii="Calibri" w:hAnsi="Calibri" w:cs="Calibri"/>
        </w:rPr>
      </w:pPr>
      <w:r w:rsidRPr="0006136C">
        <w:rPr>
          <w:rFonts w:ascii="Calibri" w:hAnsi="Calibri" w:cs="Calibri"/>
        </w:rPr>
        <w:t xml:space="preserve">Para una adecuada operación del servicio, es necesario organizar las acciones en tres momentos clave. Antes del arribo, se realiza la planificación, verificación de la información y coordinación con el transporte. Durante la recepción, se brinda una bienvenida cálida, se valida que el grupo esté completo y se explica el itinerario. Durante el traslado, se orienta al viajero, se comparte información relevante del destino y se garantiza su bienestar. </w:t>
      </w:r>
    </w:p>
    <w:p w14:paraId="05003D66" w14:textId="77777777" w:rsidR="004F1DF1" w:rsidRPr="0006136C" w:rsidRDefault="004F1DF1" w:rsidP="004F1DF1">
      <w:pPr>
        <w:rPr>
          <w:rFonts w:ascii="Calibri" w:hAnsi="Calibri" w:cs="Calibri"/>
        </w:rPr>
      </w:pPr>
    </w:p>
    <w:p w14:paraId="77AE9245" w14:textId="77777777" w:rsidR="004F1DF1" w:rsidRPr="0006136C" w:rsidRDefault="004F1DF1" w:rsidP="004F1DF1">
      <w:pPr>
        <w:rPr>
          <w:rFonts w:ascii="Calibri" w:hAnsi="Calibri" w:cs="Calibri"/>
        </w:rPr>
      </w:pPr>
      <w:r w:rsidRPr="0006136C">
        <w:rPr>
          <w:rFonts w:ascii="Calibri" w:hAnsi="Calibri" w:cs="Calibri"/>
        </w:rPr>
        <w:t>Al llegar al hotel, se facilita el proceso de ingreso, apoyando el registro, la asignación de habitaciones y la comunicación de normas y servicios. Este acompañamiento permite que el ingreso sea ágil, organizado y confortable.</w:t>
      </w:r>
    </w:p>
    <w:p w14:paraId="392BE13C" w14:textId="77777777" w:rsidR="004F1DF1" w:rsidRPr="0006136C" w:rsidRDefault="004F1DF1" w:rsidP="004F1DF1">
      <w:pPr>
        <w:rPr>
          <w:rFonts w:ascii="Calibri" w:hAnsi="Calibri" w:cs="Calibri"/>
        </w:rPr>
      </w:pPr>
    </w:p>
    <w:p w14:paraId="7F2E4923" w14:textId="77777777" w:rsidR="004F1DF1" w:rsidRPr="0006136C" w:rsidRDefault="004F1DF1" w:rsidP="004F1DF1">
      <w:pPr>
        <w:rPr>
          <w:rFonts w:ascii="Calibri" w:hAnsi="Calibri" w:cs="Calibri"/>
        </w:rPr>
      </w:pPr>
      <w:r w:rsidRPr="0006136C">
        <w:rPr>
          <w:rFonts w:ascii="Calibri" w:hAnsi="Calibri" w:cs="Calibri"/>
        </w:rPr>
        <w:t>Durante la estadía, se mantiene una comunicación constante, se informa sobre los servicios disponibles y se brinda apoyo ante cualquier eventualidad, asegurando una experiencia positiva.</w:t>
      </w:r>
    </w:p>
    <w:p w14:paraId="2DB8CF75" w14:textId="77777777" w:rsidR="004F1DF1" w:rsidRPr="0006136C" w:rsidRDefault="004F1DF1" w:rsidP="004F1DF1">
      <w:pPr>
        <w:rPr>
          <w:rFonts w:ascii="Calibri" w:hAnsi="Calibri" w:cs="Calibri"/>
        </w:rPr>
      </w:pPr>
      <w:r w:rsidRPr="0006136C">
        <w:rPr>
          <w:rFonts w:ascii="Calibri" w:hAnsi="Calibri" w:cs="Calibri"/>
        </w:rPr>
        <w:t>Finalmente, en el proceso de salida, se orienta sobre los horarios establecidos, se verifican los pagos adicionales y se coordina la salida del grupo, evitando contratiempos.</w:t>
      </w:r>
    </w:p>
    <w:p w14:paraId="55671BB7" w14:textId="77777777" w:rsidR="004F1DF1" w:rsidRPr="0006136C" w:rsidRDefault="004F1DF1" w:rsidP="004F1DF1">
      <w:pPr>
        <w:rPr>
          <w:rFonts w:ascii="Calibri" w:hAnsi="Calibri" w:cs="Calibri"/>
        </w:rPr>
      </w:pPr>
    </w:p>
    <w:p w14:paraId="25FB8C34" w14:textId="77777777" w:rsidR="004F1DF1" w:rsidRPr="0006136C" w:rsidRDefault="004F1DF1" w:rsidP="004F1DF1">
      <w:pPr>
        <w:rPr>
          <w:rFonts w:ascii="Calibri" w:hAnsi="Calibri" w:cs="Calibri"/>
        </w:rPr>
      </w:pPr>
      <w:r w:rsidRPr="0006136C">
        <w:rPr>
          <w:rFonts w:ascii="Calibri" w:hAnsi="Calibri" w:cs="Calibri"/>
        </w:rPr>
        <w:t>La planificación, la actitud de servicio y la capacidad de respuesta son elementos clave para generar confianza, satisfacción y una experiencia significativa en el servicio turístico.</w:t>
      </w:r>
    </w:p>
    <w:p w14:paraId="7703198A" w14:textId="77777777" w:rsidR="00F6455A" w:rsidRPr="0006136C" w:rsidRDefault="00F6455A" w:rsidP="00803F63">
      <w:pPr>
        <w:rPr>
          <w:rFonts w:ascii="Calibri" w:hAnsi="Calibri" w:cs="Calibri"/>
        </w:rPr>
      </w:pPr>
    </w:p>
    <w:p w14:paraId="66774F4E" w14:textId="488853DA" w:rsidR="00D1470D" w:rsidRPr="0006136C" w:rsidRDefault="00D1470D" w:rsidP="00803F63">
      <w:pPr>
        <w:rPr>
          <w:rFonts w:ascii="Calibri" w:hAnsi="Calibri" w:cs="Calibri"/>
        </w:rPr>
      </w:pPr>
      <w:r w:rsidRPr="0006136C">
        <w:rPr>
          <w:rFonts w:ascii="Calibri" w:hAnsi="Calibri" w:cs="Calibri"/>
        </w:rPr>
        <w:t>Tota</w:t>
      </w:r>
      <w:r w:rsidR="009942D2" w:rsidRPr="0006136C">
        <w:rPr>
          <w:rFonts w:ascii="Calibri" w:hAnsi="Calibri" w:cs="Calibri"/>
        </w:rPr>
        <w:t>l</w:t>
      </w:r>
      <w:r w:rsidRPr="0006136C">
        <w:rPr>
          <w:rFonts w:ascii="Calibri" w:hAnsi="Calibri" w:cs="Calibri"/>
        </w:rPr>
        <w:t>, palabras</w:t>
      </w:r>
      <w:r w:rsidR="009942D2" w:rsidRPr="0006136C">
        <w:rPr>
          <w:rFonts w:ascii="Calibri" w:hAnsi="Calibri" w:cs="Calibri"/>
        </w:rPr>
        <w:t>: 26</w:t>
      </w:r>
      <w:r w:rsidR="004F1DF1" w:rsidRPr="0006136C">
        <w:rPr>
          <w:rFonts w:ascii="Calibri" w:hAnsi="Calibri" w:cs="Calibri"/>
        </w:rPr>
        <w:t>3</w:t>
      </w:r>
    </w:p>
    <w:p w14:paraId="0BBD8DFB" w14:textId="77777777" w:rsidR="00B15059" w:rsidRPr="0006136C" w:rsidRDefault="00B15059">
      <w:pPr>
        <w:rPr>
          <w:rFonts w:ascii="Calibri" w:hAnsi="Calibri" w:cs="Calibri"/>
        </w:rPr>
      </w:pPr>
    </w:p>
    <w:sectPr w:rsidR="00B15059" w:rsidRPr="000613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3"/>
    <w:rsid w:val="000255E5"/>
    <w:rsid w:val="000256D4"/>
    <w:rsid w:val="0006136C"/>
    <w:rsid w:val="002B1390"/>
    <w:rsid w:val="002F79F0"/>
    <w:rsid w:val="00394123"/>
    <w:rsid w:val="00433EDF"/>
    <w:rsid w:val="004F1DF1"/>
    <w:rsid w:val="006B26C5"/>
    <w:rsid w:val="007A66E0"/>
    <w:rsid w:val="00803F63"/>
    <w:rsid w:val="0082539E"/>
    <w:rsid w:val="009860D9"/>
    <w:rsid w:val="009942D2"/>
    <w:rsid w:val="00A30610"/>
    <w:rsid w:val="00AD1941"/>
    <w:rsid w:val="00B15059"/>
    <w:rsid w:val="00D1470D"/>
    <w:rsid w:val="00D43B0A"/>
    <w:rsid w:val="00F6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1720"/>
  <w15:chartTrackingRefBased/>
  <w15:docId w15:val="{7409F173-FDB5-4D6F-94DC-56F9B1DB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63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F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F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F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F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F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F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F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F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F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4D0F28-5D4C-498A-8745-B603C0234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58F28-4F13-42FA-BB95-6EC4EBF1CA1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05F6CFA-E57E-450D-90D7-941352D76E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3</cp:revision>
  <dcterms:created xsi:type="dcterms:W3CDTF">2026-04-24T21:23:00Z</dcterms:created>
  <dcterms:modified xsi:type="dcterms:W3CDTF">2026-04-27T20:02:00Z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