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D57" w:rsidRDefault="00C71D57" w14:paraId="0D188037" w14:textId="4A659050">
      <w:pPr>
        <w:spacing w:line="240" w:lineRule="auto"/>
        <w:rPr>
          <w:b/>
        </w:rPr>
      </w:pPr>
    </w:p>
    <w:p w:rsidR="009D2E85" w:rsidRDefault="009D2E85" w14:paraId="19FC2347" w14:textId="77777777">
      <w:pPr>
        <w:spacing w:line="240" w:lineRule="auto"/>
        <w:rPr>
          <w:b/>
        </w:rPr>
      </w:pPr>
    </w:p>
    <w:p w:rsidR="009D2E85" w:rsidRDefault="009D2E85" w14:paraId="1632BD3F" w14:textId="77777777">
      <w:pPr>
        <w:spacing w:line="240" w:lineRule="auto"/>
        <w:rPr>
          <w:b/>
        </w:rPr>
      </w:pPr>
    </w:p>
    <w:p w:rsidR="009D2E85" w:rsidRDefault="009D2E85" w14:paraId="22D46F56" w14:textId="77777777">
      <w:pPr>
        <w:spacing w:line="240" w:lineRule="auto"/>
        <w:rPr>
          <w:b/>
        </w:rPr>
      </w:pP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C02521" w:rsidR="00C02521" w:rsidTr="0788B6D4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B2F46" w:rsidR="00C02521" w:rsidP="00C02521" w:rsidRDefault="00C02521" w14:paraId="7EF60668" w14:textId="4508FD69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F047C7" w:rsidR="00C02521" w:rsidP="00C02521" w:rsidRDefault="00C02521" w14:paraId="3F60AE54" w14:textId="77777777">
            <w:pPr>
              <w:spacing w:line="240" w:lineRule="auto"/>
              <w:rPr>
                <w:b/>
                <w:i/>
                <w:lang w:val="es-CO"/>
              </w:rPr>
            </w:pPr>
            <w:r w:rsidRPr="00F047C7">
              <w:rPr>
                <w:b/>
                <w:bCs/>
                <w:i/>
              </w:rPr>
              <w:t>Pódcast</w:t>
            </w:r>
            <w:r w:rsidRPr="00F047C7">
              <w:rPr>
                <w:b/>
                <w:i/>
                <w:lang w:val="es-CO"/>
              </w:rPr>
              <w:t> </w:t>
            </w:r>
          </w:p>
        </w:tc>
      </w:tr>
      <w:tr w:rsidRPr="00C02521" w:rsidR="00B24FAF" w:rsidTr="0788B6D4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:rsidRPr="002B2F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5010D2" w14:paraId="284838DB" w14:textId="0F1525BA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05010D2">
              <w:rPr>
                <w:sz w:val="20"/>
                <w:szCs w:val="20"/>
              </w:rPr>
              <w:t>Propiedades biológicas, manejo y conservación del suelo en la agricultura.</w:t>
            </w:r>
          </w:p>
        </w:tc>
      </w:tr>
      <w:tr w:rsidRPr="00C02521" w:rsidR="00B24FAF" w:rsidTr="0788B6D4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E40463" w:rsidR="00B24FAF" w:rsidP="00E40463" w:rsidRDefault="00B24FAF" w14:paraId="42672583" w14:textId="77AC5898">
            <w:pPr>
              <w:spacing w:line="360" w:lineRule="auto"/>
              <w:rPr>
                <w:sz w:val="20"/>
                <w:szCs w:val="20"/>
                <w:lang w:val="es-CO"/>
              </w:rPr>
            </w:pPr>
            <w:r w:rsidRPr="0788B6D4" w:rsidR="00B24FAF">
              <w:rPr>
                <w:color w:val="000000" w:themeColor="text1" w:themeTint="FF" w:themeShade="FF"/>
                <w:sz w:val="20"/>
                <w:szCs w:val="20"/>
                <w:lang w:val="es-CO"/>
              </w:rPr>
              <w:t xml:space="preserve">A continuación, se presenta un </w:t>
            </w:r>
            <w:r w:rsidRPr="0788B6D4" w:rsidR="00B24FAF">
              <w:rPr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pódcast</w:t>
            </w:r>
            <w:r w:rsidRPr="0788B6D4" w:rsidR="00B24FAF">
              <w:rPr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0788B6D4" w:rsidR="00B24FAF">
              <w:rPr>
                <w:color w:val="000000" w:themeColor="text1" w:themeTint="FF" w:themeShade="FF"/>
                <w:sz w:val="20"/>
                <w:szCs w:val="20"/>
                <w:lang w:val="es-CO"/>
              </w:rPr>
              <w:t>que</w:t>
            </w:r>
            <w:r w:rsidRPr="0788B6D4" w:rsidR="002B2F46">
              <w:rPr>
                <w:color w:val="000000" w:themeColor="text1" w:themeTint="FF" w:themeShade="FF"/>
                <w:sz w:val="20"/>
                <w:szCs w:val="20"/>
                <w:lang w:val="es-CO"/>
              </w:rPr>
              <w:t xml:space="preserve"> </w:t>
            </w:r>
            <w:r w:rsidRPr="0788B6D4" w:rsidR="00616BB2">
              <w:rPr>
                <w:color w:val="000000" w:themeColor="text1" w:themeTint="FF" w:themeShade="FF"/>
                <w:sz w:val="20"/>
                <w:szCs w:val="20"/>
                <w:lang w:val="es-CO"/>
              </w:rPr>
              <w:t>amplía la temáti</w:t>
            </w:r>
            <w:r w:rsidRPr="0788B6D4" w:rsidR="00D505E3">
              <w:rPr>
                <w:color w:val="000000" w:themeColor="text1" w:themeTint="FF" w:themeShade="FF"/>
                <w:sz w:val="20"/>
                <w:szCs w:val="20"/>
                <w:lang w:val="es-CO"/>
              </w:rPr>
              <w:t xml:space="preserve">ca sobre la importancia </w:t>
            </w:r>
            <w:r w:rsidRPr="0788B6D4" w:rsidR="48E5F61F">
              <w:rPr>
                <w:color w:val="000000" w:themeColor="text1" w:themeTint="FF" w:themeShade="FF"/>
                <w:sz w:val="20"/>
                <w:szCs w:val="20"/>
                <w:lang w:val="es-CO"/>
              </w:rPr>
              <w:t xml:space="preserve">de la </w:t>
            </w:r>
            <w:r w:rsidRPr="0788B6D4" w:rsidR="005010D2">
              <w:rPr>
                <w:color w:val="000000" w:themeColor="text1" w:themeTint="FF" w:themeShade="FF"/>
                <w:sz w:val="20"/>
                <w:szCs w:val="20"/>
                <w:lang w:val="es-CO"/>
              </w:rPr>
              <w:t>m</w:t>
            </w:r>
            <w:r w:rsidRPr="0788B6D4" w:rsidR="005010D2">
              <w:rPr>
                <w:color w:val="000000" w:themeColor="text1" w:themeTint="FF" w:themeShade="FF"/>
                <w:sz w:val="20"/>
                <w:szCs w:val="20"/>
                <w:lang w:val="es-CO"/>
              </w:rPr>
              <w:t>ateria orgánica del suelo</w:t>
            </w:r>
            <w:r w:rsidRPr="0788B6D4" w:rsidR="005010D2">
              <w:rPr>
                <w:color w:val="000000" w:themeColor="text1" w:themeTint="FF" w:themeShade="FF"/>
                <w:sz w:val="20"/>
                <w:szCs w:val="20"/>
                <w:lang w:val="es-CO"/>
              </w:rPr>
              <w:t>.</w:t>
            </w:r>
          </w:p>
        </w:tc>
      </w:tr>
      <w:tr w:rsidRPr="00C02521" w:rsidR="00C02521" w:rsidTr="0788B6D4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B2F46" w:rsidR="00C02521" w:rsidP="2CC246E2" w:rsidRDefault="2FAF0E2B" w14:paraId="2A3463C2" w14:textId="65467FDB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B2F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</w:t>
            </w:r>
            <w:r w:rsidRPr="00F047C7">
              <w:rPr>
                <w:b/>
                <w:bCs/>
                <w:i/>
              </w:rPr>
              <w:t xml:space="preserve">pódcast </w:t>
            </w:r>
          </w:p>
        </w:tc>
      </w:tr>
      <w:tr w:rsidRPr="00C02521" w:rsidR="00C02521" w:rsidTr="0788B6D4" w14:paraId="208B7FFC" w14:textId="77777777">
        <w:trPr>
          <w:trHeight w:val="723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B2F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A06189" w:rsidR="005010D2" w:rsidP="00A06189" w:rsidRDefault="005010D2" w14:paraId="00FEB7E0" w14:textId="3E1DB0EF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A06189">
              <w:rPr>
                <w:rFonts w:ascii="Arial" w:hAnsi="Arial" w:cs="Arial"/>
                <w:sz w:val="20"/>
                <w:szCs w:val="20"/>
              </w:rPr>
              <w:t xml:space="preserve">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materia orgánica del suelo</w:t>
            </w:r>
            <w:r w:rsidRPr="00A06189">
              <w:rPr>
                <w:rFonts w:ascii="Arial" w:hAnsi="Arial" w:cs="Arial"/>
                <w:sz w:val="20"/>
                <w:szCs w:val="20"/>
              </w:rPr>
              <w:t xml:space="preserve"> es un componente clave para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fertilidad</w:t>
            </w:r>
            <w:r w:rsidRPr="00A0618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06189">
              <w:rPr>
                <w:rFonts w:ascii="Arial" w:hAnsi="Arial" w:cs="Arial"/>
                <w:sz w:val="20"/>
                <w:szCs w:val="20"/>
              </w:rPr>
              <w:t>y la</w:t>
            </w:r>
            <w:r w:rsidRPr="00A0618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sostenibilidad agrícola</w:t>
            </w:r>
            <w:r w:rsidRPr="00A06189">
              <w:rPr>
                <w:rFonts w:ascii="Arial" w:hAnsi="Arial" w:cs="Arial"/>
                <w:sz w:val="20"/>
                <w:szCs w:val="20"/>
              </w:rPr>
              <w:t xml:space="preserve">, ya que actúa como el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motor biológico del suelo</w:t>
            </w:r>
            <w:r w:rsidR="00327B2A">
              <w:rPr>
                <w:rFonts w:ascii="Arial" w:hAnsi="Arial" w:cs="Arial"/>
                <w:b/>
                <w:sz w:val="20"/>
                <w:szCs w:val="20"/>
              </w:rPr>
              <w:t>.</w:t>
            </w:r>
            <w:bookmarkStart w:name="_GoBack" w:id="0"/>
            <w:bookmarkEnd w:id="0"/>
            <w:r w:rsidRPr="00A06189">
              <w:rPr>
                <w:rFonts w:ascii="Arial" w:hAnsi="Arial" w:cs="Arial"/>
                <w:sz w:val="20"/>
                <w:szCs w:val="20"/>
              </w:rPr>
              <w:t xml:space="preserve"> Participa en procesos físicos, químicos y biológicos que determinan la productividad de los cultivos. Está formada por materiales en diferentes estados de descomposición provenientes de residuos vegetales, animales y organismos del suelo.</w:t>
            </w:r>
          </w:p>
          <w:p w:rsidRPr="005010D2" w:rsidR="005010D2" w:rsidP="00A06189" w:rsidRDefault="005010D2" w14:paraId="46E0C133" w14:textId="77777777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>Se distinguen tres fracciones principales de la materia orgánica:</w:t>
            </w:r>
          </w:p>
          <w:p w:rsidRPr="005010D2" w:rsidR="005010D2" w:rsidP="00A06189" w:rsidRDefault="005010D2" w14:paraId="37609D8B" w14:textId="77777777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5010D2">
              <w:rPr>
                <w:rStyle w:val="Textoennegrita"/>
                <w:rFonts w:ascii="Arial" w:hAnsi="Arial" w:cs="Arial"/>
                <w:sz w:val="20"/>
                <w:szCs w:val="20"/>
              </w:rPr>
              <w:t>Residuos frescos</w:t>
            </w:r>
            <w:r w:rsidRPr="005010D2">
              <w:rPr>
                <w:rFonts w:ascii="Arial" w:hAnsi="Arial" w:cs="Arial"/>
                <w:sz w:val="20"/>
                <w:szCs w:val="20"/>
              </w:rPr>
              <w:t>: incluyen hojas, raíces y restos de cosecha. Son la fuente inicial de energía para los microorganismos, inician la descomposición y contribuyen a la formación de humus, mejorando la fertilidad del suelo a mediano plazo.</w:t>
            </w:r>
          </w:p>
          <w:p w:rsidRPr="005010D2" w:rsidR="005010D2" w:rsidP="00A06189" w:rsidRDefault="005010D2" w14:paraId="10889E89" w14:textId="77777777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5010D2">
              <w:rPr>
                <w:rStyle w:val="Textoennegrita"/>
                <w:rFonts w:ascii="Arial" w:hAnsi="Arial" w:cs="Arial"/>
                <w:sz w:val="20"/>
                <w:szCs w:val="20"/>
              </w:rPr>
              <w:t>Biomasa microbiana</w:t>
            </w:r>
            <w:r w:rsidRPr="005010D2">
              <w:rPr>
                <w:rFonts w:ascii="Arial" w:hAnsi="Arial" w:cs="Arial"/>
                <w:sz w:val="20"/>
                <w:szCs w:val="20"/>
              </w:rPr>
              <w:t>: está conformada por microorganismos como bacterias y hongos. Es responsable de la descomposición y la liberación de nutrientes, además de procesos como la fijación de nitrógeno. Su presencia indica un suelo activo y saludable.</w:t>
            </w:r>
          </w:p>
          <w:p w:rsidRPr="005010D2" w:rsidR="005010D2" w:rsidP="00A06189" w:rsidRDefault="005010D2" w14:paraId="68CC5596" w14:textId="77777777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5010D2">
              <w:rPr>
                <w:rStyle w:val="Textoennegrita"/>
                <w:rFonts w:ascii="Arial" w:hAnsi="Arial" w:cs="Arial"/>
                <w:sz w:val="20"/>
                <w:szCs w:val="20"/>
              </w:rPr>
              <w:t>Humus</w:t>
            </w:r>
            <w:r w:rsidRPr="005010D2">
              <w:rPr>
                <w:rFonts w:ascii="Arial" w:hAnsi="Arial" w:cs="Arial"/>
                <w:sz w:val="20"/>
                <w:szCs w:val="20"/>
              </w:rPr>
              <w:t>: es la fracción más estable de la materia orgánica. Mejora la estructura del suelo, aumenta la retención de agua y nutrientes, y es fundamental para mantener la fertilidad a largo plazo.</w:t>
            </w:r>
          </w:p>
          <w:p w:rsidRPr="005010D2" w:rsidR="005010D2" w:rsidP="00A06189" w:rsidRDefault="005010D2" w14:paraId="22A61397" w14:textId="557F826E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>L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materia orgánica del suelo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 es esencial para mantener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productividad agrícola</w:t>
            </w:r>
            <w:r w:rsidRPr="005010D2">
              <w:rPr>
                <w:rFonts w:ascii="Arial" w:hAnsi="Arial" w:cs="Arial"/>
                <w:sz w:val="20"/>
                <w:szCs w:val="20"/>
              </w:rPr>
              <w:t>. Su manejo adecuado mediante prácticas sostenibles como el uso de abonos orgánicos y la conservación de residuos vegetales permite mejorar la calidad del suelo y asegurar la sostenibilidad de los sistemas productivos.</w:t>
            </w:r>
          </w:p>
          <w:p w:rsidRPr="00A06189" w:rsidR="00C02521" w:rsidP="00A06189" w:rsidRDefault="005010D2" w14:paraId="1BB597C1" w14:textId="257F7AA3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010D2">
              <w:rPr>
                <w:rFonts w:ascii="Arial" w:hAnsi="Arial" w:cs="Arial"/>
                <w:sz w:val="20"/>
                <w:szCs w:val="20"/>
              </w:rPr>
              <w:t xml:space="preserve">El manejo adecuado de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materia orgánica del suelo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 requiere la implementación de prácticas agrícolas sostenibles que favorezcan su incorporación y conservación. Entre estas prácticas se destacan el uso de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abonos orgánicos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,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rotación de cultivos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,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 xml:space="preserve">cobertura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lastRenderedPageBreak/>
              <w:t>vegetal</w:t>
            </w:r>
            <w:r w:rsidRPr="005010D2">
              <w:rPr>
                <w:rFonts w:ascii="Arial" w:hAnsi="Arial" w:cs="Arial"/>
                <w:sz w:val="20"/>
                <w:szCs w:val="20"/>
              </w:rPr>
              <w:t xml:space="preserve"> y la reducción del uso de agroquímicos. Estas estrategias permiten mantener la actividad biológica del suelo, mejorar su estructura y aumentar la disponibilidad de nutrientes para las plantas. De esta manera, se fortalece la </w:t>
            </w:r>
            <w:r w:rsidRPr="00A06189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salud del suelo</w:t>
            </w:r>
            <w:r w:rsidRPr="005010D2">
              <w:rPr>
                <w:rFonts w:ascii="Arial" w:hAnsi="Arial" w:cs="Arial"/>
                <w:sz w:val="20"/>
                <w:szCs w:val="20"/>
              </w:rPr>
              <w:t>, se incrementa la productividad agrícola y se garantiza la sostenibilidad de los sist</w:t>
            </w:r>
            <w:r w:rsidR="00A06189">
              <w:rPr>
                <w:rFonts w:ascii="Arial" w:hAnsi="Arial" w:cs="Arial"/>
                <w:sz w:val="20"/>
                <w:szCs w:val="20"/>
              </w:rPr>
              <w:t>emas de producción en el tiempo.</w:t>
            </w:r>
          </w:p>
        </w:tc>
      </w:tr>
    </w:tbl>
    <w:p w:rsidR="00C71D57" w:rsidRDefault="00C71D57" w14:paraId="00093355" w14:textId="39142A89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08E" w:rsidRDefault="0009508E" w14:paraId="3627CD1F" w14:textId="77777777">
      <w:pPr>
        <w:spacing w:line="240" w:lineRule="auto"/>
      </w:pPr>
      <w:r>
        <w:separator/>
      </w:r>
    </w:p>
  </w:endnote>
  <w:endnote w:type="continuationSeparator" w:id="0">
    <w:p w:rsidR="0009508E" w:rsidRDefault="0009508E" w14:paraId="646E88A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08E" w:rsidRDefault="0009508E" w14:paraId="19B66470" w14:textId="77777777">
      <w:pPr>
        <w:spacing w:line="240" w:lineRule="auto"/>
      </w:pPr>
      <w:r>
        <w:separator/>
      </w:r>
    </w:p>
  </w:footnote>
  <w:footnote w:type="continuationSeparator" w:id="0">
    <w:p w:rsidR="0009508E" w:rsidRDefault="0009508E" w14:paraId="4DB1B97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sdtfl="http://schemas.microsoft.com/office/word/2024/wordml/sdtformatlock"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936BE"/>
    <w:multiLevelType w:val="hybridMultilevel"/>
    <w:tmpl w:val="88548AF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9508E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36A54"/>
    <w:rsid w:val="002465D4"/>
    <w:rsid w:val="00256DB3"/>
    <w:rsid w:val="002A27C6"/>
    <w:rsid w:val="002B2F46"/>
    <w:rsid w:val="002C686F"/>
    <w:rsid w:val="003138F1"/>
    <w:rsid w:val="003166EB"/>
    <w:rsid w:val="00327B2A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549BB"/>
    <w:rsid w:val="004822E3"/>
    <w:rsid w:val="004C3522"/>
    <w:rsid w:val="004C7FA2"/>
    <w:rsid w:val="004E372F"/>
    <w:rsid w:val="004E5424"/>
    <w:rsid w:val="004E7F20"/>
    <w:rsid w:val="005010D2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5F473F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70190"/>
    <w:rsid w:val="00797ABE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72B74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C3C7D"/>
    <w:rsid w:val="009C7134"/>
    <w:rsid w:val="009D2E85"/>
    <w:rsid w:val="009D39BB"/>
    <w:rsid w:val="00A06189"/>
    <w:rsid w:val="00A32066"/>
    <w:rsid w:val="00A33898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05E3"/>
    <w:rsid w:val="00D5762A"/>
    <w:rsid w:val="00D61CB2"/>
    <w:rsid w:val="00D917F3"/>
    <w:rsid w:val="00D92607"/>
    <w:rsid w:val="00D92673"/>
    <w:rsid w:val="00DD3860"/>
    <w:rsid w:val="00DE15EE"/>
    <w:rsid w:val="00DE1829"/>
    <w:rsid w:val="00DE2C85"/>
    <w:rsid w:val="00DF340F"/>
    <w:rsid w:val="00E17EF6"/>
    <w:rsid w:val="00E21F86"/>
    <w:rsid w:val="00E40463"/>
    <w:rsid w:val="00E43605"/>
    <w:rsid w:val="00E936A6"/>
    <w:rsid w:val="00EA707E"/>
    <w:rsid w:val="00EC787E"/>
    <w:rsid w:val="00ED4491"/>
    <w:rsid w:val="00EE5A8A"/>
    <w:rsid w:val="00F047C7"/>
    <w:rsid w:val="00F140D5"/>
    <w:rsid w:val="00F279A8"/>
    <w:rsid w:val="00F729CA"/>
    <w:rsid w:val="00F7392C"/>
    <w:rsid w:val="00F901C0"/>
    <w:rsid w:val="00FA7350"/>
    <w:rsid w:val="00FB29D7"/>
    <w:rsid w:val="00FB71A1"/>
    <w:rsid w:val="0788B6D4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8E5F61F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Normal0" w:customStyle="1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04C402-C006-4D65-BE35-6C1BFC47818E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Yineth Ibette Gonzalez Quintero</lastModifiedBy>
  <revision>4</revision>
  <dcterms:created xsi:type="dcterms:W3CDTF">2026-04-25T23:02:00.0000000Z</dcterms:created>
  <dcterms:modified xsi:type="dcterms:W3CDTF">2026-04-27T15:41:26.5932783Z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