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94F95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94F95" w:rsidR="00C57B0F" w:rsidTr="162D4192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C94F95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C94F95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C94F95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C94F95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C94F95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C94F95" w:rsidR="00C57B0F" w:rsidTr="162D4192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C94F95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C94F9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C94F95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C94F9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C94F9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C94F9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:rsidRPr="00C94F9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C94F95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C94F95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hAnsi="Calibri" w:eastAsia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</w:tc>
      </w:tr>
      <w:tr w:rsidRPr="00C94F95" w:rsidR="00C57B0F" w:rsidTr="162D4192" w14:paraId="08A5677D" w14:textId="77777777">
        <w:tc>
          <w:tcPr>
            <w:tcW w:w="2534" w:type="dxa"/>
            <w:gridSpan w:val="2"/>
            <w:tcMar/>
          </w:tcPr>
          <w:p w:rsidRPr="00C94F95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C94F95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C94F95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  <w:tcMar/>
          </w:tcPr>
          <w:p w:rsidRPr="00F7090C" w:rsidR="00C57B0F" w:rsidRDefault="006F219D" w14:paraId="0E4EB1B2" w14:textId="503E86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F7090C" w:rsidR="00B25195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442D96" w:rsidR="00442D96">
              <w:rPr>
                <w:b/>
                <w:bCs/>
                <w:color w:val="000000" w:themeColor="text1"/>
                <w:sz w:val="20"/>
                <w:szCs w:val="20"/>
              </w:rPr>
              <w:t>Análisis de viabilidad, eficiencia y cuantificación de impactos en procesos energéticos.</w:t>
            </w:r>
          </w:p>
          <w:p w:rsidRPr="00F7090C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F7090C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7090C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F7090C" w:rsidR="00C57B0F" w:rsidP="007E7633" w:rsidRDefault="006F219D" w14:paraId="1EC50D8C" w14:textId="52DC8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Pr="00C94F95" w:rsidR="00C57B0F" w:rsidTr="162D4192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C94F95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F7090C" w:rsidR="00C57B0F" w:rsidP="162D4192" w:rsidRDefault="00442D96" w14:paraId="60B4012D" w14:textId="78FDF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Viabilidad, </w:t>
            </w:r>
            <w:r w:rsidRPr="162D4192" w:rsidR="116ABE6D">
              <w:rPr>
                <w:rFonts w:ascii="Calibri" w:hAnsi="Calibri" w:eastAsia="Calibri" w:cs="Calibri"/>
                <w:b w:val="1"/>
                <w:bCs w:val="1"/>
                <w:color w:val="auto"/>
              </w:rPr>
              <w:t>e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ficiencia y </w:t>
            </w:r>
            <w:r w:rsidRPr="162D4192" w:rsidR="2340B8C6">
              <w:rPr>
                <w:rFonts w:ascii="Calibri" w:hAnsi="Calibri" w:eastAsia="Calibri" w:cs="Calibri"/>
                <w:b w:val="1"/>
                <w:bCs w:val="1"/>
                <w:color w:val="auto"/>
              </w:rPr>
              <w:t>c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uantificación de </w:t>
            </w:r>
            <w:r w:rsidRPr="162D4192" w:rsidR="2161984F">
              <w:rPr>
                <w:rFonts w:ascii="Calibri" w:hAnsi="Calibri" w:eastAsia="Calibri" w:cs="Calibri"/>
                <w:b w:val="1"/>
                <w:bCs w:val="1"/>
                <w:color w:val="auto"/>
              </w:rPr>
              <w:t>i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>mpactos</w:t>
            </w:r>
          </w:p>
        </w:tc>
      </w:tr>
      <w:tr w:rsidRPr="00C94F95" w:rsidR="00C57B0F" w:rsidTr="162D4192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F7090C" w:rsidR="00CC6200" w:rsidP="00EE42A3" w:rsidRDefault="0039658E" w14:paraId="79A04D82" w14:textId="4F947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Evaluar la comprensión</w:t>
            </w:r>
            <w:r w:rsidRPr="00F7090C" w:rsidR="009463B6">
              <w:rPr>
                <w:rFonts w:ascii="Calibri" w:hAnsi="Calibri" w:eastAsia="Calibri" w:cs="Calibri"/>
                <w:color w:val="auto"/>
              </w:rPr>
              <w:t xml:space="preserve"> de los conceptos fundamentales </w:t>
            </w:r>
            <w:r w:rsidRPr="00F7090C" w:rsidR="00EE42A3">
              <w:rPr>
                <w:rFonts w:ascii="Calibri" w:hAnsi="Calibri" w:eastAsia="Calibri" w:cs="Calibri"/>
                <w:color w:val="auto"/>
              </w:rPr>
              <w:t>del com</w:t>
            </w:r>
            <w:r w:rsidRPr="00F7090C" w:rsidR="003F1FD5">
              <w:rPr>
                <w:rFonts w:ascii="Calibri" w:hAnsi="Calibri" w:eastAsia="Calibri" w:cs="Calibri"/>
                <w:color w:val="auto"/>
              </w:rPr>
              <w:t>ponente formativo</w:t>
            </w:r>
            <w:r w:rsidR="00442D96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C94F95" w:rsidR="00C57B0F" w:rsidTr="162D4192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C94F95" w:rsidR="00C57B0F" w:rsidRDefault="006F219D" w14:paraId="0FCDD525" w14:textId="1CCE661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F7090C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C94F95" w:rsidR="00C57B0F" w:rsidTr="162D4192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F7090C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F7090C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C94F95" w:rsidR="00A07C0D" w:rsidTr="162D419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F7090C" w:rsidR="00765033" w:rsidP="003F1FD5" w:rsidRDefault="00442D96" w14:paraId="7F132666" w14:textId="12E8A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</w:rPr>
            </w:pP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La Norma ISO 50001 se enfoca exclusivamente en la reducción del consumo energético y no en la integración del sistema de gestión con otros sistemas existentes de la organización.</w:t>
            </w:r>
          </w:p>
        </w:tc>
      </w:tr>
      <w:tr w:rsidRPr="00C94F95" w:rsidR="00C57B0F" w:rsidTr="162D4192" w14:paraId="20634E81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4CEC4D6E" w14:textId="5D6B0C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162D4192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765033" w14:paraId="0F73ACCC" w14:textId="6ED0C0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162D4192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3F1FD5" w:rsidRDefault="007E7633" w14:paraId="5B7DC219" w14:textId="2A0D5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Ha captado con claridad los </w:t>
            </w:r>
            <w:r w:rsidRPr="00F7090C" w:rsidR="009C6D9B">
              <w:rPr>
                <w:rFonts w:ascii="Calibri" w:hAnsi="Calibri" w:eastAsia="Calibri" w:cs="Calibri"/>
                <w:color w:val="auto"/>
              </w:rPr>
              <w:t>conceptos del componente formativo</w:t>
            </w:r>
            <w:r w:rsidR="00765033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C94F95" w:rsidR="00C57B0F" w:rsidTr="162D4192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484D921F" w14:textId="3949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162D4192" w14:paraId="1C3DF49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A900AA" w:rsidRDefault="00442D96" w14:paraId="6CB94FF9" w14:textId="7B2AD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EAAAA"/>
              </w:rPr>
            </w:pPr>
            <w:r w:rsidRPr="00442D96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Un proyecto de eficiencia energética se considera financieramente viable solo si su Valor Presente Neto (VPN) resulta en un valor negativo, ya que esto indica una inversión inicial baja.</w:t>
            </w:r>
          </w:p>
        </w:tc>
      </w:tr>
      <w:tr w:rsidRPr="00C94F95" w:rsidR="00A07C0D" w:rsidTr="162D4192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0C2C30EE" w14:textId="5777EE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162D4192" w14:paraId="36119631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442D96" w14:paraId="3A825C09" w14:textId="2F0768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162D4192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763674" w:rsidRDefault="00763674" w14:paraId="4B4AECDE" w14:textId="36D2E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</w:t>
            </w:r>
            <w:r w:rsidRPr="00F7090C" w:rsidR="00C84DB3">
              <w:rPr>
                <w:rFonts w:ascii="Calibri" w:hAnsi="Calibri" w:eastAsia="Calibri" w:cs="Calibri"/>
                <w:color w:val="auto"/>
              </w:rPr>
              <w:t>ente formativo</w:t>
            </w:r>
            <w:r w:rsidR="00765033"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162D4192" w14:paraId="07B8FF9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7603B80F" w14:textId="5787C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162D4192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C84DB3" w:rsidRDefault="00442D96" w14:paraId="046D531A" w14:textId="4363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EAAAA"/>
              </w:rPr>
            </w:pP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 xml:space="preserve">El </w:t>
            </w:r>
            <w:r w:rsidR="00FB4F0C">
              <w:rPr>
                <w:rFonts w:ascii="Calibri" w:hAnsi="Calibri" w:eastAsia="Calibri" w:cs="Calibri"/>
                <w:b/>
                <w:bCs/>
                <w:color w:val="auto"/>
              </w:rPr>
              <w:t>p</w:t>
            </w: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 xml:space="preserve">eriodo de </w:t>
            </w:r>
            <w:r w:rsidR="00FB4F0C">
              <w:rPr>
                <w:rFonts w:ascii="Calibri" w:hAnsi="Calibri" w:eastAsia="Calibri" w:cs="Calibri"/>
                <w:b/>
                <w:bCs/>
                <w:color w:val="auto"/>
              </w:rPr>
              <w:t>r</w:t>
            </w: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ecuperación (</w:t>
            </w:r>
            <w:r w:rsidRPr="00FB4F0C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>Payback</w:t>
            </w: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) es el indicador financiero más robusto y completo para evaluar la rentabilidad del proyecto, ya que considera el valor del dinero en el tiempo.</w:t>
            </w:r>
          </w:p>
        </w:tc>
      </w:tr>
      <w:tr w:rsidRPr="00C94F95" w:rsidR="00A07C0D" w:rsidTr="162D4192" w14:paraId="4506A989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21368E88" w14:textId="664B6F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162D4192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934054" w14:paraId="19B77E5E" w14:textId="5FCD69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162D4192" w14:paraId="6E1DC75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153784" w:rsidRDefault="00765033" w14:paraId="0C45D58A" w14:textId="39E29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162D4192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2597948C" w14:textId="78FA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162D4192" w14:paraId="39EA575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90004D" w:rsidRDefault="00442D96" w14:paraId="1531FE02" w14:textId="6485F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EAAAA"/>
              </w:rPr>
            </w:pPr>
            <w:r w:rsidRPr="00442D96">
              <w:rPr>
                <w:rFonts w:ascii="Calibri" w:hAnsi="Calibri" w:eastAsia="Calibri" w:cs="Calibri"/>
                <w:b/>
                <w:bCs/>
                <w:color w:val="000000" w:themeColor="text1"/>
              </w:rPr>
              <w:t>La Tasa Interna de Retorno (TIR) representa la rentabilidad intrínseca del proyecto; si este valor es menor a la tasa de descuento de la empresa, el proyecto debe ser rechazado.</w:t>
            </w:r>
          </w:p>
        </w:tc>
      </w:tr>
      <w:tr w:rsidRPr="00C94F95" w:rsidR="00A07C0D" w:rsidTr="162D4192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442D96" w14:paraId="3EB8F933" w14:textId="6C9CB9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162D4192" w14:paraId="1596E0A5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061959CE" w14:textId="53978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162D4192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71B80" w:rsidRDefault="00765033" w14:paraId="004B6A6C" w14:textId="557C7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162D4192" w14:paraId="0801B87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08C1A5C9" w14:textId="388A3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  <w:r w:rsidRPr="00F7090C" w:rsidR="00371B80">
              <w:rPr>
                <w:rFonts w:ascii="Calibri" w:hAnsi="Calibri" w:eastAsia="Calibri" w:cs="Calibri"/>
                <w:color w:val="auto"/>
              </w:rPr>
              <w:t xml:space="preserve"> </w:t>
            </w:r>
          </w:p>
        </w:tc>
      </w:tr>
      <w:tr w:rsidRPr="00C94F95" w:rsidR="00C57B0F" w:rsidTr="162D4192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42D96" w:rsidR="00C57B0F" w:rsidP="00344A7F" w:rsidRDefault="00442D96" w14:paraId="1B7CAEBC" w14:textId="6150B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La Reducción de Gases de Efecto Invernadero (GEI) se calcula multiplicando el </w:t>
            </w:r>
            <w:r w:rsidRPr="162D4192" w:rsidR="466D9902">
              <w:rPr>
                <w:rFonts w:ascii="Calibri" w:hAnsi="Calibri" w:eastAsia="Calibri" w:cs="Calibri"/>
                <w:b w:val="1"/>
                <w:bCs w:val="1"/>
                <w:color w:val="auto"/>
              </w:rPr>
              <w:t>a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horro de </w:t>
            </w:r>
            <w:r w:rsidRPr="162D4192" w:rsidR="1AEF86EE">
              <w:rPr>
                <w:rFonts w:ascii="Calibri" w:hAnsi="Calibri" w:eastAsia="Calibri" w:cs="Calibri"/>
                <w:b w:val="1"/>
                <w:bCs w:val="1"/>
                <w:color w:val="auto"/>
              </w:rPr>
              <w:t>e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nergía por el </w:t>
            </w:r>
            <w:r w:rsidRPr="162D4192" w:rsidR="67A9A12C">
              <w:rPr>
                <w:rFonts w:ascii="Calibri" w:hAnsi="Calibri" w:eastAsia="Calibri" w:cs="Calibri"/>
                <w:b w:val="1"/>
                <w:bCs w:val="1"/>
                <w:color w:val="auto"/>
              </w:rPr>
              <w:t>f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actor de </w:t>
            </w:r>
            <w:r w:rsidRPr="162D4192" w:rsidR="242F9319">
              <w:rPr>
                <w:rFonts w:ascii="Calibri" w:hAnsi="Calibri" w:eastAsia="Calibri" w:cs="Calibri"/>
                <w:b w:val="1"/>
                <w:bCs w:val="1"/>
                <w:color w:val="auto"/>
              </w:rPr>
              <w:t>e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>misión específico de la matriz energética de la región o país.</w:t>
            </w:r>
          </w:p>
        </w:tc>
      </w:tr>
      <w:tr w:rsidRPr="00C94F95" w:rsidR="00C57B0F" w:rsidTr="162D4192" w14:paraId="2DB04320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F7090C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tcMar/>
          </w:tcPr>
          <w:p w:rsidRPr="00F7090C" w:rsidR="00C57B0F" w:rsidRDefault="00934054" w14:paraId="03389B73" w14:textId="22F56A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162D4192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F7090C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F7090C" w:rsidR="00C57B0F" w:rsidRDefault="00C57B0F" w14:paraId="20A71059" w14:textId="6681F7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162D4192" w14:paraId="6515F4D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2A0B78" w:rsidRDefault="00765033" w14:paraId="317B5FC6" w14:textId="31656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162D4192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CA2567" w:rsidRDefault="00902CCE" w14:paraId="476BD9A2" w14:textId="78CE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</w:t>
            </w:r>
            <w:r w:rsidR="00FB4F0C">
              <w:rPr>
                <w:rFonts w:ascii="Calibri" w:hAnsi="Calibri" w:eastAsia="Calibri" w:cs="Calibri"/>
                <w:color w:val="auto"/>
              </w:rPr>
              <w:t>e</w:t>
            </w:r>
            <w:r w:rsidRPr="00F7090C">
              <w:rPr>
                <w:rFonts w:ascii="Calibri" w:hAnsi="Calibri" w:eastAsia="Calibri" w:cs="Calibri"/>
                <w:color w:val="auto"/>
              </w:rPr>
              <w:t>vise nuevamente el contenido del componente formativo.</w:t>
            </w:r>
          </w:p>
        </w:tc>
      </w:tr>
      <w:tr w:rsidRPr="00C94F95" w:rsidR="00C57B0F" w:rsidTr="162D4192" w14:paraId="18E34A67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tcMar/>
          </w:tcPr>
          <w:p w:rsidRPr="00F7090C" w:rsidR="00C57B0F" w:rsidP="00585D27" w:rsidRDefault="00442D96" w14:paraId="61D73A45" w14:textId="648CC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442D96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energía solar fotovoltaica</w:t>
            </w:r>
            <w:r w:rsidRPr="00442D96">
              <w:rPr>
                <w:rFonts w:ascii="Calibri" w:hAnsi="Calibri" w:eastAsia="Calibri" w:cs="Calibri"/>
                <w:b/>
                <w:color w:val="auto"/>
              </w:rPr>
              <w:t xml:space="preserve"> se diferencia de la </w:t>
            </w: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solar térmica</w:t>
            </w:r>
            <w:r w:rsidRPr="00442D96">
              <w:rPr>
                <w:rFonts w:ascii="Calibri" w:hAnsi="Calibri" w:eastAsia="Calibri" w:cs="Calibri"/>
                <w:b/>
                <w:color w:val="auto"/>
              </w:rPr>
              <w:t xml:space="preserve"> en que la primera transforma la radiación solar directamente en calor para calentar fluidos.</w:t>
            </w:r>
          </w:p>
        </w:tc>
      </w:tr>
      <w:tr w:rsidRPr="00C94F95" w:rsidR="00C57B0F" w:rsidTr="162D4192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F7090C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F7090C" w:rsidR="00C57B0F" w:rsidRDefault="00C57B0F" w14:paraId="2DEA1E69" w14:textId="521B51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162D4192" w14:paraId="34603C0F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F7090C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tcMar/>
          </w:tcPr>
          <w:p w:rsidRPr="00F7090C" w:rsidR="00C57B0F" w:rsidRDefault="00934054" w14:paraId="7459CED2" w14:textId="7D0683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162D4192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585D27" w:rsidRDefault="00765033" w14:paraId="78C5ECCB" w14:textId="1FA25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162D4192" w14:paraId="6816776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902CCE" w:rsidRDefault="00902CCE" w14:paraId="2902B640" w14:textId="78AF9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</w:t>
            </w:r>
            <w:r w:rsidRPr="00F7090C" w:rsidR="00BD183E">
              <w:rPr>
                <w:rFonts w:ascii="Calibri" w:hAnsi="Calibri" w:eastAsia="Calibri" w:cs="Calibri"/>
                <w:color w:val="auto"/>
              </w:rPr>
              <w:t xml:space="preserve"> contenido del componente formativo.</w:t>
            </w:r>
          </w:p>
        </w:tc>
      </w:tr>
      <w:tr w:rsidRPr="00C94F95" w:rsidR="00C57B0F" w:rsidTr="162D4192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  <w:tcMar/>
          </w:tcPr>
          <w:p w:rsidRPr="00F7090C" w:rsidR="00C57B0F" w:rsidP="00092FC8" w:rsidRDefault="00442D96" w14:paraId="4D6D2B7B" w14:textId="5F6804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442D96">
              <w:rPr>
                <w:rFonts w:ascii="Calibri" w:hAnsi="Calibri" w:eastAsia="Calibri" w:cs="Calibri"/>
                <w:b/>
                <w:bCs/>
                <w:color w:val="auto"/>
              </w:rPr>
              <w:t>Para evaluar la viabilidad geográfica de un proyecto eólico, el criterio principal es medir la Radiación Global Horizontal (GHI) en el sitio.</w:t>
            </w:r>
          </w:p>
        </w:tc>
      </w:tr>
      <w:tr w:rsidRPr="00C94F95" w:rsidR="00C57B0F" w:rsidTr="162D4192" w14:paraId="5B5EF97B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67A2608D" w14:textId="50C86E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162D4192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442D96" w14:paraId="4363353C" w14:textId="14991B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162D4192" w14:paraId="2BEF3AC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3914EB" w:rsidRDefault="00765033" w14:paraId="747E4A24" w14:textId="5C6AC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162D4192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231C98AB" w14:textId="2FA33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C57B0F" w:rsidTr="162D4192" w14:paraId="7DFA247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7090C" w:rsidR="00C57B0F" w:rsidP="00B00DC9" w:rsidRDefault="00442D96" w14:paraId="42742D49" w14:textId="32186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EAAAA"/>
              </w:rPr>
            </w:pP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La </w:t>
            </w:r>
            <w:r w:rsidRPr="162D4192" w:rsidR="7692522C">
              <w:rPr>
                <w:rFonts w:ascii="Calibri" w:hAnsi="Calibri" w:eastAsia="Calibri" w:cs="Calibri"/>
                <w:b w:val="1"/>
                <w:bCs w:val="1"/>
                <w:color w:val="auto"/>
              </w:rPr>
              <w:t>j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ustificación del </w:t>
            </w:r>
            <w:r w:rsidRPr="162D4192" w:rsidR="3637CDBD">
              <w:rPr>
                <w:rFonts w:ascii="Calibri" w:hAnsi="Calibri" w:eastAsia="Calibri" w:cs="Calibri"/>
                <w:b w:val="1"/>
                <w:bCs w:val="1"/>
                <w:color w:val="auto"/>
              </w:rPr>
              <w:t>c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aso de </w:t>
            </w:r>
            <w:r w:rsidRPr="162D4192" w:rsidR="14D6E5CD">
              <w:rPr>
                <w:rFonts w:ascii="Calibri" w:hAnsi="Calibri" w:eastAsia="Calibri" w:cs="Calibri"/>
                <w:b w:val="1"/>
                <w:bCs w:val="1"/>
                <w:color w:val="auto"/>
              </w:rPr>
              <w:t>n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auto"/>
              </w:rPr>
              <w:t>egocio para proyectos de eficiencia debe limitarse a los indicadores financieros (VPN y TIR), excluyendo los impactos ambientales cuantificados.</w:t>
            </w:r>
          </w:p>
        </w:tc>
      </w:tr>
      <w:tr w:rsidRPr="00C94F95" w:rsidR="00C57B0F" w:rsidTr="162D4192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5DFF5F4F" w14:textId="54DEAC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162D4192" w14:paraId="657F3D76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442D96" w14:paraId="6CAA8A0E" w14:textId="7D7BA1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162D4192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894634" w:rsidRDefault="00765033" w14:paraId="547EA69B" w14:textId="30D5B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162D4192" w14:paraId="4CA120E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5ED92D06" w14:textId="54138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Pr="00C94F95" w:rsidR="00A07C0D" w:rsidTr="162D4192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7090C" w:rsidR="00A07C0D" w:rsidP="00B00DC9" w:rsidRDefault="00442D96" w14:paraId="34F11760" w14:textId="05592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EAAAA"/>
              </w:rPr>
            </w:pP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Uno de los mayores riesgos de Transferencia de Impactos de las tecnologías renovables ocurre en la fase de Disposición de Residuos (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</w:rPr>
              <w:t>e-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</w:rPr>
              <w:t>waste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), ya que estos contienen metales pesados.</w:t>
            </w:r>
          </w:p>
        </w:tc>
      </w:tr>
      <w:tr w:rsidRPr="00C94F95" w:rsidR="00A07C0D" w:rsidTr="162D4192" w14:paraId="205503F3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442D96" w14:paraId="6FC2D43C" w14:textId="39A8AA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162D4192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4B6CD4C3" w14:textId="1E36DC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162D4192" w14:paraId="5733A78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0B023B" w:rsidRDefault="00765033" w14:paraId="3842012B" w14:textId="5865A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162D4192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37FF8D6" w14:textId="4DFED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162D4192" w14:paraId="67AD13CF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7090C" w:rsidR="00A07C0D" w:rsidP="00C503BC" w:rsidRDefault="00442D96" w14:paraId="6FBAADDE" w14:textId="3D376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EAAAA"/>
              </w:rPr>
            </w:pP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La estrategia de </w:t>
            </w:r>
            <w:r w:rsidRPr="162D4192" w:rsidR="44301618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e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conomía </w:t>
            </w:r>
            <w:r w:rsidRPr="162D4192" w:rsidR="6B5C5B5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c</w:t>
            </w:r>
            <w:r w:rsidRPr="162D4192" w:rsidR="2B09104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ircular para los componentes renovables prioriza alargar la vida útil, mediante la reparación y la reutilización, antes que el reciclaje de materiales.</w:t>
            </w:r>
          </w:p>
        </w:tc>
      </w:tr>
      <w:tr w:rsidRPr="00C94F95" w:rsidR="00A07C0D" w:rsidTr="162D4192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442D96" w14:paraId="22E38F94" w14:textId="469FDC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162D4192" w14:paraId="0453DE8B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4F3A22BF" w14:textId="7DDBFA4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162D4192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C503BC" w:rsidRDefault="00765033" w14:paraId="6465ACE7" w14:textId="2091E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162D4192" w14:paraId="4201203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6DD29092" w14:textId="5A7631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C57B0F" w:rsidTr="162D4192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F7090C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F7090C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C94F95" w:rsidR="00C57B0F" w:rsidTr="162D4192" w14:paraId="41D61D8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tcMar/>
          </w:tcPr>
          <w:p w:rsidRPr="00F7090C" w:rsidR="00414B4C" w:rsidP="00414B4C" w:rsidRDefault="007E7633" w14:paraId="60983110" w14:textId="257D6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¡Excelente trabajo! </w:t>
            </w:r>
            <w:r w:rsidR="0040067F">
              <w:rPr>
                <w:rFonts w:ascii="Calibri" w:hAnsi="Calibri" w:eastAsia="Calibri" w:cs="Calibri"/>
                <w:color w:val="auto"/>
              </w:rPr>
              <w:t>P</w:t>
            </w:r>
            <w:r w:rsidRPr="00F7090C" w:rsidR="00EF7235">
              <w:rPr>
                <w:rFonts w:ascii="Calibri" w:hAnsi="Calibri" w:eastAsia="Calibri" w:cs="Calibri"/>
                <w:color w:val="auto"/>
              </w:rPr>
              <w:t xml:space="preserve">osee una buena </w:t>
            </w:r>
            <w:r w:rsidRPr="00F7090C" w:rsidR="00414B4C">
              <w:rPr>
                <w:rFonts w:ascii="Calibri" w:hAnsi="Calibri" w:eastAsia="Calibri" w:cs="Calibri"/>
                <w:color w:val="auto"/>
              </w:rPr>
              <w:t>comprensión sobre los conceptos fundamentales</w:t>
            </w:r>
            <w:r w:rsidR="0040067F">
              <w:rPr>
                <w:rFonts w:ascii="Calibri" w:hAnsi="Calibri" w:eastAsia="Calibri" w:cs="Calibri"/>
                <w:color w:val="auto"/>
              </w:rPr>
              <w:t xml:space="preserve"> para el desarrollo del componente</w:t>
            </w:r>
            <w:r w:rsidR="00765033">
              <w:rPr>
                <w:rFonts w:ascii="Calibri" w:hAnsi="Calibri" w:eastAsia="Calibri" w:cs="Calibri"/>
                <w:color w:val="auto"/>
              </w:rPr>
              <w:t>.</w:t>
            </w:r>
          </w:p>
          <w:p w:rsidRPr="00F7090C" w:rsidR="00C57B0F" w:rsidP="00414B4C" w:rsidRDefault="00EF7235" w14:paraId="674AF642" w14:textId="1CAE9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¡Siga e</w:t>
            </w:r>
            <w:r w:rsidRPr="00F7090C" w:rsidR="00414B4C">
              <w:rPr>
                <w:rFonts w:ascii="Calibri" w:hAnsi="Calibri" w:eastAsia="Calibri" w:cs="Calibri"/>
                <w:color w:val="auto"/>
              </w:rPr>
              <w:t>xplorando este fa</w:t>
            </w:r>
            <w:r w:rsidRPr="00F7090C" w:rsidR="00AD29B7">
              <w:rPr>
                <w:rFonts w:ascii="Calibri" w:hAnsi="Calibri" w:eastAsia="Calibri" w:cs="Calibri"/>
                <w:color w:val="auto"/>
              </w:rPr>
              <w:t xml:space="preserve">scinante mundo </w:t>
            </w:r>
            <w:r w:rsidR="00442D96">
              <w:rPr>
                <w:rFonts w:ascii="Calibri" w:hAnsi="Calibri" w:eastAsia="Calibri" w:cs="Calibri"/>
                <w:color w:val="auto"/>
              </w:rPr>
              <w:t>de las energías renovables</w:t>
            </w:r>
            <w:r w:rsidRPr="00F7090C" w:rsidR="00AD29B7">
              <w:rPr>
                <w:rFonts w:ascii="Calibri" w:hAnsi="Calibri" w:eastAsia="Calibri" w:cs="Calibri"/>
                <w:color w:val="auto"/>
              </w:rPr>
              <w:t>!</w:t>
            </w:r>
          </w:p>
        </w:tc>
      </w:tr>
      <w:tr w:rsidRPr="00C94F95" w:rsidR="00C57B0F" w:rsidTr="162D4192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F7090C" w:rsidR="00C57B0F" w:rsidP="005D6C01" w:rsidRDefault="005D6C01" w14:paraId="073F3458" w14:textId="36F6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No ha superado la actividad. </w:t>
            </w:r>
            <w:r w:rsidR="00FB4F0C">
              <w:rPr>
                <w:rFonts w:ascii="Calibri" w:hAnsi="Calibri" w:eastAsia="Calibri" w:cs="Calibri"/>
                <w:color w:val="auto"/>
              </w:rPr>
              <w:t>Se recomienda</w:t>
            </w:r>
            <w:r w:rsidRPr="00F7090C">
              <w:rPr>
                <w:rFonts w:ascii="Calibri" w:hAnsi="Calibri" w:eastAsia="Calibri" w:cs="Calibri"/>
                <w:color w:val="auto"/>
              </w:rPr>
              <w:t xml:space="preserve"> volver a revisar el componente formativo e intentar nuevamente la actividad didáctica.</w:t>
            </w:r>
          </w:p>
        </w:tc>
      </w:tr>
    </w:tbl>
    <w:p w:rsidRPr="00C94F95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C94F95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94F95" w:rsidR="00C57B0F" w:rsidTr="162D41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C94F95" w:rsidR="00C57B0F" w:rsidTr="162D4192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C94F95" w:rsidR="00C0495F" w:rsidTr="162D4192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162D4192" w:rsidRDefault="00FB4F0C" w14:paraId="0FCA66BF" w14:textId="62FE98E6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162D4192" w:rsidR="51BE1D39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 xml:space="preserve">Experto </w:t>
            </w:r>
            <w:r w:rsidRPr="162D4192" w:rsidR="49246576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765033" w14:paraId="62D46FB2" w14:textId="48AC34F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Gianmarco Serrano Cabarcas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765033" w14:paraId="0ACDF65B" w14:textId="4B632C0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Noviembre 2025</w:t>
            </w:r>
          </w:p>
        </w:tc>
      </w:tr>
      <w:tr w:rsidRPr="00C94F95" w:rsidR="00FB4F0C" w:rsidTr="162D4192" w14:paraId="2139F50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0C" w:rsidP="005D6C01" w:rsidRDefault="00FB4F0C" w14:paraId="4470230A" w14:textId="1AF33FE6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Evaluadora para contenidos inclusivos y accesibles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0C" w:rsidP="00736566" w:rsidRDefault="00FB4F0C" w14:paraId="1CFCFE91" w14:textId="1D9FCC6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0C" w:rsidP="00736566" w:rsidRDefault="00FB4F0C" w14:paraId="30BEC28A" w14:textId="7E8A1AA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Diciembre 2025</w:t>
            </w:r>
          </w:p>
        </w:tc>
      </w:tr>
    </w:tbl>
    <w:p w:rsidRPr="00C94F95" w:rsidR="00C57B0F" w:rsidRDefault="00C57B0F" w14:paraId="12496B24" w14:textId="77777777">
      <w:pPr>
        <w:rPr>
          <w:rFonts w:ascii="Calibri" w:hAnsi="Calibri" w:cs="Calibri"/>
        </w:rPr>
      </w:pPr>
    </w:p>
    <w:sectPr w:rsidRPr="00C94F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23D9" w:rsidRDefault="002523D9" w14:paraId="01BD59A3" w14:textId="77777777">
      <w:pPr>
        <w:spacing w:line="240" w:lineRule="auto"/>
      </w:pPr>
      <w:r>
        <w:separator/>
      </w:r>
    </w:p>
  </w:endnote>
  <w:endnote w:type="continuationSeparator" w:id="0">
    <w:p w:rsidR="002523D9" w:rsidRDefault="002523D9" w14:paraId="0BE3208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23D9" w:rsidRDefault="002523D9" w14:paraId="751B230D" w14:textId="77777777">
      <w:pPr>
        <w:spacing w:line="240" w:lineRule="auto"/>
      </w:pPr>
      <w:r>
        <w:separator/>
      </w:r>
    </w:p>
  </w:footnote>
  <w:footnote w:type="continuationSeparator" w:id="0">
    <w:p w:rsidR="002523D9" w:rsidRDefault="002523D9" w14:paraId="3D45B69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85026005">
    <w:abstractNumId w:val="1"/>
  </w:num>
  <w:num w:numId="2" w16cid:durableId="191385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72DA3"/>
    <w:rsid w:val="0009090B"/>
    <w:rsid w:val="00092FC8"/>
    <w:rsid w:val="000B023B"/>
    <w:rsid w:val="000C68FF"/>
    <w:rsid w:val="000D4430"/>
    <w:rsid w:val="000D6787"/>
    <w:rsid w:val="000E3ADC"/>
    <w:rsid w:val="000F39CD"/>
    <w:rsid w:val="00153784"/>
    <w:rsid w:val="0016164C"/>
    <w:rsid w:val="00167A68"/>
    <w:rsid w:val="0018141D"/>
    <w:rsid w:val="001A0385"/>
    <w:rsid w:val="001B5CD5"/>
    <w:rsid w:val="001D323D"/>
    <w:rsid w:val="001D65D0"/>
    <w:rsid w:val="00230CDA"/>
    <w:rsid w:val="002523D9"/>
    <w:rsid w:val="002A0B78"/>
    <w:rsid w:val="002C56EC"/>
    <w:rsid w:val="002C734D"/>
    <w:rsid w:val="00302A52"/>
    <w:rsid w:val="00323CE6"/>
    <w:rsid w:val="00344A7F"/>
    <w:rsid w:val="00347BE4"/>
    <w:rsid w:val="00353630"/>
    <w:rsid w:val="003646E7"/>
    <w:rsid w:val="00371B80"/>
    <w:rsid w:val="00383143"/>
    <w:rsid w:val="003914EB"/>
    <w:rsid w:val="00391997"/>
    <w:rsid w:val="0039658E"/>
    <w:rsid w:val="003A739A"/>
    <w:rsid w:val="003B0315"/>
    <w:rsid w:val="003B0C35"/>
    <w:rsid w:val="003C34E2"/>
    <w:rsid w:val="003D7801"/>
    <w:rsid w:val="003F1FD5"/>
    <w:rsid w:val="003F55A2"/>
    <w:rsid w:val="0040067F"/>
    <w:rsid w:val="00413883"/>
    <w:rsid w:val="00414B4C"/>
    <w:rsid w:val="004237BC"/>
    <w:rsid w:val="00426731"/>
    <w:rsid w:val="00442D96"/>
    <w:rsid w:val="004A00B2"/>
    <w:rsid w:val="004B0192"/>
    <w:rsid w:val="004C15DC"/>
    <w:rsid w:val="004C4746"/>
    <w:rsid w:val="004C4F1B"/>
    <w:rsid w:val="004E274A"/>
    <w:rsid w:val="0050183D"/>
    <w:rsid w:val="00513741"/>
    <w:rsid w:val="005416A2"/>
    <w:rsid w:val="0055191C"/>
    <w:rsid w:val="00552F83"/>
    <w:rsid w:val="00577933"/>
    <w:rsid w:val="00577CEE"/>
    <w:rsid w:val="00585D27"/>
    <w:rsid w:val="005A74DC"/>
    <w:rsid w:val="005C6524"/>
    <w:rsid w:val="005D6C01"/>
    <w:rsid w:val="006317AC"/>
    <w:rsid w:val="00654A50"/>
    <w:rsid w:val="00661C44"/>
    <w:rsid w:val="006C52FA"/>
    <w:rsid w:val="006E2F94"/>
    <w:rsid w:val="006F219D"/>
    <w:rsid w:val="00725E57"/>
    <w:rsid w:val="00736566"/>
    <w:rsid w:val="00737E7E"/>
    <w:rsid w:val="00763674"/>
    <w:rsid w:val="00763ED4"/>
    <w:rsid w:val="00765033"/>
    <w:rsid w:val="0078087A"/>
    <w:rsid w:val="007844D1"/>
    <w:rsid w:val="007878C4"/>
    <w:rsid w:val="00791790"/>
    <w:rsid w:val="007A47C6"/>
    <w:rsid w:val="007C67A8"/>
    <w:rsid w:val="007E1EBB"/>
    <w:rsid w:val="007E7633"/>
    <w:rsid w:val="007F5AD5"/>
    <w:rsid w:val="00805A67"/>
    <w:rsid w:val="008073E4"/>
    <w:rsid w:val="00815970"/>
    <w:rsid w:val="00821C87"/>
    <w:rsid w:val="00822675"/>
    <w:rsid w:val="00822B52"/>
    <w:rsid w:val="00836FBD"/>
    <w:rsid w:val="00842CC7"/>
    <w:rsid w:val="00845751"/>
    <w:rsid w:val="00862211"/>
    <w:rsid w:val="00894634"/>
    <w:rsid w:val="008B357A"/>
    <w:rsid w:val="0090004D"/>
    <w:rsid w:val="00902CCE"/>
    <w:rsid w:val="009054E8"/>
    <w:rsid w:val="00917B02"/>
    <w:rsid w:val="00926C07"/>
    <w:rsid w:val="00934054"/>
    <w:rsid w:val="009373F2"/>
    <w:rsid w:val="009463B6"/>
    <w:rsid w:val="009475FE"/>
    <w:rsid w:val="00996CB7"/>
    <w:rsid w:val="009A36D1"/>
    <w:rsid w:val="009A63CC"/>
    <w:rsid w:val="009B224D"/>
    <w:rsid w:val="009B5635"/>
    <w:rsid w:val="009C2A48"/>
    <w:rsid w:val="009C6D9B"/>
    <w:rsid w:val="009D1BF1"/>
    <w:rsid w:val="009D37F0"/>
    <w:rsid w:val="00A015B1"/>
    <w:rsid w:val="00A07C0D"/>
    <w:rsid w:val="00A147A9"/>
    <w:rsid w:val="00A36B7C"/>
    <w:rsid w:val="00A50801"/>
    <w:rsid w:val="00A51F12"/>
    <w:rsid w:val="00A900AA"/>
    <w:rsid w:val="00AA683A"/>
    <w:rsid w:val="00AD29B7"/>
    <w:rsid w:val="00AE2489"/>
    <w:rsid w:val="00B00DC9"/>
    <w:rsid w:val="00B02B81"/>
    <w:rsid w:val="00B105E9"/>
    <w:rsid w:val="00B10BA2"/>
    <w:rsid w:val="00B14C56"/>
    <w:rsid w:val="00B25195"/>
    <w:rsid w:val="00B30C3D"/>
    <w:rsid w:val="00B33D03"/>
    <w:rsid w:val="00B42735"/>
    <w:rsid w:val="00B434C1"/>
    <w:rsid w:val="00B44369"/>
    <w:rsid w:val="00B51291"/>
    <w:rsid w:val="00B63D1C"/>
    <w:rsid w:val="00B9709B"/>
    <w:rsid w:val="00BB561B"/>
    <w:rsid w:val="00BD183E"/>
    <w:rsid w:val="00BF16CA"/>
    <w:rsid w:val="00C0495F"/>
    <w:rsid w:val="00C06809"/>
    <w:rsid w:val="00C32685"/>
    <w:rsid w:val="00C503BC"/>
    <w:rsid w:val="00C57B0F"/>
    <w:rsid w:val="00C636D0"/>
    <w:rsid w:val="00C71D78"/>
    <w:rsid w:val="00C76B33"/>
    <w:rsid w:val="00C84DB3"/>
    <w:rsid w:val="00C86824"/>
    <w:rsid w:val="00C94F95"/>
    <w:rsid w:val="00CA130F"/>
    <w:rsid w:val="00CA2567"/>
    <w:rsid w:val="00CB70CF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83BD4"/>
    <w:rsid w:val="00D96770"/>
    <w:rsid w:val="00DF2103"/>
    <w:rsid w:val="00E058FE"/>
    <w:rsid w:val="00E53825"/>
    <w:rsid w:val="00E57BCD"/>
    <w:rsid w:val="00E628A0"/>
    <w:rsid w:val="00E77497"/>
    <w:rsid w:val="00E96A03"/>
    <w:rsid w:val="00EA1809"/>
    <w:rsid w:val="00EA59A8"/>
    <w:rsid w:val="00EB4012"/>
    <w:rsid w:val="00ED3B41"/>
    <w:rsid w:val="00ED5C0E"/>
    <w:rsid w:val="00EE42A3"/>
    <w:rsid w:val="00EF7235"/>
    <w:rsid w:val="00F03327"/>
    <w:rsid w:val="00F22708"/>
    <w:rsid w:val="00F321DB"/>
    <w:rsid w:val="00F44B13"/>
    <w:rsid w:val="00F47675"/>
    <w:rsid w:val="00F52AA1"/>
    <w:rsid w:val="00F537D6"/>
    <w:rsid w:val="00F7090C"/>
    <w:rsid w:val="00F81F23"/>
    <w:rsid w:val="00F9193C"/>
    <w:rsid w:val="00FB4F0C"/>
    <w:rsid w:val="00FC4ABF"/>
    <w:rsid w:val="00FC54BD"/>
    <w:rsid w:val="00FC68F8"/>
    <w:rsid w:val="116ABE6D"/>
    <w:rsid w:val="14D6E5CD"/>
    <w:rsid w:val="162D4192"/>
    <w:rsid w:val="1AEF86EE"/>
    <w:rsid w:val="2161984F"/>
    <w:rsid w:val="2340B8C6"/>
    <w:rsid w:val="242F9319"/>
    <w:rsid w:val="2B091041"/>
    <w:rsid w:val="3637CDBD"/>
    <w:rsid w:val="40576EB6"/>
    <w:rsid w:val="44301618"/>
    <w:rsid w:val="466D9902"/>
    <w:rsid w:val="49246576"/>
    <w:rsid w:val="51BE1D39"/>
    <w:rsid w:val="6153B231"/>
    <w:rsid w:val="64934E81"/>
    <w:rsid w:val="67A9A12C"/>
    <w:rsid w:val="6B5C5B5E"/>
    <w:rsid w:val="6F74F0F5"/>
    <w:rsid w:val="7692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45DEAF-2033-4380-896E-BEC418D71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Mejía Pinzón</lastModifiedBy>
  <revision>5</revision>
  <dcterms:created xsi:type="dcterms:W3CDTF">2025-12-05T02:49:00.0000000Z</dcterms:created>
  <dcterms:modified xsi:type="dcterms:W3CDTF">2025-12-05T02:52:32.2524449Z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2025-12-05T02:49:52Z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71d834f7-b2d1-4d12-ad00-2a9cb2d9a18d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