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B694D" w14:textId="77777777" w:rsidR="00523678" w:rsidRDefault="005236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523678" w14:paraId="44FA9D28" w14:textId="77777777" w:rsidTr="00523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89390C1" w14:textId="77777777" w:rsidR="0052367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9AA001D" wp14:editId="29D30605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0251787" w14:textId="77777777" w:rsidR="0052367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6A046098" w14:textId="77777777" w:rsidR="00523678" w:rsidRDefault="0052367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23678" w14:paraId="32C6C9C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5D6BDD9F" w14:textId="77777777" w:rsidR="0052367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E2211A7" w14:textId="77777777" w:rsidR="005236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4C0BF4EE" w14:textId="77777777" w:rsidR="0052367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1C03052" w14:textId="77777777" w:rsidR="005236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50A75CF" w14:textId="77777777" w:rsidR="0052367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D564CA2" w14:textId="77777777" w:rsidR="0052367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23678" w14:paraId="1989D3C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F38AD58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C5EC3B7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  <w:p w14:paraId="2A87068B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1912CBC7" w14:textId="04E225DE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6B7DEA">
              <w:rPr>
                <w:sz w:val="20"/>
                <w:szCs w:val="20"/>
              </w:rPr>
              <w:t>Protocolos de cierre de caja</w:t>
            </w:r>
          </w:p>
          <w:p w14:paraId="01205D80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51AFA08F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9AF7C78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C46E9D3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De acuerdo al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enunciado planteado en la columna izquierda, arrastre cada término al lugar que considere correcto de la columna derecha.</w:t>
            </w:r>
          </w:p>
          <w:p w14:paraId="07852284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4DB7724A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578E717A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EA43CA6" w14:textId="51BF901E" w:rsidR="00523678" w:rsidRDefault="000B4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Apropiación de conceptos </w:t>
            </w:r>
          </w:p>
        </w:tc>
      </w:tr>
      <w:tr w:rsidR="00523678" w14:paraId="1E0FBC9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1A84D63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52130937" w14:textId="14C51F7C" w:rsidR="00523678" w:rsidRDefault="000B4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Con esta actividad, los aprendices </w:t>
            </w:r>
            <w:r w:rsidR="00CF3657">
              <w:rPr>
                <w:rFonts w:ascii="Calibri" w:eastAsia="Calibri" w:hAnsi="Calibri" w:cs="Calibri"/>
                <w:i/>
                <w:color w:val="AEAAAA"/>
              </w:rPr>
              <w:t>podrán darse cuenta de su conocimiento en cuanto a los conceptos trabajados en este componente.</w:t>
            </w:r>
          </w:p>
          <w:p w14:paraId="00AD93E7" w14:textId="351B2E12" w:rsidR="00CF3657" w:rsidRDefault="00CF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37111A8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CC2C51F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23678" w14:paraId="7EBDC556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634851E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47E386F8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523678" w14:paraId="63D9343C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1486E00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2B0D64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51971A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2C2A0A4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23678" w14:paraId="142F298B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EB5D7F6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FA19187" w14:textId="1B70DBBD" w:rsidR="00523678" w:rsidRPr="005C0318" w:rsidRDefault="006B7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 w:rsidRPr="005C0318">
              <w:rPr>
                <w:rFonts w:ascii="Calibri" w:eastAsia="Calibri" w:hAnsi="Calibri" w:cs="Calibri"/>
                <w:iCs/>
                <w:color w:val="AEAAAA"/>
                <w:sz w:val="20"/>
                <w:szCs w:val="20"/>
                <w:lang w:val="es-CO"/>
              </w:rPr>
              <w:t>Recontar las transacciones de dinero en un período estimado de tiempo, que por lo general es al final del día, justo cuando el establecimiento comercial cierra sus puertas al público.</w:t>
            </w:r>
          </w:p>
        </w:tc>
        <w:tc>
          <w:tcPr>
            <w:tcW w:w="1035" w:type="dxa"/>
            <w:shd w:val="clear" w:color="auto" w:fill="FBE5D5"/>
          </w:tcPr>
          <w:p w14:paraId="1458AA6F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288F1541" w14:textId="49C9050A" w:rsidR="00523678" w:rsidRPr="005C0318" w:rsidRDefault="006B7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 w:rsidRPr="005C0318"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Arqueo de caja</w:t>
            </w:r>
          </w:p>
        </w:tc>
      </w:tr>
      <w:tr w:rsidR="00523678" w14:paraId="20090D3F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059858C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67D9DAB" w14:textId="0810E846" w:rsidR="00523678" w:rsidRPr="005C0318" w:rsidRDefault="006B7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 w:rsidRPr="005C0318">
              <w:rPr>
                <w:rFonts w:ascii="Calibri" w:eastAsia="Calibri" w:hAnsi="Calibri" w:cs="Calibri"/>
                <w:iCs/>
                <w:color w:val="AEAAAA"/>
                <w:sz w:val="20"/>
                <w:szCs w:val="20"/>
                <w:lang w:val="es-CO"/>
              </w:rPr>
              <w:t xml:space="preserve">Persona responsable de la caja en el punto de venta de un establecimiento comercial. Es quien se encarga de cuadrar los ingresos y egresos de caja, logrando </w:t>
            </w:r>
            <w:proofErr w:type="gramStart"/>
            <w:r w:rsidRPr="005C0318">
              <w:rPr>
                <w:rFonts w:ascii="Calibri" w:eastAsia="Calibri" w:hAnsi="Calibri" w:cs="Calibri"/>
                <w:iCs/>
                <w:color w:val="AEAAAA"/>
                <w:sz w:val="20"/>
                <w:szCs w:val="20"/>
                <w:lang w:val="es-CO"/>
              </w:rPr>
              <w:t>que</w:t>
            </w:r>
            <w:proofErr w:type="gramEnd"/>
            <w:r w:rsidRPr="005C0318">
              <w:rPr>
                <w:rFonts w:ascii="Calibri" w:eastAsia="Calibri" w:hAnsi="Calibri" w:cs="Calibri"/>
                <w:iCs/>
                <w:color w:val="AEAAAA"/>
                <w:sz w:val="20"/>
                <w:szCs w:val="20"/>
                <w:lang w:val="es-CO"/>
              </w:rPr>
              <w:t xml:space="preserve"> al cierre de esta, todo esté cuadrado.</w:t>
            </w:r>
          </w:p>
        </w:tc>
        <w:tc>
          <w:tcPr>
            <w:tcW w:w="1035" w:type="dxa"/>
          </w:tcPr>
          <w:p w14:paraId="1C1666B7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226F39CC" w14:textId="1F4AE954" w:rsidR="00523678" w:rsidRPr="005C0318" w:rsidRDefault="006B7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  <w:lang w:val="es-CO"/>
              </w:rPr>
            </w:pPr>
            <w:r w:rsidRPr="005C0318"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Cajero</w:t>
            </w:r>
          </w:p>
        </w:tc>
      </w:tr>
      <w:tr w:rsidR="00523678" w14:paraId="076A475C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4DDDF7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0FB5305" w14:textId="2BD122E1" w:rsidR="00523678" w:rsidRPr="005C0318" w:rsidRDefault="006B7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 w:rsidRPr="005C0318">
              <w:rPr>
                <w:rFonts w:ascii="Calibri" w:eastAsia="Calibri" w:hAnsi="Calibri" w:cs="Calibri"/>
                <w:iCs/>
                <w:color w:val="AEAAAA"/>
                <w:sz w:val="20"/>
                <w:szCs w:val="20"/>
                <w:lang w:val="es-CO"/>
              </w:rPr>
              <w:t>Documento mediante el cual se formaliza los gastos realizados con cargo al anticipo concedido y se reintegran los recursos no gastados.</w:t>
            </w:r>
          </w:p>
        </w:tc>
        <w:tc>
          <w:tcPr>
            <w:tcW w:w="1035" w:type="dxa"/>
            <w:shd w:val="clear" w:color="auto" w:fill="FBE5D5"/>
          </w:tcPr>
          <w:p w14:paraId="04ACB80B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711D2D93" w14:textId="231A0E9B" w:rsidR="00523678" w:rsidRPr="005C0318" w:rsidRDefault="006B7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 w:rsidRPr="005C0318"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Legalización</w:t>
            </w:r>
          </w:p>
        </w:tc>
      </w:tr>
      <w:tr w:rsidR="00523678" w14:paraId="12B6F925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34037B7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F927613" w14:textId="340C1FFC" w:rsidR="00523678" w:rsidRPr="005C0318" w:rsidRDefault="00EE1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 w:rsidRPr="005C0318"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S</w:t>
            </w:r>
            <w:r w:rsidR="006B7DEA" w:rsidRPr="005C0318"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ituaciones derivadas de la gestión del cajero y donde él se vea afectado por alguna inconsistencia de dinero al realizar el arqueo de caja</w:t>
            </w:r>
            <w:r w:rsidRPr="005C0318"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30C8A74C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4AEACD9A" w14:textId="23EE3808" w:rsidR="00CF3657" w:rsidRPr="005C0318" w:rsidRDefault="006B7DEA" w:rsidP="00CF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EAAAA"/>
                <w:sz w:val="20"/>
                <w:szCs w:val="20"/>
                <w:lang w:val="es-CO"/>
              </w:rPr>
            </w:pPr>
            <w:r w:rsidRPr="005C0318">
              <w:rPr>
                <w:rFonts w:ascii="Calibri" w:eastAsia="Calibri" w:hAnsi="Calibri" w:cs="Calibri"/>
                <w:bCs/>
                <w:iCs/>
                <w:color w:val="AEAAAA"/>
                <w:sz w:val="20"/>
                <w:szCs w:val="20"/>
                <w:lang w:val="es-CO"/>
              </w:rPr>
              <w:t>Entrega no conforme</w:t>
            </w:r>
          </w:p>
          <w:p w14:paraId="1CC6D3C5" w14:textId="4D157308" w:rsidR="00523678" w:rsidRPr="005C0318" w:rsidRDefault="00523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</w:p>
        </w:tc>
      </w:tr>
      <w:tr w:rsidR="00523678" w14:paraId="4F964D10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080CC59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0B627BF" w14:textId="71DDA001" w:rsidR="00523678" w:rsidRPr="005C0318" w:rsidRDefault="006B7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 w:rsidRPr="005C0318">
              <w:rPr>
                <w:rFonts w:ascii="Calibri" w:eastAsia="Calibri" w:hAnsi="Calibri" w:cs="Calibri"/>
                <w:iCs/>
                <w:color w:val="AEAAAA"/>
                <w:sz w:val="20"/>
                <w:szCs w:val="20"/>
                <w:lang w:val="es-CO"/>
              </w:rPr>
              <w:t xml:space="preserve">Máquina sumadora para uso de comerciantes que llena diversos cometidos, pues indica el importe de la compra al cliente, imprime </w:t>
            </w:r>
            <w:r w:rsidR="00EE12AD" w:rsidRPr="005C0318">
              <w:rPr>
                <w:rFonts w:ascii="Calibri" w:eastAsia="Calibri" w:hAnsi="Calibri" w:cs="Calibri"/>
                <w:iCs/>
                <w:color w:val="AEAAAA"/>
                <w:sz w:val="20"/>
                <w:szCs w:val="20"/>
                <w:lang w:val="es-CO"/>
              </w:rPr>
              <w:lastRenderedPageBreak/>
              <w:t>U</w:t>
            </w:r>
            <w:r w:rsidRPr="005C0318">
              <w:rPr>
                <w:rFonts w:ascii="Calibri" w:eastAsia="Calibri" w:hAnsi="Calibri" w:cs="Calibri"/>
                <w:iCs/>
                <w:color w:val="AEAAAA"/>
                <w:sz w:val="20"/>
                <w:szCs w:val="20"/>
                <w:lang w:val="es-CO"/>
              </w:rPr>
              <w:t>n cupón justificativo del gasto, inscribe y suma el importe de las ventas, dificulta los desfalcos y permite guardar momentáneamente el dinero.</w:t>
            </w:r>
          </w:p>
        </w:tc>
        <w:tc>
          <w:tcPr>
            <w:tcW w:w="1035" w:type="dxa"/>
            <w:shd w:val="clear" w:color="auto" w:fill="FBE5D5"/>
          </w:tcPr>
          <w:p w14:paraId="371F794B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lastRenderedPageBreak/>
              <w:t>5</w:t>
            </w:r>
          </w:p>
        </w:tc>
        <w:tc>
          <w:tcPr>
            <w:tcW w:w="2175" w:type="dxa"/>
            <w:shd w:val="clear" w:color="auto" w:fill="FFFFFF"/>
          </w:tcPr>
          <w:p w14:paraId="4D7D00D8" w14:textId="69C7FD56" w:rsidR="00523678" w:rsidRPr="005C0318" w:rsidRDefault="006B7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 w:rsidRPr="005C0318"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Caja registradora</w:t>
            </w:r>
          </w:p>
        </w:tc>
      </w:tr>
      <w:tr w:rsidR="00523678" w14:paraId="61BDA2B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4173C8C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EC9D54F" w14:textId="10372D76" w:rsidR="00523678" w:rsidRPr="005C0318" w:rsidRDefault="006B7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 w:rsidRPr="005C0318">
              <w:rPr>
                <w:rFonts w:ascii="Calibri" w:eastAsia="Calibri" w:hAnsi="Calibri" w:cs="Calibri"/>
                <w:iCs/>
                <w:color w:val="AEAAAA"/>
                <w:sz w:val="20"/>
                <w:szCs w:val="20"/>
                <w:lang w:val="es-CO"/>
              </w:rPr>
              <w:t>Es el soporte del pago de los gastos que se han efectuado en pequeñas cantidades por conceptos tales como: comidas, pasajes, papelería, fotocopias, etc., estos pagos deben contar con las facturas o documentos equivalentes para su verificación.</w:t>
            </w:r>
          </w:p>
        </w:tc>
        <w:tc>
          <w:tcPr>
            <w:tcW w:w="1035" w:type="dxa"/>
          </w:tcPr>
          <w:p w14:paraId="5009196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08207F3B" w14:textId="2338B142" w:rsidR="00523678" w:rsidRPr="005C0318" w:rsidRDefault="006B7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 w:rsidRPr="005C0318"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Reembolso de caja</w:t>
            </w:r>
          </w:p>
        </w:tc>
      </w:tr>
      <w:tr w:rsidR="00523678" w14:paraId="3C027C1B" w14:textId="77777777" w:rsidTr="0052367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3194896" w14:textId="77777777" w:rsidR="00523678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523678" w14:paraId="7C8D92D8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65FFAF0" w14:textId="77777777" w:rsidR="005236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6B2AAEF0" w14:textId="77777777" w:rsidR="005236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 xml:space="preserve">: </w:t>
            </w:r>
          </w:p>
          <w:p w14:paraId="5F8620A7" w14:textId="07FBA4EC" w:rsidR="005236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  <w:r w:rsidR="00EE12AD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379F7D10" w14:textId="0EACB0DC" w:rsidR="00523678" w:rsidRDefault="005236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5747DEDE" w14:textId="77777777" w:rsidTr="0052367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E4765F9" w14:textId="77777777" w:rsidR="005236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741FE4E2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069CB3BB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44A7C9B3" w14:textId="46AD717F" w:rsidR="00523678" w:rsidRDefault="00EE1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r>
              <w:rPr>
                <w:rFonts w:ascii="Calibri" w:eastAsia="Calibri" w:hAnsi="Calibri" w:cs="Calibri"/>
                <w:i/>
                <w:color w:val="000000"/>
              </w:rPr>
              <w:t>incorrectas ¡</w:t>
            </w:r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73F1BDC7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1C0A6EC3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7B3DD50B" w14:textId="77777777" w:rsidR="00523678" w:rsidRDefault="00523678">
      <w:pPr>
        <w:rPr>
          <w:rFonts w:ascii="Calibri" w:eastAsia="Calibri" w:hAnsi="Calibri" w:cs="Calibri"/>
        </w:rPr>
      </w:pPr>
    </w:p>
    <w:p w14:paraId="0E230481" w14:textId="77777777" w:rsidR="00523678" w:rsidRDefault="00523678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23678" w14:paraId="27CED6B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85ED" w14:textId="77777777" w:rsidR="0052367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23678" w14:paraId="64AB09F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5A56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7AFF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55BD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23678" w14:paraId="5AE149E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9F41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3582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C591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23678" w14:paraId="536138FF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0BDA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5C3F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C39D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53D47C1B" w14:textId="77777777" w:rsidR="00523678" w:rsidRDefault="00523678"/>
    <w:sectPr w:rsidR="0052367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09ED8" w14:textId="77777777" w:rsidR="00B747F8" w:rsidRDefault="00B747F8">
      <w:pPr>
        <w:spacing w:line="240" w:lineRule="auto"/>
      </w:pPr>
      <w:r>
        <w:separator/>
      </w:r>
    </w:p>
  </w:endnote>
  <w:endnote w:type="continuationSeparator" w:id="0">
    <w:p w14:paraId="00DF8578" w14:textId="77777777" w:rsidR="00B747F8" w:rsidRDefault="00B747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BFC5E" w14:textId="77777777" w:rsidR="00B747F8" w:rsidRDefault="00B747F8">
      <w:pPr>
        <w:spacing w:line="240" w:lineRule="auto"/>
      </w:pPr>
      <w:r>
        <w:separator/>
      </w:r>
    </w:p>
  </w:footnote>
  <w:footnote w:type="continuationSeparator" w:id="0">
    <w:p w14:paraId="17E25E0E" w14:textId="77777777" w:rsidR="00B747F8" w:rsidRDefault="00B747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92072" w14:textId="77777777" w:rsidR="00523678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17107143" wp14:editId="6CD5CB1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0DE0514" wp14:editId="4075BFAF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77A3D" w14:textId="77777777" w:rsidR="0052367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1292B95" w14:textId="77777777" w:rsidR="0052367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379E087" w14:textId="77777777" w:rsidR="00523678" w:rsidRDefault="0052367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DE0514" id="Rectángulo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 filled="f" stroked="f">
              <v:textbox inset="2.53958mm,1.2694mm,2.53958mm,1.2694mm">
                <w:txbxContent>
                  <w:p w14:paraId="00477A3D" w14:textId="77777777" w:rsidR="00523678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51292B95" w14:textId="77777777" w:rsidR="00523678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3379E087" w14:textId="77777777" w:rsidR="00523678" w:rsidRDefault="0052367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F49D4"/>
    <w:multiLevelType w:val="multilevel"/>
    <w:tmpl w:val="0E146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468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78"/>
    <w:rsid w:val="000B4C8C"/>
    <w:rsid w:val="000B62AB"/>
    <w:rsid w:val="0031095F"/>
    <w:rsid w:val="00361CD7"/>
    <w:rsid w:val="003C173A"/>
    <w:rsid w:val="00486621"/>
    <w:rsid w:val="00523678"/>
    <w:rsid w:val="00530A2A"/>
    <w:rsid w:val="005C0318"/>
    <w:rsid w:val="00643141"/>
    <w:rsid w:val="006B7DEA"/>
    <w:rsid w:val="0073236D"/>
    <w:rsid w:val="00845DE2"/>
    <w:rsid w:val="009E79C5"/>
    <w:rsid w:val="00B03209"/>
    <w:rsid w:val="00B209BB"/>
    <w:rsid w:val="00B747F8"/>
    <w:rsid w:val="00BD1ABA"/>
    <w:rsid w:val="00C455B1"/>
    <w:rsid w:val="00CF3657"/>
    <w:rsid w:val="00E81B52"/>
    <w:rsid w:val="00EE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2768"/>
  <w15:docId w15:val="{D53F8488-F871-433F-9A51-1C1F1FC2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868703-1C1A-4647-9D8E-562072FD4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FA4B2F-D940-4F05-928E-4E99633D346E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972032D8-E973-45C7-A484-DFE6AC4F06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Lucenith Pinilla</cp:lastModifiedBy>
  <cp:revision>8</cp:revision>
  <dcterms:created xsi:type="dcterms:W3CDTF">2024-07-01T18:02:00Z</dcterms:created>
  <dcterms:modified xsi:type="dcterms:W3CDTF">2024-10-02T21:43:00Z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