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ACTIVIDAD DIDÁCTICA “RELACIONAR”</w:t>
      </w:r>
    </w:p>
    <w:p w:rsidR="00000000" w:rsidDel="00000000" w:rsidP="00000000" w:rsidRDefault="00000000" w:rsidRPr="00000000" w14:paraId="00000002">
      <w:pPr>
        <w:rPr>
          <w:rFonts w:ascii="Arial" w:cs="Arial" w:eastAsia="Arial" w:hAnsi="Arial"/>
          <w:color w:val="000000"/>
          <w:sz w:val="20"/>
          <w:szCs w:val="20"/>
        </w:rPr>
      </w:pPr>
      <w:r w:rsidDel="00000000" w:rsidR="00000000" w:rsidRPr="00000000">
        <w:rPr>
          <w:rFonts w:ascii="Arial" w:cs="Arial" w:eastAsia="Arial" w:hAnsi="Arial"/>
          <w:color w:val="ff0000"/>
          <w:sz w:val="20"/>
          <w:szCs w:val="20"/>
          <w:rtl w:val="0"/>
        </w:rPr>
        <w:t xml:space="preserve">Instrucciones: </w:t>
      </w:r>
      <w:r w:rsidDel="00000000" w:rsidR="00000000" w:rsidRPr="00000000">
        <w:rPr>
          <w:rFonts w:ascii="Arial" w:cs="Arial" w:eastAsia="Arial" w:hAnsi="Arial"/>
          <w:color w:val="000000"/>
          <w:sz w:val="20"/>
          <w:szCs w:val="20"/>
          <w:rtl w:val="0"/>
        </w:rPr>
        <w:t xml:space="preserve">Reconozca, apropie y </w:t>
      </w:r>
      <w:r w:rsidDel="00000000" w:rsidR="00000000" w:rsidRPr="00000000">
        <w:rPr>
          <w:rFonts w:ascii="Arial" w:cs="Arial" w:eastAsia="Arial" w:hAnsi="Arial"/>
          <w:color w:val="000000"/>
          <w:sz w:val="20"/>
          <w:szCs w:val="20"/>
          <w:rtl w:val="0"/>
        </w:rPr>
        <w:t xml:space="preserve">relacione</w:t>
      </w:r>
      <w:r w:rsidDel="00000000" w:rsidR="00000000" w:rsidRPr="00000000">
        <w:rPr>
          <w:rFonts w:ascii="Arial" w:cs="Arial" w:eastAsia="Arial" w:hAnsi="Arial"/>
          <w:color w:val="000000"/>
          <w:sz w:val="20"/>
          <w:szCs w:val="20"/>
          <w:rtl w:val="0"/>
        </w:rPr>
        <w:t xml:space="preserve"> conceptos claves del componente.</w:t>
      </w:r>
    </w:p>
    <w:p w:rsidR="00000000" w:rsidDel="00000000" w:rsidP="00000000" w:rsidRDefault="00000000" w:rsidRPr="00000000" w14:paraId="00000003">
      <w:pPr>
        <w:rPr>
          <w:rFonts w:ascii="Arial" w:cs="Arial" w:eastAsia="Arial" w:hAnsi="Arial"/>
          <w:sz w:val="20"/>
          <w:szCs w:val="20"/>
        </w:rPr>
      </w:pPr>
      <w:r w:rsidDel="00000000" w:rsidR="00000000" w:rsidRPr="00000000">
        <w:rPr>
          <w:rtl w:val="0"/>
        </w:rPr>
      </w:r>
    </w:p>
    <w:tbl>
      <w:tblPr>
        <w:tblStyle w:val="Table1"/>
        <w:tblW w:w="10490.0" w:type="dxa"/>
        <w:jc w:val="left"/>
        <w:tblInd w:w="-855.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1"/>
        <w:gridCol w:w="8079"/>
        <w:tblGridChange w:id="0">
          <w:tblGrid>
            <w:gridCol w:w="2411"/>
            <w:gridCol w:w="8079"/>
          </w:tblGrid>
        </w:tblGridChange>
      </w:tblGrid>
      <w:tr>
        <w:trPr>
          <w:cantSplit w:val="0"/>
          <w:tblHeader w:val="0"/>
        </w:trPr>
        <w:tc>
          <w:tcPr>
            <w:shd w:fill="bfbfbf" w:val="clear"/>
          </w:tcPr>
          <w:p w:rsidR="00000000" w:rsidDel="00000000" w:rsidP="00000000" w:rsidRDefault="00000000" w:rsidRPr="00000000" w14:paraId="0000000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CONCEPTO</w:t>
            </w:r>
          </w:p>
        </w:tc>
        <w:tc>
          <w:tcPr>
            <w:shd w:fill="bfbfbf" w:val="clear"/>
          </w:tcPr>
          <w:p w:rsidR="00000000" w:rsidDel="00000000" w:rsidP="00000000" w:rsidRDefault="00000000" w:rsidRPr="00000000" w14:paraId="0000000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DEFINICIÓN</w:t>
            </w:r>
          </w:p>
        </w:tc>
      </w:tr>
      <w:tr>
        <w:trPr>
          <w:cantSplit w:val="0"/>
          <w:tblHeader w:val="0"/>
        </w:trPr>
        <w:tc>
          <w:tcPr>
            <w:vAlign w:val="center"/>
          </w:tcPr>
          <w:p w:rsidR="00000000" w:rsidDel="00000000" w:rsidP="00000000" w:rsidRDefault="00000000" w:rsidRPr="00000000" w14:paraId="00000006">
            <w:pPr>
              <w:rPr>
                <w:rFonts w:ascii="Arial" w:cs="Arial" w:eastAsia="Arial" w:hAnsi="Arial"/>
                <w:sz w:val="20"/>
                <w:szCs w:val="20"/>
              </w:rPr>
            </w:pPr>
            <w:r w:rsidDel="00000000" w:rsidR="00000000" w:rsidRPr="00000000">
              <w:rPr>
                <w:rFonts w:ascii="Arial" w:cs="Arial" w:eastAsia="Arial" w:hAnsi="Arial"/>
                <w:sz w:val="20"/>
                <w:szCs w:val="20"/>
                <w:rtl w:val="0"/>
              </w:rPr>
              <w:t xml:space="preserve">1. Empresa</w:t>
            </w:r>
          </w:p>
        </w:tc>
        <w:tc>
          <w:tcPr/>
          <w:p w:rsidR="00000000" w:rsidDel="00000000" w:rsidP="00000000" w:rsidRDefault="00000000" w:rsidRPr="00000000" w14:paraId="00000007">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Representación gráfica del tipo de relación existente entre los grupos de interés y el proyecto u organización, elaborado con el fin de comprender los diversos niveles de influencia y relevancia de los grupos de interés en la empresa. </w:t>
            </w:r>
            <w:r w:rsidDel="00000000" w:rsidR="00000000" w:rsidRPr="00000000">
              <w:rPr>
                <w:rFonts w:ascii="Arial" w:cs="Arial" w:eastAsia="Arial" w:hAnsi="Arial"/>
                <w:color w:val="000000"/>
                <w:sz w:val="20"/>
                <w:szCs w:val="20"/>
                <w:highlight w:val="yellow"/>
                <w:rtl w:val="0"/>
              </w:rPr>
              <w:t xml:space="preserve">(Respuesta 19)</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8">
            <w:pPr>
              <w:rPr>
                <w:rFonts w:ascii="Arial" w:cs="Arial" w:eastAsia="Arial" w:hAnsi="Arial"/>
                <w:sz w:val="20"/>
                <w:szCs w:val="20"/>
              </w:rPr>
            </w:pPr>
            <w:r w:rsidDel="00000000" w:rsidR="00000000" w:rsidRPr="00000000">
              <w:rPr>
                <w:rFonts w:ascii="Arial" w:cs="Arial" w:eastAsia="Arial" w:hAnsi="Arial"/>
                <w:sz w:val="20"/>
                <w:szCs w:val="20"/>
                <w:rtl w:val="0"/>
              </w:rPr>
              <w:t xml:space="preserve">2. Decreto 957 de 2019</w:t>
            </w:r>
          </w:p>
        </w:tc>
        <w:tc>
          <w:tcPr/>
          <w:p w:rsidR="00000000" w:rsidDel="00000000" w:rsidP="00000000" w:rsidRDefault="00000000" w:rsidRPr="00000000" w14:paraId="00000009">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Consiste en tomar una radiografía de la organización desde sus diferentes áreas o departamentos, reflejando la realidad del desempeño organizacional. </w:t>
            </w:r>
            <w:r w:rsidDel="00000000" w:rsidR="00000000" w:rsidRPr="00000000">
              <w:rPr>
                <w:rFonts w:ascii="Arial" w:cs="Arial" w:eastAsia="Arial" w:hAnsi="Arial"/>
                <w:color w:val="000000"/>
                <w:sz w:val="20"/>
                <w:szCs w:val="20"/>
                <w:highlight w:val="yellow"/>
                <w:rtl w:val="0"/>
              </w:rPr>
              <w:t xml:space="preserve">(Respuesta 15)</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A">
            <w:pPr>
              <w:rPr>
                <w:rFonts w:ascii="Arial" w:cs="Arial" w:eastAsia="Arial" w:hAnsi="Arial"/>
                <w:sz w:val="20"/>
                <w:szCs w:val="20"/>
              </w:rPr>
            </w:pPr>
            <w:r w:rsidDel="00000000" w:rsidR="00000000" w:rsidRPr="00000000">
              <w:rPr>
                <w:rFonts w:ascii="Arial" w:cs="Arial" w:eastAsia="Arial" w:hAnsi="Arial"/>
                <w:sz w:val="20"/>
                <w:szCs w:val="20"/>
                <w:rtl w:val="0"/>
              </w:rPr>
              <w:t xml:space="preserve">3. Sociedad</w:t>
            </w:r>
          </w:p>
        </w:tc>
        <w:tc>
          <w:tcPr/>
          <w:p w:rsidR="00000000" w:rsidDel="00000000" w:rsidP="00000000" w:rsidRDefault="00000000" w:rsidRPr="00000000" w14:paraId="0000000B">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Consolida y analiza las fortalezas y debilidades más relevantes de la organización. </w:t>
            </w:r>
            <w:r w:rsidDel="00000000" w:rsidR="00000000" w:rsidRPr="00000000">
              <w:rPr>
                <w:rFonts w:ascii="Arial" w:cs="Arial" w:eastAsia="Arial" w:hAnsi="Arial"/>
                <w:color w:val="000000"/>
                <w:sz w:val="20"/>
                <w:szCs w:val="20"/>
                <w:highlight w:val="yellow"/>
                <w:rtl w:val="0"/>
              </w:rPr>
              <w:t xml:space="preserve">(Respuesta 11)</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C">
            <w:pPr>
              <w:rPr>
                <w:rFonts w:ascii="Arial" w:cs="Arial" w:eastAsia="Arial" w:hAnsi="Arial"/>
                <w:sz w:val="20"/>
                <w:szCs w:val="20"/>
              </w:rPr>
            </w:pPr>
            <w:r w:rsidDel="00000000" w:rsidR="00000000" w:rsidRPr="00000000">
              <w:rPr>
                <w:rFonts w:ascii="Arial" w:cs="Arial" w:eastAsia="Arial" w:hAnsi="Arial"/>
                <w:sz w:val="20"/>
                <w:szCs w:val="20"/>
                <w:rtl w:val="0"/>
              </w:rPr>
              <w:t xml:space="preserve">4. LTDA</w:t>
            </w:r>
          </w:p>
        </w:tc>
        <w:tc>
          <w:tcPr/>
          <w:p w:rsidR="00000000" w:rsidDel="00000000" w:rsidP="00000000" w:rsidRDefault="00000000" w:rsidRPr="00000000" w14:paraId="0000000D">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Método que ayuda a identificar y evaluar amenazas y oportunidades potenciales de una empresa. Cuando un grupo estratégico evalúa su impacto e importancia, se identifica si la amenaza causada por un aspecto en el entorno se configura en amenaza u oportunidad. </w:t>
            </w:r>
            <w:r w:rsidDel="00000000" w:rsidR="00000000" w:rsidRPr="00000000">
              <w:rPr>
                <w:rFonts w:ascii="Arial" w:cs="Arial" w:eastAsia="Arial" w:hAnsi="Arial"/>
                <w:color w:val="000000"/>
                <w:sz w:val="20"/>
                <w:szCs w:val="20"/>
                <w:highlight w:val="yellow"/>
                <w:rtl w:val="0"/>
              </w:rPr>
              <w:t xml:space="preserve">(Respuesta 12)</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E">
            <w:pPr>
              <w:rPr>
                <w:rFonts w:ascii="Arial" w:cs="Arial" w:eastAsia="Arial" w:hAnsi="Arial"/>
                <w:sz w:val="20"/>
                <w:szCs w:val="20"/>
              </w:rPr>
            </w:pPr>
            <w:r w:rsidDel="00000000" w:rsidR="00000000" w:rsidRPr="00000000">
              <w:rPr>
                <w:rFonts w:ascii="Arial" w:cs="Arial" w:eastAsia="Arial" w:hAnsi="Arial"/>
                <w:sz w:val="20"/>
                <w:szCs w:val="20"/>
                <w:rtl w:val="0"/>
              </w:rPr>
              <w:t xml:space="preserve">5. E.A.T.</w:t>
            </w:r>
          </w:p>
        </w:tc>
        <w:tc>
          <w:tcPr/>
          <w:p w:rsidR="00000000" w:rsidDel="00000000" w:rsidP="00000000" w:rsidRDefault="00000000" w:rsidRPr="00000000" w14:paraId="0000000F">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Unidad económica integrada por un grupo social que, mediante la coordinación de recursos, alcanza objetivos para generar rentabilidad. También es considerada como un motor económico que dinamiza las naciones. </w:t>
            </w:r>
            <w:r w:rsidDel="00000000" w:rsidR="00000000" w:rsidRPr="00000000">
              <w:rPr>
                <w:rFonts w:ascii="Arial" w:cs="Arial" w:eastAsia="Arial" w:hAnsi="Arial"/>
                <w:color w:val="000000"/>
                <w:sz w:val="20"/>
                <w:szCs w:val="20"/>
                <w:highlight w:val="yellow"/>
                <w:rtl w:val="0"/>
              </w:rPr>
              <w:t xml:space="preserve">(Respuesta 1)</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0">
            <w:pPr>
              <w:rPr>
                <w:rFonts w:ascii="Arial" w:cs="Arial" w:eastAsia="Arial" w:hAnsi="Arial"/>
                <w:sz w:val="20"/>
                <w:szCs w:val="20"/>
              </w:rPr>
            </w:pPr>
            <w:r w:rsidDel="00000000" w:rsidR="00000000" w:rsidRPr="00000000">
              <w:rPr>
                <w:rFonts w:ascii="Arial" w:cs="Arial" w:eastAsia="Arial" w:hAnsi="Arial"/>
                <w:sz w:val="20"/>
                <w:szCs w:val="20"/>
                <w:rtl w:val="0"/>
              </w:rPr>
              <w:t xml:space="preserve">6. Tipos de Técnicas</w:t>
            </w:r>
          </w:p>
        </w:tc>
        <w:tc>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ffffff" w:val="clear"/>
              <w:spacing w:after="23" w:before="23"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Herramienta diseñada para la recolección de información cualitativa y de datos cuantitativos, es pertinente para recolectar datos estandarizados y hacer generalizaciones. Su elaboración debe ser cuidadosa y profesional, de manera que las preguntas no influyan en la respuesta que se espera recibir. </w:t>
            </w:r>
            <w:r w:rsidDel="00000000" w:rsidR="00000000" w:rsidRPr="00000000">
              <w:rPr>
                <w:rFonts w:ascii="Arial" w:cs="Arial" w:eastAsia="Arial" w:hAnsi="Arial"/>
                <w:color w:val="000000"/>
                <w:sz w:val="20"/>
                <w:szCs w:val="20"/>
                <w:highlight w:val="yellow"/>
                <w:rtl w:val="0"/>
              </w:rPr>
              <w:t xml:space="preserve">(Respuesta 14)</w:t>
            </w:r>
            <w:r w:rsidDel="00000000" w:rsidR="00000000" w:rsidRPr="00000000">
              <w:rPr>
                <w:rtl w:val="0"/>
              </w:rPr>
            </w:r>
          </w:p>
        </w:tc>
      </w:tr>
      <w:tr>
        <w:trPr>
          <w:cantSplit w:val="0"/>
          <w:trHeight w:val="56" w:hRule="atLeast"/>
          <w:tblHeader w:val="0"/>
        </w:trPr>
        <w:tc>
          <w:tcPr>
            <w:vAlign w:val="center"/>
          </w:tcPr>
          <w:p w:rsidR="00000000" w:rsidDel="00000000" w:rsidP="00000000" w:rsidRDefault="00000000" w:rsidRPr="00000000" w14:paraId="00000012">
            <w:pPr>
              <w:rPr>
                <w:rFonts w:ascii="Arial" w:cs="Arial" w:eastAsia="Arial" w:hAnsi="Arial"/>
                <w:sz w:val="20"/>
                <w:szCs w:val="20"/>
              </w:rPr>
            </w:pPr>
            <w:r w:rsidDel="00000000" w:rsidR="00000000" w:rsidRPr="00000000">
              <w:rPr>
                <w:rFonts w:ascii="Arial" w:cs="Arial" w:eastAsia="Arial" w:hAnsi="Arial"/>
                <w:sz w:val="20"/>
                <w:szCs w:val="20"/>
                <w:rtl w:val="0"/>
              </w:rPr>
              <w:t xml:space="preserve">7. Entrevista</w:t>
            </w:r>
          </w:p>
        </w:tc>
        <w:tc>
          <w:tcPr/>
          <w:p w:rsidR="00000000" w:rsidDel="00000000" w:rsidP="00000000" w:rsidRDefault="00000000" w:rsidRPr="00000000" w14:paraId="00000013">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Norma que estableció un nuevo criterio de tamaño de las empresas en Colombia. </w:t>
            </w:r>
            <w:r w:rsidDel="00000000" w:rsidR="00000000" w:rsidRPr="00000000">
              <w:rPr>
                <w:rFonts w:ascii="Arial" w:cs="Arial" w:eastAsia="Arial" w:hAnsi="Arial"/>
                <w:color w:val="000000"/>
                <w:sz w:val="20"/>
                <w:szCs w:val="20"/>
                <w:highlight w:val="yellow"/>
                <w:rtl w:val="0"/>
              </w:rPr>
              <w:t xml:space="preserve">(Respuesta 2)</w:t>
            </w:r>
            <w:r w:rsidDel="00000000" w:rsidR="00000000" w:rsidRPr="00000000">
              <w:rPr>
                <w:rtl w:val="0"/>
              </w:rPr>
            </w:r>
          </w:p>
        </w:tc>
      </w:tr>
      <w:tr>
        <w:trPr>
          <w:cantSplit w:val="0"/>
          <w:trHeight w:val="56" w:hRule="atLeast"/>
          <w:tblHeader w:val="0"/>
        </w:trPr>
        <w:tc>
          <w:tcPr>
            <w:vAlign w:val="center"/>
          </w:tcPr>
          <w:p w:rsidR="00000000" w:rsidDel="00000000" w:rsidP="00000000" w:rsidRDefault="00000000" w:rsidRPr="00000000" w14:paraId="00000014">
            <w:pPr>
              <w:rPr>
                <w:rFonts w:ascii="Arial" w:cs="Arial" w:eastAsia="Arial" w:hAnsi="Arial"/>
                <w:sz w:val="20"/>
                <w:szCs w:val="20"/>
              </w:rPr>
            </w:pPr>
            <w:r w:rsidDel="00000000" w:rsidR="00000000" w:rsidRPr="00000000">
              <w:rPr>
                <w:rFonts w:ascii="Arial" w:cs="Arial" w:eastAsia="Arial" w:hAnsi="Arial"/>
                <w:sz w:val="20"/>
                <w:szCs w:val="20"/>
                <w:rtl w:val="0"/>
              </w:rPr>
              <w:t xml:space="preserve">8. S.A.</w:t>
            </w:r>
          </w:p>
        </w:tc>
        <w:tc>
          <w:tcPr/>
          <w:p w:rsidR="00000000" w:rsidDel="00000000" w:rsidP="00000000" w:rsidRDefault="00000000" w:rsidRPr="00000000" w14:paraId="00000015">
            <w:pPr>
              <w:spacing w:after="23" w:before="23"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También conocida como </w:t>
            </w:r>
            <w:r w:rsidDel="00000000" w:rsidR="00000000" w:rsidRPr="00000000">
              <w:rPr>
                <w:rFonts w:ascii="Arial" w:cs="Arial" w:eastAsia="Arial" w:hAnsi="Arial"/>
                <w:i w:val="1"/>
                <w:sz w:val="20"/>
                <w:szCs w:val="20"/>
                <w:rtl w:val="0"/>
              </w:rPr>
              <w:t xml:space="preserve">Insight</w:t>
            </w:r>
            <w:r w:rsidDel="00000000" w:rsidR="00000000" w:rsidRPr="00000000">
              <w:rPr>
                <w:rFonts w:ascii="Arial" w:cs="Arial" w:eastAsia="Arial" w:hAnsi="Arial"/>
                <w:i w:val="1"/>
                <w:color w:val="000000"/>
                <w:sz w:val="20"/>
                <w:szCs w:val="20"/>
                <w:rtl w:val="0"/>
              </w:rPr>
              <w:t xml:space="preserve"> Community.</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highlight w:val="yellow"/>
                <w:rtl w:val="0"/>
              </w:rPr>
              <w:t xml:space="preserve">(Respuesta 13)</w:t>
            </w:r>
            <w:r w:rsidDel="00000000" w:rsidR="00000000" w:rsidRPr="00000000">
              <w:rPr>
                <w:rtl w:val="0"/>
              </w:rPr>
            </w:r>
          </w:p>
        </w:tc>
      </w:tr>
      <w:tr>
        <w:trPr>
          <w:cantSplit w:val="0"/>
          <w:trHeight w:val="56" w:hRule="atLeast"/>
          <w:tblHeader w:val="0"/>
        </w:trPr>
        <w:tc>
          <w:tcPr>
            <w:vAlign w:val="center"/>
          </w:tcPr>
          <w:p w:rsidR="00000000" w:rsidDel="00000000" w:rsidP="00000000" w:rsidRDefault="00000000" w:rsidRPr="00000000" w14:paraId="00000016">
            <w:pPr>
              <w:rPr>
                <w:rFonts w:ascii="Arial" w:cs="Arial" w:eastAsia="Arial" w:hAnsi="Arial"/>
                <w:sz w:val="20"/>
                <w:szCs w:val="20"/>
              </w:rPr>
            </w:pPr>
            <w:r w:rsidDel="00000000" w:rsidR="00000000" w:rsidRPr="00000000">
              <w:rPr>
                <w:rFonts w:ascii="Arial" w:cs="Arial" w:eastAsia="Arial" w:hAnsi="Arial"/>
                <w:sz w:val="20"/>
                <w:szCs w:val="20"/>
                <w:rtl w:val="0"/>
              </w:rPr>
              <w:t xml:space="preserve">9. Triangulación </w:t>
            </w:r>
          </w:p>
        </w:tc>
        <w:tc>
          <w:tcPr/>
          <w:p w:rsidR="00000000" w:rsidDel="00000000" w:rsidP="00000000" w:rsidRDefault="00000000" w:rsidRPr="00000000" w14:paraId="00000017">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Sus asociados aportan su capacidad laboral por tiempo indefinido y algunos, además, aportan alguna destreza tecnológica o el conocimiento necesario para el cumplimiento de los objetivos de la empresa. </w:t>
            </w:r>
            <w:r w:rsidDel="00000000" w:rsidR="00000000" w:rsidRPr="00000000">
              <w:rPr>
                <w:rFonts w:ascii="Arial" w:cs="Arial" w:eastAsia="Arial" w:hAnsi="Arial"/>
                <w:color w:val="000000"/>
                <w:sz w:val="20"/>
                <w:szCs w:val="20"/>
                <w:highlight w:val="yellow"/>
                <w:rtl w:val="0"/>
              </w:rPr>
              <w:t xml:space="preserve">(Respuesta 5)</w:t>
            </w:r>
            <w:r w:rsidDel="00000000" w:rsidR="00000000" w:rsidRPr="00000000">
              <w:rPr>
                <w:rtl w:val="0"/>
              </w:rPr>
            </w:r>
          </w:p>
        </w:tc>
      </w:tr>
      <w:tr>
        <w:trPr>
          <w:cantSplit w:val="0"/>
          <w:trHeight w:val="56" w:hRule="atLeast"/>
          <w:tblHeader w:val="0"/>
        </w:trPr>
        <w:tc>
          <w:tcPr>
            <w:vAlign w:val="center"/>
          </w:tcPr>
          <w:p w:rsidR="00000000" w:rsidDel="00000000" w:rsidP="00000000" w:rsidRDefault="00000000" w:rsidRPr="00000000" w14:paraId="00000018">
            <w:pPr>
              <w:rPr>
                <w:rFonts w:ascii="Arial" w:cs="Arial" w:eastAsia="Arial" w:hAnsi="Arial"/>
                <w:sz w:val="20"/>
                <w:szCs w:val="20"/>
              </w:rPr>
            </w:pPr>
            <w:r w:rsidDel="00000000" w:rsidR="00000000" w:rsidRPr="00000000">
              <w:rPr>
                <w:rFonts w:ascii="Arial" w:cs="Arial" w:eastAsia="Arial" w:hAnsi="Arial"/>
                <w:sz w:val="20"/>
                <w:szCs w:val="20"/>
                <w:rtl w:val="0"/>
              </w:rPr>
              <w:t xml:space="preserve">10</w:t>
            </w:r>
            <w:r w:rsidDel="00000000" w:rsidR="00000000" w:rsidRPr="00000000">
              <w:rPr>
                <w:rFonts w:ascii="Arial" w:cs="Arial" w:eastAsia="Arial" w:hAnsi="Arial"/>
                <w:color w:val="4472c4"/>
                <w:sz w:val="20"/>
                <w:szCs w:val="20"/>
                <w:rtl w:val="0"/>
              </w:rPr>
              <w:t xml:space="preserve">. </w:t>
            </w:r>
            <w:r w:rsidDel="00000000" w:rsidR="00000000" w:rsidRPr="00000000">
              <w:rPr>
                <w:rFonts w:ascii="Arial" w:cs="Arial" w:eastAsia="Arial" w:hAnsi="Arial"/>
                <w:color w:val="000000"/>
                <w:sz w:val="20"/>
                <w:szCs w:val="20"/>
                <w:rtl w:val="0"/>
              </w:rPr>
              <w:t xml:space="preserve">Las 5 Fuerzas de Porter</w:t>
            </w:r>
            <w:r w:rsidDel="00000000" w:rsidR="00000000" w:rsidRPr="00000000">
              <w:rPr>
                <w:rtl w:val="0"/>
              </w:rPr>
            </w:r>
          </w:p>
        </w:tc>
        <w:tc>
          <w:tcPr/>
          <w:p w:rsidR="00000000" w:rsidDel="00000000" w:rsidP="00000000" w:rsidRDefault="00000000" w:rsidRPr="00000000" w14:paraId="00000019">
            <w:pPr>
              <w:spacing w:after="23" w:before="23"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una sigla de fortalezas, oportunidades, debilidades y amenazas. El análisis FODA permite dilucidar la capacidad de la organización para desempeñarse en el ámbito en el que está vinculada. </w:t>
            </w:r>
            <w:r w:rsidDel="00000000" w:rsidR="00000000" w:rsidRPr="00000000">
              <w:rPr>
                <w:rFonts w:ascii="Arial" w:cs="Arial" w:eastAsia="Arial" w:hAnsi="Arial"/>
                <w:color w:val="000000"/>
                <w:sz w:val="20"/>
                <w:szCs w:val="20"/>
                <w:highlight w:val="yellow"/>
                <w:rtl w:val="0"/>
              </w:rPr>
              <w:t xml:space="preserve">(Respuesta 17)</w:t>
            </w:r>
            <w:r w:rsidDel="00000000" w:rsidR="00000000" w:rsidRPr="00000000">
              <w:rPr>
                <w:rtl w:val="0"/>
              </w:rPr>
            </w:r>
          </w:p>
        </w:tc>
      </w:tr>
      <w:tr>
        <w:trPr>
          <w:cantSplit w:val="0"/>
          <w:trHeight w:val="56" w:hRule="atLeast"/>
          <w:tblHeader w:val="0"/>
        </w:trPr>
        <w:tc>
          <w:tcPr>
            <w:vAlign w:val="center"/>
          </w:tcPr>
          <w:p w:rsidR="00000000" w:rsidDel="00000000" w:rsidP="00000000" w:rsidRDefault="00000000" w:rsidRPr="00000000" w14:paraId="0000001A">
            <w:pPr>
              <w:rPr>
                <w:rFonts w:ascii="Arial" w:cs="Arial" w:eastAsia="Arial" w:hAnsi="Arial"/>
                <w:sz w:val="20"/>
                <w:szCs w:val="20"/>
              </w:rPr>
            </w:pPr>
            <w:r w:rsidDel="00000000" w:rsidR="00000000" w:rsidRPr="00000000">
              <w:rPr>
                <w:rFonts w:ascii="Arial" w:cs="Arial" w:eastAsia="Arial" w:hAnsi="Arial"/>
                <w:sz w:val="20"/>
                <w:szCs w:val="20"/>
                <w:rtl w:val="0"/>
              </w:rPr>
              <w:t xml:space="preserve">11. Matriz EFI</w:t>
            </w:r>
          </w:p>
        </w:tc>
        <w:tc>
          <w:tcPr/>
          <w:p w:rsidR="00000000" w:rsidDel="00000000" w:rsidP="00000000" w:rsidRDefault="00000000" w:rsidRPr="00000000" w14:paraId="0000001B">
            <w:pPr>
              <w:spacing w:after="23" w:before="23"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Sectores en los que se clasifican las empresas según su actividad. </w:t>
            </w:r>
            <w:r w:rsidDel="00000000" w:rsidR="00000000" w:rsidRPr="00000000">
              <w:rPr>
                <w:rFonts w:ascii="Arial" w:cs="Arial" w:eastAsia="Arial" w:hAnsi="Arial"/>
                <w:color w:val="000000"/>
                <w:sz w:val="20"/>
                <w:szCs w:val="20"/>
                <w:highlight w:val="yellow"/>
                <w:rtl w:val="0"/>
              </w:rPr>
              <w:t xml:space="preserve">(Respuesta 18)</w:t>
            </w:r>
            <w:r w:rsidDel="00000000" w:rsidR="00000000" w:rsidRPr="00000000">
              <w:rPr>
                <w:rtl w:val="0"/>
              </w:rPr>
            </w:r>
          </w:p>
        </w:tc>
      </w:tr>
      <w:tr>
        <w:trPr>
          <w:cantSplit w:val="0"/>
          <w:trHeight w:val="56" w:hRule="atLeast"/>
          <w:tblHeader w:val="0"/>
        </w:trPr>
        <w:tc>
          <w:tcPr>
            <w:vAlign w:val="center"/>
          </w:tcPr>
          <w:p w:rsidR="00000000" w:rsidDel="00000000" w:rsidP="00000000" w:rsidRDefault="00000000" w:rsidRPr="00000000" w14:paraId="0000001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12. Matriz de Perfil de Oportunidades y Amenazas – POAM</w:t>
            </w:r>
          </w:p>
        </w:tc>
        <w:tc>
          <w:tcPr/>
          <w:p w:rsidR="00000000" w:rsidDel="00000000" w:rsidP="00000000" w:rsidRDefault="00000000" w:rsidRPr="00000000" w14:paraId="0000001E">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formará siempre entre uno o más socios que comprometen solidaria e ilimitadamente su responsabilidad por las operaciones sociales, reconocidos como </w:t>
            </w:r>
            <w:r w:rsidDel="00000000" w:rsidR="00000000" w:rsidRPr="00000000">
              <w:rPr>
                <w:rFonts w:ascii="Arial" w:cs="Arial" w:eastAsia="Arial" w:hAnsi="Arial"/>
                <w:i w:val="1"/>
                <w:color w:val="000000"/>
                <w:sz w:val="20"/>
                <w:szCs w:val="20"/>
                <w:rtl w:val="0"/>
              </w:rPr>
              <w:t xml:space="preserve">socios gestores</w:t>
            </w:r>
            <w:r w:rsidDel="00000000" w:rsidR="00000000" w:rsidRPr="00000000">
              <w:rPr>
                <w:rFonts w:ascii="Arial" w:cs="Arial" w:eastAsia="Arial" w:hAnsi="Arial"/>
                <w:color w:val="000000"/>
                <w:sz w:val="20"/>
                <w:szCs w:val="20"/>
                <w:rtl w:val="0"/>
              </w:rPr>
              <w:t xml:space="preserve">, y otro o varios socios que limitan la responsabilidad a sus respectivos aportes, denominados </w:t>
            </w:r>
            <w:r w:rsidDel="00000000" w:rsidR="00000000" w:rsidRPr="00000000">
              <w:rPr>
                <w:rFonts w:ascii="Arial" w:cs="Arial" w:eastAsia="Arial" w:hAnsi="Arial"/>
                <w:i w:val="1"/>
                <w:color w:val="000000"/>
                <w:sz w:val="20"/>
                <w:szCs w:val="20"/>
                <w:rtl w:val="0"/>
              </w:rPr>
              <w:t xml:space="preserve">socios comanditarios. </w:t>
            </w:r>
            <w:r w:rsidDel="00000000" w:rsidR="00000000" w:rsidRPr="00000000">
              <w:rPr>
                <w:rFonts w:ascii="Arial" w:cs="Arial" w:eastAsia="Arial" w:hAnsi="Arial"/>
                <w:color w:val="000000"/>
                <w:sz w:val="20"/>
                <w:szCs w:val="20"/>
                <w:highlight w:val="yellow"/>
                <w:rtl w:val="0"/>
              </w:rPr>
              <w:t xml:space="preserve">(Respuesta 16)</w:t>
            </w:r>
            <w:r w:rsidDel="00000000" w:rsidR="00000000" w:rsidRPr="00000000">
              <w:rPr>
                <w:rtl w:val="0"/>
              </w:rPr>
            </w:r>
          </w:p>
        </w:tc>
      </w:tr>
      <w:tr>
        <w:trPr>
          <w:cantSplit w:val="0"/>
          <w:trHeight w:val="56" w:hRule="atLeast"/>
          <w:tblHeader w:val="0"/>
        </w:trPr>
        <w:tc>
          <w:tcPr>
            <w:vAlign w:val="center"/>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13. Comunidad Online</w:t>
            </w:r>
          </w:p>
        </w:tc>
        <w:tc>
          <w:tcPr/>
          <w:p w:rsidR="00000000" w:rsidDel="00000000" w:rsidP="00000000" w:rsidRDefault="00000000" w:rsidRPr="00000000" w14:paraId="00000020">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Es la función de validar la información obtenida  y consiste en el uso de dos o más aproximaciones en el análisis de un mismo grupo de datos, con el propósito de realizar su validación. Se lleva a cabo comparando el resultado del análisis de datos usando diferentes técnicas de análisis cualitativo para evaluar, en forma similar, los resultados disponibles</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highlight w:val="yellow"/>
                <w:rtl w:val="0"/>
              </w:rPr>
              <w:t xml:space="preserve">(Respuesta 9)</w:t>
            </w:r>
            <w:r w:rsidDel="00000000" w:rsidR="00000000" w:rsidRPr="00000000">
              <w:rPr>
                <w:rtl w:val="0"/>
              </w:rPr>
            </w:r>
          </w:p>
        </w:tc>
      </w:tr>
      <w:tr>
        <w:trPr>
          <w:cantSplit w:val="0"/>
          <w:trHeight w:val="56" w:hRule="atLeast"/>
          <w:tblHeader w:val="0"/>
        </w:trPr>
        <w:tc>
          <w:tcPr>
            <w:vAlign w:val="center"/>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14. Cuestionario</w:t>
            </w:r>
          </w:p>
        </w:tc>
        <w:tc>
          <w:tcPr/>
          <w:p w:rsidR="00000000" w:rsidDel="00000000" w:rsidP="00000000" w:rsidRDefault="00000000" w:rsidRPr="00000000" w14:paraId="00000022">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Unidad de personas naturales o jurídicas que unen esfuerzos bajo una figura legal constituida mediante escritura pública y cumpliendo con todos los requisitos de ley para su creación. </w:t>
            </w:r>
            <w:r w:rsidDel="00000000" w:rsidR="00000000" w:rsidRPr="00000000">
              <w:rPr>
                <w:rFonts w:ascii="Arial" w:cs="Arial" w:eastAsia="Arial" w:hAnsi="Arial"/>
                <w:color w:val="000000"/>
                <w:sz w:val="20"/>
                <w:szCs w:val="20"/>
                <w:highlight w:val="yellow"/>
                <w:rtl w:val="0"/>
              </w:rPr>
              <w:t xml:space="preserve">(Respuesta 3)</w:t>
            </w:r>
            <w:r w:rsidDel="00000000" w:rsidR="00000000" w:rsidRPr="00000000">
              <w:rPr>
                <w:rtl w:val="0"/>
              </w:rPr>
            </w:r>
          </w:p>
        </w:tc>
      </w:tr>
      <w:tr>
        <w:trPr>
          <w:cantSplit w:val="0"/>
          <w:trHeight w:val="56" w:hRule="atLeast"/>
          <w:tblHeader w:val="0"/>
        </w:trPr>
        <w:tc>
          <w:tcPr>
            <w:vAlign w:val="center"/>
          </w:tcPr>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15. Diagnóstico Organizacional</w:t>
            </w:r>
          </w:p>
        </w:tc>
        <w:tc>
          <w:tcPr/>
          <w:p w:rsidR="00000000" w:rsidDel="00000000" w:rsidP="00000000" w:rsidRDefault="00000000" w:rsidRPr="00000000" w14:paraId="00000024">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Sociedad cuyo capital está representado en acciones. </w:t>
            </w:r>
            <w:r w:rsidDel="00000000" w:rsidR="00000000" w:rsidRPr="00000000">
              <w:rPr>
                <w:rFonts w:ascii="Arial" w:cs="Arial" w:eastAsia="Arial" w:hAnsi="Arial"/>
                <w:color w:val="000000"/>
                <w:sz w:val="20"/>
                <w:szCs w:val="20"/>
                <w:highlight w:val="yellow"/>
                <w:rtl w:val="0"/>
              </w:rPr>
              <w:t xml:space="preserve">(Respuesta 8)</w:t>
            </w:r>
            <w:r w:rsidDel="00000000" w:rsidR="00000000" w:rsidRPr="00000000">
              <w:rPr>
                <w:rtl w:val="0"/>
              </w:rPr>
            </w:r>
          </w:p>
        </w:tc>
      </w:tr>
      <w:tr>
        <w:trPr>
          <w:cantSplit w:val="0"/>
          <w:trHeight w:val="56" w:hRule="atLeast"/>
          <w:tblHeader w:val="0"/>
        </w:trPr>
        <w:tc>
          <w:tcPr>
            <w:vAlign w:val="center"/>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16. Sociedad en Comandita por Acciones</w:t>
            </w:r>
          </w:p>
        </w:tc>
        <w:tc>
          <w:tcPr/>
          <w:p w:rsidR="00000000" w:rsidDel="00000000" w:rsidP="00000000" w:rsidRDefault="00000000" w:rsidRPr="00000000" w14:paraId="00000026">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Sigla correspondiente a la Sociedad Limitada </w:t>
            </w:r>
            <w:r w:rsidDel="00000000" w:rsidR="00000000" w:rsidRPr="00000000">
              <w:rPr>
                <w:rFonts w:ascii="Arial" w:cs="Arial" w:eastAsia="Arial" w:hAnsi="Arial"/>
                <w:color w:val="000000"/>
                <w:sz w:val="20"/>
                <w:szCs w:val="20"/>
                <w:highlight w:val="yellow"/>
                <w:rtl w:val="0"/>
              </w:rPr>
              <w:t xml:space="preserve">(Respuesta 4)</w:t>
            </w:r>
            <w:r w:rsidDel="00000000" w:rsidR="00000000" w:rsidRPr="00000000">
              <w:rPr>
                <w:rtl w:val="0"/>
              </w:rPr>
            </w:r>
          </w:p>
        </w:tc>
      </w:tr>
      <w:tr>
        <w:trPr>
          <w:cantSplit w:val="0"/>
          <w:trHeight w:val="56" w:hRule="atLeast"/>
          <w:tblHeader w:val="0"/>
        </w:trPr>
        <w:tc>
          <w:tcPr>
            <w:vAlign w:val="center"/>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17. Matriz FODA</w:t>
            </w:r>
          </w:p>
        </w:tc>
        <w:tc>
          <w:tcPr/>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pacing w:before="23" w:lineRule="auto"/>
              <w:ind w:left="94" w:hanging="94"/>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Rivalidad entre los competidores existentes en el sector. </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ind w:left="94" w:hanging="94"/>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Amenaza de entrada de nuevos competidores en el sector.</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ind w:left="94" w:hanging="94"/>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Amenaza de aparición de productos sustitutivos en el sector.</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ind w:left="94" w:hanging="94"/>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Poder de negociación de los clientes.</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pacing w:after="23" w:lineRule="auto"/>
              <w:ind w:left="94" w:hanging="94"/>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Poder de negociación de los proveedores. </w:t>
            </w:r>
            <w:r w:rsidDel="00000000" w:rsidR="00000000" w:rsidRPr="00000000">
              <w:rPr>
                <w:rFonts w:ascii="Arial" w:cs="Arial" w:eastAsia="Arial" w:hAnsi="Arial"/>
                <w:color w:val="000000"/>
                <w:sz w:val="20"/>
                <w:szCs w:val="20"/>
                <w:highlight w:val="yellow"/>
                <w:rtl w:val="0"/>
              </w:rPr>
              <w:t xml:space="preserve">(Respuesta 10)</w:t>
            </w:r>
            <w:r w:rsidDel="00000000" w:rsidR="00000000" w:rsidRPr="00000000">
              <w:rPr>
                <w:rtl w:val="0"/>
              </w:rPr>
            </w:r>
          </w:p>
        </w:tc>
      </w:tr>
      <w:tr>
        <w:trPr>
          <w:cantSplit w:val="0"/>
          <w:trHeight w:val="56" w:hRule="atLeast"/>
          <w:tblHeader w:val="0"/>
        </w:trPr>
        <w:tc>
          <w:tcPr>
            <w:vAlign w:val="center"/>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18. Sector primario, secundario, terciario y cuaternario</w:t>
            </w:r>
          </w:p>
        </w:tc>
        <w:tc>
          <w:tcPr/>
          <w:p w:rsidR="00000000" w:rsidDel="00000000" w:rsidP="00000000" w:rsidRDefault="00000000" w:rsidRPr="00000000" w14:paraId="0000002E">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Herramienta principalmente utilizada para la recolección de datos cualitativos, aunque se precisa que, de acuerdo con el diseño que se realice, puede ser utilizada para la recolección de datos cuantitativos que se requieran de actores claves de un sector, empresa, gremio, entre otros. </w:t>
            </w:r>
            <w:r w:rsidDel="00000000" w:rsidR="00000000" w:rsidRPr="00000000">
              <w:rPr>
                <w:rFonts w:ascii="Arial" w:cs="Arial" w:eastAsia="Arial" w:hAnsi="Arial"/>
                <w:color w:val="000000"/>
                <w:sz w:val="20"/>
                <w:szCs w:val="20"/>
                <w:highlight w:val="yellow"/>
                <w:rtl w:val="0"/>
              </w:rPr>
              <w:t xml:space="preserve">(Respuesta 7)</w:t>
            </w:r>
            <w:r w:rsidDel="00000000" w:rsidR="00000000" w:rsidRPr="00000000">
              <w:rPr>
                <w:rtl w:val="0"/>
              </w:rPr>
            </w:r>
          </w:p>
        </w:tc>
      </w:tr>
      <w:tr>
        <w:trPr>
          <w:cantSplit w:val="0"/>
          <w:trHeight w:val="56" w:hRule="atLeast"/>
          <w:tblHeader w:val="0"/>
        </w:trPr>
        <w:tc>
          <w:tcPr>
            <w:vAlign w:val="center"/>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19. Mapeo de Stakeholders</w:t>
            </w:r>
          </w:p>
        </w:tc>
        <w:tc>
          <w:tcPr/>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pacing w:before="23"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Encuesta</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Observación</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Entrevista</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Recopilación documental, revisión documental o análisis documental</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Autorreportaje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ffffff" w:val="clea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Categorización. Triangulación y Teoría fundamentada. Perspectivas de diferentes autores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pacing w:after="23" w:lineRule="auto"/>
              <w:ind w:left="720" w:hanging="360"/>
              <w:rPr>
                <w:rFonts w:ascii="Arial" w:cs="Arial" w:eastAsia="Arial" w:hAnsi="Arial"/>
                <w:color w:val="000000"/>
                <w:sz w:val="20"/>
                <w:szCs w:val="20"/>
                <w:highlight w:val="white"/>
              </w:rPr>
            </w:pPr>
            <w:bookmarkStart w:colFirst="0" w:colLast="0" w:name="_heading=h.gjdgxs" w:id="0"/>
            <w:bookmarkEnd w:id="0"/>
            <w:r w:rsidDel="00000000" w:rsidR="00000000" w:rsidRPr="00000000">
              <w:rPr>
                <w:rFonts w:ascii="Arial" w:cs="Arial" w:eastAsia="Arial" w:hAnsi="Arial"/>
                <w:color w:val="000000"/>
                <w:sz w:val="20"/>
                <w:szCs w:val="20"/>
                <w:highlight w:val="white"/>
                <w:rtl w:val="0"/>
              </w:rPr>
              <w:t xml:space="preserve">Comunidades </w:t>
            </w:r>
            <w:r w:rsidDel="00000000" w:rsidR="00000000" w:rsidRPr="00000000">
              <w:rPr>
                <w:rFonts w:ascii="Arial" w:cs="Arial" w:eastAsia="Arial" w:hAnsi="Arial"/>
                <w:i w:val="1"/>
                <w:color w:val="000000"/>
                <w:sz w:val="20"/>
                <w:szCs w:val="20"/>
                <w:highlight w:val="white"/>
                <w:rtl w:val="0"/>
              </w:rPr>
              <w:t xml:space="preserve">online</w:t>
            </w:r>
            <w:r w:rsidDel="00000000" w:rsidR="00000000" w:rsidRPr="00000000">
              <w:rPr>
                <w:rtl w:val="0"/>
              </w:rPr>
            </w:r>
          </w:p>
          <w:p w:rsidR="00000000" w:rsidDel="00000000" w:rsidP="00000000" w:rsidRDefault="00000000" w:rsidRPr="00000000" w14:paraId="00000037">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yellow"/>
                <w:rtl w:val="0"/>
              </w:rPr>
              <w:t xml:space="preserve">(Respuesta 6)</w:t>
            </w:r>
            <w:r w:rsidDel="00000000" w:rsidR="00000000" w:rsidRPr="00000000">
              <w:rPr>
                <w:rtl w:val="0"/>
              </w:rPr>
            </w:r>
          </w:p>
        </w:tc>
      </w:tr>
    </w:tbl>
    <w:p w:rsidR="00000000" w:rsidDel="00000000" w:rsidP="00000000" w:rsidRDefault="00000000" w:rsidRPr="00000000" w14:paraId="00000038">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9">
      <w:pPr>
        <w:spacing w:after="240" w:before="240"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RETROALIMENTACIÓN</w:t>
      </w:r>
    </w:p>
    <w:p w:rsidR="00000000" w:rsidDel="00000000" w:rsidP="00000000" w:rsidRDefault="00000000" w:rsidRPr="00000000" w14:paraId="0000003A">
      <w:pPr>
        <w:spacing w:after="240" w:before="240" w:line="240" w:lineRule="auto"/>
        <w:jc w:val="both"/>
        <w:rPr>
          <w:rFonts w:ascii="Arial" w:cs="Arial" w:eastAsia="Arial" w:hAnsi="Arial"/>
          <w:sz w:val="20"/>
          <w:szCs w:val="20"/>
        </w:rPr>
      </w:pPr>
      <w:r w:rsidDel="00000000" w:rsidR="00000000" w:rsidRPr="00000000">
        <w:rPr>
          <w:rFonts w:ascii="Arial" w:cs="Arial" w:eastAsia="Arial" w:hAnsi="Arial"/>
          <w:color w:val="00b050"/>
          <w:sz w:val="20"/>
          <w:szCs w:val="20"/>
          <w:rtl w:val="0"/>
        </w:rPr>
        <w:t xml:space="preserve"> Positiva: </w:t>
      </w:r>
      <w:r w:rsidDel="00000000" w:rsidR="00000000" w:rsidRPr="00000000">
        <w:rPr>
          <w:rFonts w:ascii="Arial" w:cs="Arial" w:eastAsia="Arial" w:hAnsi="Arial"/>
          <w:sz w:val="20"/>
          <w:szCs w:val="20"/>
          <w:rtl w:val="0"/>
        </w:rPr>
        <w:t xml:space="preserve">Lo lograste, has culminado esta actividad con éxito y con ella has fortalecido conceptos relevantes de la gestión empresarial. ¡Felicitaciones!</w:t>
      </w:r>
    </w:p>
    <w:p w:rsidR="00000000" w:rsidDel="00000000" w:rsidP="00000000" w:rsidRDefault="00000000" w:rsidRPr="00000000" w14:paraId="0000003B">
      <w:pPr>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Negativa</w:t>
      </w:r>
      <w:r w:rsidDel="00000000" w:rsidR="00000000" w:rsidRPr="00000000">
        <w:rPr>
          <w:rFonts w:ascii="Arial" w:cs="Arial" w:eastAsia="Arial" w:hAnsi="Arial"/>
          <w:sz w:val="20"/>
          <w:szCs w:val="20"/>
          <w:rtl w:val="0"/>
        </w:rPr>
        <w:t xml:space="preserve">: Debes seguir intentando, aún falta que apropies algunos conceptos. Te sugerimos revisar de nuevo el contenido formativo, el material de apoyo, y presentar dudas, si las hay, en el foro de inquietudes y al instructor.</w:t>
      </w:r>
    </w:p>
    <w:p w:rsidR="00000000" w:rsidDel="00000000" w:rsidP="00000000" w:rsidRDefault="00000000" w:rsidRPr="00000000" w14:paraId="0000003C">
      <w:pPr>
        <w:jc w:val="center"/>
        <w:rPr>
          <w:rFonts w:ascii="Arial" w:cs="Arial" w:eastAsia="Arial" w:hAnsi="Arial"/>
          <w:b w:val="1"/>
          <w:sz w:val="20"/>
          <w:szCs w:val="20"/>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aconcuadrcula">
    <w:name w:val="Table Grid"/>
    <w:basedOn w:val="Tablanormal"/>
    <w:uiPriority w:val="39"/>
    <w:rsid w:val="00744AB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7C436D"/>
    <w:pPr>
      <w:spacing w:after="0" w:line="276" w:lineRule="auto"/>
      <w:ind w:left="720"/>
      <w:contextualSpacing w:val="1"/>
    </w:pPr>
    <w:rPr>
      <w:rFonts w:ascii="Arial" w:cs="Arial" w:eastAsia="Arial" w:hAnsi="Arial"/>
      <w:lang w:eastAsia="es-CO"/>
    </w:rPr>
  </w:style>
  <w:style w:type="paragraph" w:styleId="NormalWeb">
    <w:name w:val="Normal (Web)"/>
    <w:basedOn w:val="Normal"/>
    <w:uiPriority w:val="99"/>
    <w:unhideWhenUsed w:val="1"/>
    <w:rsid w:val="005F68A4"/>
    <w:pPr>
      <w:spacing w:after="100" w:afterAutospacing="1" w:before="100" w:beforeAutospacing="1" w:line="240" w:lineRule="auto"/>
    </w:pPr>
    <w:rPr>
      <w:rFonts w:ascii="Times New Roman" w:cs="Times New Roman" w:eastAsia="Times New Roman" w:hAnsi="Times New Roman"/>
      <w:sz w:val="24"/>
      <w:szCs w:val="24"/>
      <w:lang w:eastAsia="es-CO"/>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irTpKs42u5KNv4T3JREdDgwmWQ==">AMUW2mWnI8xHOt3aKQBuVvrpH3KgCx9KIIxZIwEcZhB/KnyG9AmxI266+pRR+spTS1H74gsLz7zQC+ZzveXcxP9QVYQfj8VG4mv66E62xVmaRpDxdvdgnLph5/cKvzyH3gsMQGRzJDUv</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71D9B838-46A0-4B4D-B271-5170C24F80C8}"/>
</file>

<file path=customXML/itemProps3.xml><?xml version="1.0" encoding="utf-8"?>
<ds:datastoreItem xmlns:ds="http://schemas.openxmlformats.org/officeDocument/2006/customXml" ds:itemID="{226FE4F6-4546-4C0C-BADF-AFECF35275EC}"/>
</file>

<file path=customXML/itemProps4.xml><?xml version="1.0" encoding="utf-8"?>
<ds:datastoreItem xmlns:ds="http://schemas.openxmlformats.org/officeDocument/2006/customXml" ds:itemID="{8DE12610-F42F-4C4F-904B-FBB82790F860}"/>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Camila Montes Morales</dc:creator>
  <dcterms:created xsi:type="dcterms:W3CDTF">2022-05-02T19:48:00Z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11921300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xd_Signature">
    <vt:bool>false</vt:bool>
  </property>
  <property fmtid="{D5CDD505-2E9C-101B-9397-08002B2CF9AE}" pid="13" name="xd_ProgID">
    <vt:lpwstr/>
  </property>
  <property fmtid="{D5CDD505-2E9C-101B-9397-08002B2CF9AE}" pid="14" name="TemplateUrl">
    <vt:lpwstr/>
  </property>
  <property fmtid="{D5CDD505-2E9C-101B-9397-08002B2CF9AE}" pid="15" name="MediaServiceImageTags">
    <vt:lpwstr/>
  </property>
</Properties>
</file>