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4472C4"/>
          <w:sz w:val="40"/>
          <w:szCs w:val="40"/>
        </w:rPr>
      </w:pPr>
      <w:r>
        <w:rPr>
          <w:b/>
          <w:color w:val="4472C4"/>
          <w:sz w:val="40"/>
          <w:szCs w:val="40"/>
        </w:rPr>
        <w:t xml:space="preserve">Flujo de caja o de </w:t>
      </w:r>
      <w:sdt>
        <w:sdtPr>
          <w:tag w:val="goog_rdk_0"/>
          <w:id w:val="2045325966"/>
        </w:sdtPr>
        <w:sdtContent>
          <w:commentRangeStart w:id="0"/>
        </w:sdtContent>
      </w:sdt>
      <w:r>
        <w:rPr>
          <w:b/>
          <w:color w:val="4472C4"/>
          <w:sz w:val="40"/>
          <w:szCs w:val="40"/>
        </w:rPr>
        <w:t>efectivo</w:t>
      </w:r>
      <w:commentRangeEnd w:id="0"/>
      <w:r>
        <w:commentReference w:id="0"/>
      </w:r>
    </w:p>
    <w:p w14:paraId="00000002" w14:textId="237181AA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76" w:after="276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 un estado financiero conocido también como </w:t>
      </w:r>
      <w:r w:rsidR="000D13DF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stado de fuentes y </w:t>
      </w:r>
      <w:r w:rsidR="000D13DF"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sos de fondos, </w:t>
      </w:r>
      <w:r w:rsidR="000D13DF">
        <w:rPr>
          <w:color w:val="000000"/>
          <w:sz w:val="20"/>
          <w:szCs w:val="20"/>
        </w:rPr>
        <w:t>estado de origen y aplicación de fondos</w:t>
      </w:r>
      <w:r w:rsidR="00FA3E2F">
        <w:rPr>
          <w:color w:val="000000"/>
          <w:sz w:val="20"/>
          <w:szCs w:val="20"/>
        </w:rPr>
        <w:t>,</w:t>
      </w:r>
      <w:r w:rsidR="000D13DF">
        <w:rPr>
          <w:color w:val="000000"/>
          <w:sz w:val="20"/>
          <w:szCs w:val="20"/>
        </w:rPr>
        <w:t xml:space="preserve"> creado con el fin de conocer a partir de la comparación el est</w:t>
      </w:r>
      <w:r>
        <w:rPr>
          <w:color w:val="000000"/>
          <w:sz w:val="20"/>
          <w:szCs w:val="20"/>
        </w:rPr>
        <w:t xml:space="preserve">ado de </w:t>
      </w:r>
      <w:r w:rsidR="005A3B07">
        <w:rPr>
          <w:color w:val="000000"/>
          <w:sz w:val="20"/>
          <w:szCs w:val="20"/>
        </w:rPr>
        <w:t xml:space="preserve">la </w:t>
      </w:r>
      <w:r>
        <w:rPr>
          <w:color w:val="000000"/>
          <w:sz w:val="20"/>
          <w:szCs w:val="20"/>
        </w:rPr>
        <w:t>situación financiera en periodos diferentes</w:t>
      </w:r>
      <w:r w:rsidR="00DD528A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permit</w:t>
      </w:r>
      <w:r w:rsidR="00DD528A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e</w:t>
      </w:r>
      <w:r w:rsidR="00DD528A">
        <w:rPr>
          <w:color w:val="000000"/>
          <w:sz w:val="20"/>
          <w:szCs w:val="20"/>
        </w:rPr>
        <w:t>ndo</w:t>
      </w:r>
      <w:r>
        <w:rPr>
          <w:color w:val="000000"/>
          <w:sz w:val="20"/>
          <w:szCs w:val="20"/>
        </w:rPr>
        <w:t xml:space="preserve"> deducir en d</w:t>
      </w:r>
      <w:r w:rsidR="005A3B07">
        <w:rPr>
          <w:color w:val="000000"/>
          <w:sz w:val="20"/>
          <w:szCs w:val="20"/>
        </w:rPr>
        <w:t>ó</w:t>
      </w:r>
      <w:r>
        <w:rPr>
          <w:color w:val="000000"/>
          <w:sz w:val="20"/>
          <w:szCs w:val="20"/>
        </w:rPr>
        <w:t>nde se generaron recursos  y el uso que la empresa le</w:t>
      </w:r>
      <w:r w:rsidR="005A3B07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dio.</w:t>
      </w:r>
    </w:p>
    <w:p w14:paraId="00000003" w14:textId="77777777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76" w:after="276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 uso puede ser como histórico para evaluar la realización de objetivos en la empresa y como pronóstico de origen y aplicación de fondos que permita evaluar la posible expansión de la empresa, así como las necesidades de recursos y la estrategia de financiación.</w:t>
      </w:r>
    </w:p>
    <w:p w14:paraId="00000004" w14:textId="024F028B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76" w:after="276" w:line="240" w:lineRule="auto"/>
        <w:ind w:left="900" w:hanging="900"/>
        <w:jc w:val="both"/>
        <w:rPr>
          <w:color w:val="000000"/>
          <w:sz w:val="20"/>
          <w:szCs w:val="20"/>
        </w:rPr>
      </w:pPr>
      <w:r>
        <w:rPr>
          <w:b/>
          <w:color w:val="4472C4"/>
          <w:sz w:val="20"/>
          <w:szCs w:val="20"/>
        </w:rPr>
        <w:t xml:space="preserve">Fuentes: </w:t>
      </w:r>
      <w:r>
        <w:rPr>
          <w:color w:val="000000"/>
          <w:sz w:val="20"/>
          <w:szCs w:val="20"/>
        </w:rPr>
        <w:t>son consideradas fuentes de recursos la utilidad, la depreciación y otros cargos que se incluyen en el estado de resultados que no implican erogaciones de dinero, así como el incremento del capital</w:t>
      </w:r>
      <w:r w:rsidR="00577789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el incremento de las obligaciones o pasivos y la disminución de activos.</w:t>
      </w:r>
    </w:p>
    <w:p w14:paraId="00000005" w14:textId="548818C5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76" w:after="276" w:line="240" w:lineRule="auto"/>
        <w:ind w:left="630" w:hanging="630"/>
        <w:jc w:val="both"/>
        <w:rPr>
          <w:color w:val="000000"/>
          <w:sz w:val="20"/>
          <w:szCs w:val="20"/>
        </w:rPr>
      </w:pPr>
      <w:r>
        <w:rPr>
          <w:b/>
          <w:color w:val="4472C4"/>
          <w:sz w:val="20"/>
          <w:szCs w:val="20"/>
        </w:rPr>
        <w:t xml:space="preserve">Usos: </w:t>
      </w:r>
      <w:r>
        <w:rPr>
          <w:color w:val="000000"/>
          <w:sz w:val="20"/>
          <w:szCs w:val="20"/>
        </w:rPr>
        <w:t>son las aplicaciones que se realizan con estos recursos</w:t>
      </w:r>
      <w:r w:rsidR="0075451C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en otras palabras, la manera en que se usan los recursos financieros. Son usos el aumento de activos, </w:t>
      </w:r>
      <w:r w:rsidR="0075451C">
        <w:rPr>
          <w:color w:val="000000"/>
          <w:sz w:val="20"/>
          <w:szCs w:val="20"/>
        </w:rPr>
        <w:t xml:space="preserve">la </w:t>
      </w:r>
      <w:r>
        <w:rPr>
          <w:color w:val="000000"/>
          <w:sz w:val="20"/>
          <w:szCs w:val="20"/>
        </w:rPr>
        <w:t xml:space="preserve">disminución de pasivos, </w:t>
      </w:r>
      <w:r w:rsidR="0075451C">
        <w:rPr>
          <w:color w:val="000000"/>
          <w:sz w:val="20"/>
          <w:szCs w:val="20"/>
        </w:rPr>
        <w:t xml:space="preserve">las </w:t>
      </w:r>
      <w:r>
        <w:rPr>
          <w:color w:val="000000"/>
          <w:sz w:val="20"/>
          <w:szCs w:val="20"/>
        </w:rPr>
        <w:t xml:space="preserve">pérdidas netas, </w:t>
      </w:r>
      <w:r w:rsidR="0075451C">
        <w:rPr>
          <w:color w:val="000000"/>
          <w:sz w:val="20"/>
          <w:szCs w:val="20"/>
        </w:rPr>
        <w:t xml:space="preserve">el </w:t>
      </w:r>
      <w:r>
        <w:rPr>
          <w:color w:val="000000"/>
          <w:sz w:val="20"/>
          <w:szCs w:val="20"/>
        </w:rPr>
        <w:t xml:space="preserve">pago de dividendos y </w:t>
      </w:r>
      <w:r w:rsidR="0075451C">
        <w:rPr>
          <w:color w:val="000000"/>
          <w:sz w:val="20"/>
          <w:szCs w:val="20"/>
        </w:rPr>
        <w:t xml:space="preserve">la </w:t>
      </w:r>
      <w:r>
        <w:rPr>
          <w:color w:val="000000"/>
          <w:sz w:val="20"/>
          <w:szCs w:val="20"/>
        </w:rPr>
        <w:t>readquisición de acciones.</w:t>
      </w:r>
    </w:p>
    <w:p w14:paraId="00000006" w14:textId="461D6AA1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idoneidad de este informe financiero se determina de acuerdo con </w:t>
      </w:r>
      <w:r w:rsidR="0075451C">
        <w:rPr>
          <w:color w:val="000000"/>
          <w:sz w:val="20"/>
          <w:szCs w:val="20"/>
        </w:rPr>
        <w:t xml:space="preserve">las </w:t>
      </w:r>
      <w:r>
        <w:rPr>
          <w:color w:val="000000"/>
          <w:sz w:val="20"/>
          <w:szCs w:val="20"/>
        </w:rPr>
        <w:t xml:space="preserve">condiciones específicas de la empresa como tipo de empresa, ya que no tiene </w:t>
      </w:r>
      <w:r>
        <w:rPr>
          <w:sz w:val="20"/>
          <w:szCs w:val="20"/>
        </w:rPr>
        <w:t>el mismo</w:t>
      </w:r>
      <w:r>
        <w:rPr>
          <w:color w:val="000000"/>
          <w:sz w:val="20"/>
          <w:szCs w:val="20"/>
        </w:rPr>
        <w:t xml:space="preserve"> movimiento de </w:t>
      </w:r>
      <w:r>
        <w:rPr>
          <w:sz w:val="20"/>
          <w:szCs w:val="20"/>
        </w:rPr>
        <w:t>inventario de una</w:t>
      </w:r>
      <w:r>
        <w:rPr>
          <w:color w:val="000000"/>
          <w:sz w:val="20"/>
          <w:szCs w:val="20"/>
        </w:rPr>
        <w:t xml:space="preserve"> empresa manufacturera a una comercial.</w:t>
      </w:r>
    </w:p>
    <w:p w14:paraId="00000007" w14:textId="77777777" w:rsidR="004C67D0" w:rsidRDefault="004C67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</w:p>
    <w:p w14:paraId="00000008" w14:textId="045320C7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 acuerdo con el ejercicio planteado para elaborar cada uno de estos </w:t>
      </w:r>
      <w:r w:rsidR="0075451C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stados financieros y las decisiones a tomar a partir de 2022, el </w:t>
      </w:r>
      <w:r w:rsidR="0075451C">
        <w:rPr>
          <w:color w:val="000000"/>
          <w:sz w:val="20"/>
          <w:szCs w:val="20"/>
        </w:rPr>
        <w:t>f</w:t>
      </w:r>
      <w:r>
        <w:rPr>
          <w:color w:val="000000"/>
          <w:sz w:val="20"/>
          <w:szCs w:val="20"/>
        </w:rPr>
        <w:t>lujo de fondos es:</w:t>
      </w:r>
    </w:p>
    <w:p w14:paraId="00000009" w14:textId="77777777" w:rsidR="004C67D0" w:rsidRDefault="004C67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</w:p>
    <w:p w14:paraId="0000000A" w14:textId="77F25648" w:rsidR="004C67D0" w:rsidRPr="00F43C29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rPr>
          <w:b/>
          <w:color w:val="000000"/>
          <w:sz w:val="20"/>
          <w:szCs w:val="20"/>
          <w:highlight w:val="yellow"/>
        </w:rPr>
      </w:pPr>
      <w:r w:rsidRPr="00F43C29">
        <w:rPr>
          <w:b/>
          <w:color w:val="000000"/>
          <w:sz w:val="20"/>
          <w:szCs w:val="20"/>
          <w:highlight w:val="yellow"/>
        </w:rPr>
        <w:t xml:space="preserve">Tabla </w:t>
      </w:r>
      <w:r w:rsidR="00D77E27">
        <w:rPr>
          <w:b/>
          <w:color w:val="000000"/>
          <w:sz w:val="20"/>
          <w:szCs w:val="20"/>
          <w:highlight w:val="yellow"/>
        </w:rPr>
        <w:t>7</w:t>
      </w:r>
      <w:r w:rsidRPr="00F43C29">
        <w:rPr>
          <w:b/>
          <w:color w:val="000000"/>
          <w:sz w:val="20"/>
          <w:szCs w:val="20"/>
          <w:highlight w:val="yellow"/>
        </w:rPr>
        <w:t xml:space="preserve"> </w:t>
      </w:r>
    </w:p>
    <w:p w14:paraId="0000000B" w14:textId="2052362D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rPr>
          <w:i/>
          <w:color w:val="000000"/>
          <w:sz w:val="20"/>
          <w:szCs w:val="20"/>
        </w:rPr>
      </w:pPr>
      <w:r w:rsidRPr="00F43C29">
        <w:rPr>
          <w:i/>
          <w:color w:val="000000"/>
          <w:sz w:val="20"/>
          <w:szCs w:val="20"/>
          <w:highlight w:val="yellow"/>
        </w:rPr>
        <w:t xml:space="preserve">Estado de </w:t>
      </w:r>
      <w:r w:rsidR="00B169AC" w:rsidRPr="00F43C29">
        <w:rPr>
          <w:i/>
          <w:color w:val="000000"/>
          <w:sz w:val="20"/>
          <w:szCs w:val="20"/>
          <w:highlight w:val="yellow"/>
        </w:rPr>
        <w:t>flujo de fondos</w:t>
      </w:r>
      <w:r w:rsidR="00B169AC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proyección de 2022</w:t>
      </w:r>
    </w:p>
    <w:p w14:paraId="0000000C" w14:textId="77777777" w:rsidR="004C67D0" w:rsidRDefault="004C67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</w:p>
    <w:tbl>
      <w:tblPr>
        <w:tblStyle w:val="a"/>
        <w:tblW w:w="8474" w:type="dxa"/>
        <w:jc w:val="center"/>
        <w:tblLayout w:type="fixed"/>
        <w:tblLook w:val="0400" w:firstRow="0" w:lastRow="0" w:firstColumn="0" w:lastColumn="0" w:noHBand="0" w:noVBand="1"/>
      </w:tblPr>
      <w:tblGrid>
        <w:gridCol w:w="257"/>
        <w:gridCol w:w="5335"/>
        <w:gridCol w:w="1540"/>
        <w:gridCol w:w="1342"/>
      </w:tblGrid>
      <w:tr w:rsidR="004C67D0" w14:paraId="6E1F08E6" w14:textId="77777777">
        <w:trPr>
          <w:trHeight w:val="300"/>
          <w:jc w:val="center"/>
        </w:trPr>
        <w:tc>
          <w:tcPr>
            <w:tcW w:w="8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D" w14:textId="77777777" w:rsidR="004C67D0" w:rsidRDefault="00046DB8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ALIMENTOS DE COLOMBIA</w:t>
            </w:r>
          </w:p>
        </w:tc>
      </w:tr>
      <w:tr w:rsidR="004C67D0" w14:paraId="37A543E2" w14:textId="77777777">
        <w:trPr>
          <w:trHeight w:val="300"/>
          <w:jc w:val="center"/>
        </w:trPr>
        <w:tc>
          <w:tcPr>
            <w:tcW w:w="8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1" w14:textId="77777777" w:rsidR="004C67D0" w:rsidRDefault="00046DB8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FLUJO DE FONDOS</w:t>
            </w:r>
          </w:p>
        </w:tc>
      </w:tr>
      <w:tr w:rsidR="004C67D0" w14:paraId="5A2A1755" w14:textId="77777777">
        <w:trPr>
          <w:trHeight w:val="300"/>
          <w:jc w:val="center"/>
        </w:trPr>
        <w:tc>
          <w:tcPr>
            <w:tcW w:w="8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5" w14:textId="77777777" w:rsidR="004C67D0" w:rsidRDefault="00046DB8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2022</w:t>
            </w:r>
          </w:p>
        </w:tc>
      </w:tr>
      <w:tr w:rsidR="004C67D0" w14:paraId="1BCDF6BE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9" w14:textId="77777777" w:rsidR="004C67D0" w:rsidRDefault="004C67D0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A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B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C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C67D0" w14:paraId="477F88DA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D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E" w14:textId="77777777" w:rsidR="004C67D0" w:rsidRDefault="00046DB8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F" w14:textId="77777777" w:rsidR="004C67D0" w:rsidRDefault="004C67D0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0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C67D0" w14:paraId="02B1E505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1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2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3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4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C67D0" w14:paraId="7DABB1C7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5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6" w14:textId="041D161D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Utilidad </w:t>
            </w:r>
            <w:r w:rsidR="005135E0"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eta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7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424.261.275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8" w14:textId="77777777" w:rsidR="004C67D0" w:rsidRDefault="004C67D0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C67D0" w14:paraId="3ED00BA4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9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A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Depreciación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B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9.313.025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C" w14:textId="77777777" w:rsidR="004C67D0" w:rsidRDefault="004C67D0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C67D0" w14:paraId="4E5B7628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D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E" w14:textId="6AE60344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Venta de </w:t>
            </w:r>
            <w:r w:rsidR="005135E0">
              <w:rPr>
                <w:color w:val="000000"/>
                <w:sz w:val="20"/>
                <w:szCs w:val="20"/>
              </w:rPr>
              <w:t>b</w:t>
            </w:r>
            <w:r>
              <w:rPr>
                <w:color w:val="000000"/>
                <w:sz w:val="20"/>
                <w:szCs w:val="20"/>
              </w:rPr>
              <w:t>onos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F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70.000.000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0" w14:textId="77777777" w:rsidR="004C67D0" w:rsidRDefault="004C67D0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C67D0" w14:paraId="25D0C5BC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1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2" w14:textId="1518326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Incremento </w:t>
            </w:r>
            <w:r w:rsidR="005135E0">
              <w:rPr>
                <w:color w:val="000000"/>
                <w:sz w:val="20"/>
                <w:szCs w:val="20"/>
              </w:rPr>
              <w:t>p</w:t>
            </w:r>
            <w:r>
              <w:rPr>
                <w:color w:val="000000"/>
                <w:sz w:val="20"/>
                <w:szCs w:val="20"/>
              </w:rPr>
              <w:t>roveedores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3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21.319.400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4" w14:textId="77777777" w:rsidR="004C67D0" w:rsidRDefault="004C67D0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C67D0" w14:paraId="553E71AC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5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6" w14:textId="5C526611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Reservas </w:t>
            </w:r>
            <w:r w:rsidR="005135E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egales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7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916.250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8" w14:textId="77777777" w:rsidR="004C67D0" w:rsidRDefault="004C67D0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C67D0" w14:paraId="579BAC0C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9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A" w14:textId="60229368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Utilidades </w:t>
            </w:r>
            <w:r w:rsidR="005135E0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cumuladas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B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103.575.677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C" w14:textId="77777777" w:rsidR="004C67D0" w:rsidRDefault="004C67D0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C67D0" w14:paraId="0A243D07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D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E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Inventario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F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20.190.214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0" w14:textId="77777777" w:rsidR="004C67D0" w:rsidRDefault="004C67D0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C67D0" w14:paraId="2B45E1E7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1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2" w14:textId="5A43C68A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Inversión </w:t>
            </w:r>
            <w:r w:rsidR="005135E0">
              <w:rPr>
                <w:color w:val="000000"/>
                <w:sz w:val="20"/>
                <w:szCs w:val="20"/>
              </w:rPr>
              <w:t>mercados financieros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3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356.113.710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4" w14:textId="77777777" w:rsidR="004C67D0" w:rsidRDefault="004C67D0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C67D0" w14:paraId="32F822C6" w14:textId="77777777">
        <w:trPr>
          <w:trHeight w:val="315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5" w14:textId="77777777" w:rsidR="004C67D0" w:rsidRDefault="00046DB8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=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6" w14:textId="77777777" w:rsidR="004C67D0" w:rsidRDefault="00046DB8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 FUENTES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47" w14:textId="77777777" w:rsidR="004C67D0" w:rsidRDefault="00046DB8">
            <w:pPr>
              <w:spacing w:line="240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1.005.689.550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8" w14:textId="77777777" w:rsidR="004C67D0" w:rsidRDefault="004C67D0">
            <w:pPr>
              <w:spacing w:line="240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4C67D0" w14:paraId="745AE72F" w14:textId="77777777">
        <w:trPr>
          <w:trHeight w:val="315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9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A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B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C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C67D0" w14:paraId="5E63ED6F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D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E" w14:textId="77777777" w:rsidR="004C67D0" w:rsidRDefault="00046DB8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F" w14:textId="77777777" w:rsidR="004C67D0" w:rsidRDefault="004C67D0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0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C67D0" w14:paraId="3A98A2CD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1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=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2" w14:textId="614E0C7E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Inversión en </w:t>
            </w:r>
            <w:r w:rsidR="005135E0">
              <w:rPr>
                <w:color w:val="000000"/>
                <w:sz w:val="20"/>
                <w:szCs w:val="20"/>
              </w:rPr>
              <w:t>activo fijo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3" w14:textId="77777777" w:rsidR="004C67D0" w:rsidRDefault="004C67D0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4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42.000.000</w:t>
            </w:r>
          </w:p>
        </w:tc>
      </w:tr>
      <w:tr w:rsidR="004C67D0" w14:paraId="0CAA6665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5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6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Compra de inventarios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7" w14:textId="77777777" w:rsidR="004C67D0" w:rsidRDefault="004C67D0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8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20.190.214</w:t>
            </w:r>
          </w:p>
        </w:tc>
      </w:tr>
      <w:tr w:rsidR="004C67D0" w14:paraId="0026F4F5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9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A" w14:textId="297DF8F0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Cancelación </w:t>
            </w:r>
            <w:r w:rsidR="005135E0">
              <w:rPr>
                <w:color w:val="000000"/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ividendos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B" w14:textId="77777777" w:rsidR="004C67D0" w:rsidRDefault="004C67D0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C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11.521.708</w:t>
            </w:r>
          </w:p>
        </w:tc>
      </w:tr>
      <w:tr w:rsidR="004C67D0" w14:paraId="718FFA52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D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E" w14:textId="60C3E833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Incremento de </w:t>
            </w:r>
            <w:r w:rsidR="005135E0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nversiones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F" w14:textId="77777777" w:rsidR="004C67D0" w:rsidRDefault="004C67D0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0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377.777.231</w:t>
            </w:r>
          </w:p>
        </w:tc>
      </w:tr>
      <w:tr w:rsidR="004C67D0" w14:paraId="3B831925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1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2" w14:textId="6818DC4C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Cancelación </w:t>
            </w:r>
            <w:r w:rsidR="005135E0">
              <w:rPr>
                <w:color w:val="000000"/>
                <w:sz w:val="20"/>
                <w:szCs w:val="20"/>
              </w:rPr>
              <w:t>obligaciones financieras a corto plazo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3" w14:textId="77777777" w:rsidR="004C67D0" w:rsidRDefault="004C67D0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4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25.000.000</w:t>
            </w:r>
          </w:p>
        </w:tc>
      </w:tr>
      <w:tr w:rsidR="004C67D0" w14:paraId="2F688452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5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6" w14:textId="773F6F42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Cancelación </w:t>
            </w:r>
            <w:r w:rsidR="00D20454">
              <w:rPr>
                <w:color w:val="000000"/>
                <w:sz w:val="20"/>
                <w:szCs w:val="20"/>
              </w:rPr>
              <w:t>obligaciones financieras a largo plazo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7" w14:textId="77777777" w:rsidR="004C67D0" w:rsidRDefault="004C67D0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8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50.000.000</w:t>
            </w:r>
          </w:p>
        </w:tc>
      </w:tr>
      <w:tr w:rsidR="004C67D0" w14:paraId="57A91C7F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9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A" w14:textId="56AFE4A3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Cancelación </w:t>
            </w:r>
            <w:r w:rsidR="00D20454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mpuesto 35%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B" w14:textId="77777777" w:rsidR="004C67D0" w:rsidRDefault="004C67D0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C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254.885.282</w:t>
            </w:r>
          </w:p>
        </w:tc>
      </w:tr>
      <w:tr w:rsidR="004C67D0" w14:paraId="0DB724C2" w14:textId="77777777">
        <w:trPr>
          <w:trHeight w:val="300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D" w14:textId="77777777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E" w14:textId="34E32193" w:rsidR="004C67D0" w:rsidRDefault="00046DB8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Cancelación </w:t>
            </w:r>
            <w:r w:rsidR="00D20454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creedores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F" w14:textId="77777777" w:rsidR="004C67D0" w:rsidRDefault="004C67D0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0" w14:textId="77777777" w:rsidR="004C67D0" w:rsidRDefault="00046DB8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24.000.000</w:t>
            </w:r>
          </w:p>
        </w:tc>
      </w:tr>
      <w:tr w:rsidR="004C67D0" w14:paraId="4609DA2D" w14:textId="77777777">
        <w:trPr>
          <w:trHeight w:val="315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1" w14:textId="77777777" w:rsidR="004C67D0" w:rsidRDefault="00046DB8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=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2" w14:textId="77777777" w:rsidR="004C67D0" w:rsidRDefault="00046DB8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 USOS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3" w14:textId="77777777" w:rsidR="004C67D0" w:rsidRDefault="004C67D0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74" w14:textId="77777777" w:rsidR="004C67D0" w:rsidRDefault="00046DB8">
            <w:pPr>
              <w:spacing w:line="240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805.374.434</w:t>
            </w:r>
          </w:p>
        </w:tc>
      </w:tr>
      <w:tr w:rsidR="004C67D0" w14:paraId="0303D6EE" w14:textId="77777777">
        <w:trPr>
          <w:trHeight w:val="315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5" w14:textId="77777777" w:rsidR="004C67D0" w:rsidRDefault="004C67D0">
            <w:pPr>
              <w:spacing w:line="240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6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7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8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C67D0" w14:paraId="45590F20" w14:textId="77777777">
        <w:trPr>
          <w:trHeight w:val="315"/>
          <w:jc w:val="center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9" w14:textId="77777777" w:rsidR="004C67D0" w:rsidRDefault="004C67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7A" w14:textId="77777777" w:rsidR="004C67D0" w:rsidRDefault="00046DB8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VARIACIÓN</w:t>
            </w:r>
            <w:r>
              <w:rPr>
                <w:b/>
                <w:color w:val="000000"/>
                <w:sz w:val="20"/>
                <w:szCs w:val="20"/>
              </w:rPr>
              <w:t xml:space="preserve"> DEL EFECTIVO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7B" w14:textId="77777777" w:rsidR="004C67D0" w:rsidRDefault="00046DB8">
            <w:pPr>
              <w:spacing w:line="240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200.315.116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C" w14:textId="77777777" w:rsidR="004C67D0" w:rsidRDefault="004C67D0">
            <w:pPr>
              <w:spacing w:line="240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0000007E" w14:textId="77777777" w:rsidR="004C67D0" w:rsidRDefault="004C67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</w:p>
    <w:p w14:paraId="0000007F" w14:textId="5F38F483" w:rsidR="004C67D0" w:rsidRDefault="00046D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  <w:bookmarkStart w:id="1" w:name="_heading=h.gjdgxs" w:colFirst="0" w:colLast="0"/>
      <w:bookmarkEnd w:id="1"/>
      <w:r>
        <w:rPr>
          <w:color w:val="000000"/>
          <w:sz w:val="20"/>
          <w:szCs w:val="20"/>
        </w:rPr>
        <w:t xml:space="preserve">De acuerdo con las políticas a implementar a partir de 2022, el </w:t>
      </w:r>
      <w:r w:rsidR="00EF77AF">
        <w:rPr>
          <w:color w:val="000000"/>
          <w:sz w:val="20"/>
          <w:szCs w:val="20"/>
        </w:rPr>
        <w:t>f</w:t>
      </w:r>
      <w:r>
        <w:rPr>
          <w:color w:val="000000"/>
          <w:sz w:val="20"/>
          <w:szCs w:val="20"/>
        </w:rPr>
        <w:t xml:space="preserve">lujo de fondos muestra que la empresa </w:t>
      </w:r>
      <w:r w:rsidR="00EF77AF">
        <w:rPr>
          <w:color w:val="000000"/>
          <w:sz w:val="20"/>
          <w:szCs w:val="20"/>
        </w:rPr>
        <w:t xml:space="preserve">de </w:t>
      </w:r>
      <w:r>
        <w:rPr>
          <w:color w:val="000000"/>
          <w:sz w:val="20"/>
          <w:szCs w:val="20"/>
        </w:rPr>
        <w:t>Alimentos de Colombia se ha concentrado en diversificar sus productos a fin de generar un incremento en ventas, lo cual ha implicado asumir otros costos y gastos</w:t>
      </w:r>
      <w:r w:rsidR="00EF77AF">
        <w:rPr>
          <w:color w:val="000000"/>
          <w:sz w:val="20"/>
          <w:szCs w:val="20"/>
        </w:rPr>
        <w:t>;</w:t>
      </w:r>
      <w:r>
        <w:rPr>
          <w:color w:val="000000"/>
          <w:sz w:val="20"/>
          <w:szCs w:val="20"/>
        </w:rPr>
        <w:t xml:space="preserve"> pero que han sido acertadas sus decisiones que les arrojan un disponible de efectivo de $200´315.116.</w:t>
      </w:r>
    </w:p>
    <w:p w14:paraId="00000080" w14:textId="77777777" w:rsidR="004C67D0" w:rsidRDefault="004C67D0"/>
    <w:sectPr w:rsidR="004C67D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crosoft Office User" w:date="2022-05-26T16:14:00Z" w:initials="">
    <w:p w14:paraId="00000081" w14:textId="77777777" w:rsidR="004C67D0" w:rsidRDefault="00046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Favor diagramar un pdf con este contenido.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81" w16cid:durableId="264B9C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D0"/>
    <w:rsid w:val="00046DB8"/>
    <w:rsid w:val="00065F52"/>
    <w:rsid w:val="000D13DF"/>
    <w:rsid w:val="004C67D0"/>
    <w:rsid w:val="005135E0"/>
    <w:rsid w:val="00577789"/>
    <w:rsid w:val="005A3B07"/>
    <w:rsid w:val="0075451C"/>
    <w:rsid w:val="007F3927"/>
    <w:rsid w:val="00B169AC"/>
    <w:rsid w:val="00D20454"/>
    <w:rsid w:val="00D77E27"/>
    <w:rsid w:val="00DD528A"/>
    <w:rsid w:val="00EF77AF"/>
    <w:rsid w:val="00F43C29"/>
    <w:rsid w:val="00F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9495"/>
  <w15:docId w15:val="{C9B5C5E7-E374-4B22-B5F3-31EB50DF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7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96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840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40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40A5"/>
    <w:rPr>
      <w:rFonts w:ascii="Arial" w:eastAsia="Arial" w:hAnsi="Arial" w:cs="Arial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40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40A5"/>
    <w:rPr>
      <w:rFonts w:ascii="Arial" w:eastAsia="Arial" w:hAnsi="Arial" w:cs="Arial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0A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0A5"/>
    <w:rPr>
      <w:rFonts w:ascii="Times New Roman" w:eastAsia="Arial" w:hAnsi="Times New Roman" w:cs="Times New Roman"/>
      <w:sz w:val="18"/>
      <w:szCs w:val="18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in">
    <w:name w:val="Revision"/>
    <w:hidden/>
    <w:uiPriority w:val="99"/>
    <w:semiHidden/>
    <w:rsid w:val="00065F5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Zf2ooCYFuIP+5KzE/PIHMomDkw==">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411A56-74F1-46F7-8A4D-E6EC67753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2EA3B-22EA-4B83-AAFC-9B4D770B2BE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B9E26E8E-9EC0-46CB-81EB-FE7B16045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Andrés Felipe Velandia Espitia</cp:lastModifiedBy>
  <cp:revision>23</cp:revision>
  <dcterms:created xsi:type="dcterms:W3CDTF">2022-05-25T19:23:00Z</dcterms:created>
  <dcterms:modified xsi:type="dcterms:W3CDTF">2024-04-15T18:42:00Z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11936800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