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572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responsive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formativo: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Modelos de negocio y sistema de gestión del riesgo.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 y puede realizarse todas las veces que se desee.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afirmación de cada ítem y luego señale la respuesta correcta según corresponda.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negocio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Aplicar los conocimientos sobre modelo de negocios y sistemas de gestión del riesgo en una empresa según el tipo y los riesgos del negocio.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En la siguiente actividad didáctica podrá poner a prueba los conocimientos adquiridos en el estudio del componente formativo, por lo que debe leer cada una de las afirmaciones y sus correspondientes opciones de respuesta y finalmente seleccionar la que corresponda.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e59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La propuesta de valor permite: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Rta(s) correcta(s) (x)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Explorar la probabilidad de ofrecer un servicio o producir un bien, analiza la competencia, el mercado objetivo, las necesidades del cliente a través de estudios de mercado.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Identificar productos y servicios llamativos para satisfacer las necesidades del cliente.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e identificar las múltiples maneras en las que la empresa puede generar ingresos viables.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los gastos adicionales y cómo todo esto repercute en el precio de venta.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documento, generalmente de una página en el que se grafica en detalle los puntos clave para llevar la idea al mercado.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Segmento de mercado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Propuesta de valor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Lienzo de modelo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Comercialización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modelo de negocio que permite a los compradores y vendedores conectarse y realizar transacciones utilizando una plataforma en línea.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venta directa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suscripción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consultoría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Modelo de comercio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como un proceso que permite comparar un producto o servicio con otras ofertas de marcas rivales.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venta directa</w:t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suscripción</w:t>
            </w:r>
          </w:p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Marcos de Referencia</w:t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consultoría</w:t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usar estos marcos para ayudar a optimizar su proceso de toma de decisiones y reforzar el pensamiento estratégico.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empresarial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Comercial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3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Marco de Gestión</w:t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de producto</w:t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</w:p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E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36c09" w:val="clear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N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visualmente el flujo de trabajo, mostrando una serie de eventos que producen un resultado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EE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Mapa de procesos</w:t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F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Procesos operativos</w:t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F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Procesos gerenciales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F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Procesos soporte</w:t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faltan afianzar conceptos y habilidades con temas claves del componente, recuerda repasar el contenido de la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e36c09" w:val="clea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b w:val="0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N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Outsourcing que incluye todos los servicios especializados como contabilidad, legal, marketing y cualquier otro que sea demasiado complejo para la empresa.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2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Outsourcing Profesional</w:t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Outsourcing de proyectos</w:t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Outsourcing de manufactura</w:t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Outsourcing de Tecnologías de la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faltan afianzar conceptos y habilidades con temas claves del componente, recuerda repasar el contenido de la 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e36c09" w:val="clear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0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N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Enfoque de la gestión del riesgo en el que existe un mayor interés en apoyar la sostenibilidad, la resiliencia y la agilidad empresarial para responder asertivamente a la gestión de amenazas.</w:t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36">
            <w:pPr>
              <w:jc w:val="both"/>
              <w:rPr>
                <w:i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e36c09"/>
                <w:sz w:val="20"/>
                <w:szCs w:val="20"/>
                <w:rtl w:val="0"/>
              </w:rPr>
              <w:t xml:space="preserve">Enfoque reactivo</w:t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i w:val="1"/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3B">
            <w:pPr>
              <w:jc w:val="both"/>
              <w:rPr>
                <w:i w:val="1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e36c09"/>
                <w:sz w:val="20"/>
                <w:szCs w:val="20"/>
                <w:highlight w:val="yellow"/>
                <w:rtl w:val="0"/>
              </w:rPr>
              <w:t xml:space="preserve">Enfoque proactivo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i w:val="1"/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i w:val="1"/>
                <w:color w:val="e36c0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Enfoque de procesos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i w:val="1"/>
                <w:color w:val="e36c0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rtl w:val="0"/>
              </w:rPr>
              <w:t xml:space="preserve">Enfoque de productos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e36c09" w:val="clear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b w:val="0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N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una ventaja de la adecuada gestión de los riesgos.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Aceptación de la gravedad del riesgo y su impacto, así como también el tratamiento puede generar el estancamiento de la gestión del riesgo.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5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requiere en algunos casos que las unidades de negocios inviertan tiempo y dinero para cumplir.</w:t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6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gastos se incrementan inicialmente, ya que los programas de gestión de riesgos pueden requerir software y servicios costosos.</w:t>
            </w:r>
          </w:p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Mayor protección en el sitio de trabajo tanto para trabajadores como para clientes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e36c09" w:val="clear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0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 N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Outsourcing para mantener la seguridad, mantener las licencias actualizadas y administrar sus redes, y esta es una forma asequible de recibir esos servicios.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Outsourcing Profesional</w:t>
            </w:r>
          </w:p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Outsourcing de proyectos</w:t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Outsourcing de manufactura</w:t>
            </w:r>
          </w:p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89">
            <w:pPr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Outsourcing de Tecnologías de la Información</w:t>
            </w:r>
          </w:p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bien, has alcanzado el logro de conceptos y habilidades para identificar los modelos de negocios y la gestión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afianzar conceptos y habilidades con temas claves del componente, recuerda repasar el contenido de la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d966" w:val="clea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Campo para editar máximo 20 palabras. Ej: ¡Excelente! Te felicito, has superado la actividad</w:t>
            </w:r>
          </w:p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Te felicito, has superado la actividad, sin embargo, recuerda que debes continuar aprendiendo sobre el tema.</w:t>
            </w:r>
          </w:p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Has tenido algunas respuestas incorrectas ¡debse estudiar más!, te invito a revisar el componente formativo y a investigar por tu 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rtl w:val="0"/>
              </w:rPr>
              <w:t xml:space="preserve">Campo para editar máximo 20 palabras. Ej: ¡Excelente! Te felicito, has superado la actividad</w:t>
            </w:r>
          </w:p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Te recomendamos volver a revisar el componente formativo e intentar nuevamente la actividad didáctica, continúa aprendiendo.</w:t>
            </w:r>
          </w:p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Carolina Coca Salazar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21/09/2022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uiPriority w:val="99"/>
    <w:semiHidden w:val="1"/>
    <w:unhideWhenUsed w:val="1"/>
    <w:rsid w:val="00D656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D656A5"/>
    <w:pPr>
      <w:spacing w:line="240" w:lineRule="auto"/>
    </w:pPr>
    <w:rPr>
      <w:sz w:val="20"/>
      <w:szCs w:val="20"/>
      <w:lang w:val="es-CO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656A5"/>
    <w:rPr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 w:val="1"/>
    <w:rsid w:val="00D21DE2"/>
    <w:pPr>
      <w:spacing w:after="160" w:line="259" w:lineRule="auto"/>
      <w:ind w:left="720"/>
      <w:contextualSpacing w:val="1"/>
    </w:pPr>
    <w:rPr>
      <w:rFonts w:ascii="Calibri" w:cs="Times New Roman" w:eastAsia="Calibri" w:hAnsi="Calibri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+leThEGsuElczLnDNPUhXiHkOQ==">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BFBED98-A0B8-4245-99D6-7C0BBD69F7AF}"/>
</file>

<file path=customXML/itemProps3.xml><?xml version="1.0" encoding="utf-8"?>
<ds:datastoreItem xmlns:ds="http://schemas.openxmlformats.org/officeDocument/2006/customXml" ds:itemID="{222EDD01-CBAA-41F2-B9BA-7DD564AB89DB}"/>
</file>

<file path=customXML/itemProps4.xml><?xml version="1.0" encoding="utf-8"?>
<ds:datastoreItem xmlns:ds="http://schemas.openxmlformats.org/officeDocument/2006/customXml" ds:itemID="{4DAD75C2-E740-413D-B3C6-6E3962E2BF7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2022-08-31T11:14:00Z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11941400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